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pngzgrpcrk7d" w:id="0"/>
      <w:bookmarkEnd w:id="0"/>
      <w:r w:rsidDel="00000000" w:rsidR="00000000" w:rsidRPr="00000000">
        <w:rPr>
          <w:rtl w:val="0"/>
        </w:rPr>
        <w:t xml:space="preserve">Caderno de Indicadores Institucionais — CBMAL (2025–2029)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Ementa: Consolida indicadores adotados, linhas de base, metas, owners, fontes e validações, balizando o monitoramento estratégico do ciclo 2025–2029.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nzsx5yaf5hz3" w:id="1"/>
      <w:bookmarkEnd w:id="1"/>
      <w:r w:rsidDel="00000000" w:rsidR="00000000" w:rsidRPr="00000000">
        <w:rPr>
          <w:rtl w:val="0"/>
        </w:rPr>
        <w:t xml:space="preserve">Sumário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Diretrizes Gerais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KPIs Primários (Outcome)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KPIs Secundários (Leading/Capacidade)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Qualidade de Dados (DQI)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Governança dos Indicadores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Versionamento e Histórico de Mudanças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Referências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wabbq9ehuip5" w:id="2"/>
      <w:bookmarkEnd w:id="2"/>
      <w:r w:rsidDel="00000000" w:rsidR="00000000" w:rsidRPr="00000000">
        <w:rPr>
          <w:rtl w:val="0"/>
        </w:rPr>
        <w:t xml:space="preserve">1. Diretrizes Gerais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Estrutura conforme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Política de Gestão Estratégica 2025–2029</w:t>
      </w:r>
      <w:r w:rsidDel="00000000" w:rsidR="00000000" w:rsidRPr="00000000">
        <w:rPr>
          <w:rtl w:val="0"/>
        </w:rPr>
        <w:t xml:space="preserve"> (Caderno de Indicadores).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Cada indicador possui ficha técnica com: Nome; Objetivo Estratégico (OE); Definição; Fórmula; Unidade; Fonte; Frequência; Owner; Baseline 2024; Metas (2025–2029); Meta final 2029; Benchmark; Validações; Observações.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f38jyxffw7sk" w:id="3"/>
      <w:bookmarkEnd w:id="3"/>
      <w:r w:rsidDel="00000000" w:rsidR="00000000" w:rsidRPr="00000000">
        <w:rPr>
          <w:rtl w:val="0"/>
        </w:rPr>
        <w:t xml:space="preserve">2. KPIs Primários (Outcome)</w:t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rugqtmwaxgdm" w:id="4"/>
      <w:bookmarkEnd w:id="4"/>
      <w:r w:rsidDel="00000000" w:rsidR="00000000" w:rsidRPr="00000000">
        <w:rPr>
          <w:rtl w:val="0"/>
        </w:rPr>
        <w:t xml:space="preserve">2.1 Tempo-resposta urbano (min)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OE2 (Gestão Operacional)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média do tempo entre despacho e chegada em ocorrências urbanas.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Fórmula: Σ(tempo chegada − tempo despacho) / nº ocorrências.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minutos.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SGE/Despacho.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diário, consolidado mensal.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Diretorias Operacionais.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≤ 8.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CBMs de referência ≤ 9.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consistência de timestamps; exclusão de outliers (&gt; P99); reconciliação com logs de rádio.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segmentar por região/bairro e tipo de ocorrência.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myvbhslofopi" w:id="5"/>
      <w:bookmarkEnd w:id="5"/>
      <w:r w:rsidDel="00000000" w:rsidR="00000000" w:rsidRPr="00000000">
        <w:rPr>
          <w:rtl w:val="0"/>
        </w:rPr>
        <w:t xml:space="preserve">2.2 Tempo-resposta rural (min)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OE2.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média do tempo entre despacho e chegada em ocorrências rurais.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≤ 12; demais campos conforme urbano.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7qotbmji5bld" w:id="6"/>
      <w:bookmarkEnd w:id="6"/>
      <w:r w:rsidDel="00000000" w:rsidR="00000000" w:rsidRPr="00000000">
        <w:rPr>
          <w:rtl w:val="0"/>
        </w:rPr>
        <w:t xml:space="preserve">2.3 Cobertura operacional (%)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OE3 (Cobertura e Serviços).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população atendida por municípios com OBM/PB sobre população total.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população atendida / população total × 100.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APO/IBGE/SGE.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Diretorias Operacionais/Logística.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85%.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CBMs maduros ≥ 80%.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auditoria de cadastro municipal; conferência de atuação efetiva.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bujsud60vjoi" w:id="7"/>
      <w:bookmarkEnd w:id="7"/>
      <w:r w:rsidDel="00000000" w:rsidR="00000000" w:rsidRPr="00000000">
        <w:rPr>
          <w:rtl w:val="0"/>
        </w:rPr>
        <w:t xml:space="preserve">2.4 Índice de sinistros relevantes por 100 mil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OE1/OE2.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ocorrências classificadas de alto impacto por 100.000 habitantes.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nº sinistros relevantes / população × 100.000.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taxa por 100 mil.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SGE/estatística; APO.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Diretorias Operacionais; APO.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−20% vs 2024.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classificação padronizada; consistência populacional.</w:t>
      </w:r>
    </w:p>
    <w:p w:rsidR="00000000" w:rsidDel="00000000" w:rsidP="00000000" w:rsidRDefault="00000000" w:rsidRPr="00000000" w14:paraId="0000003F">
      <w:pPr>
        <w:pStyle w:val="Heading3"/>
        <w:rPr/>
      </w:pPr>
      <w:bookmarkStart w:colFirst="0" w:colLast="0" w:name="_vtvdry5ah7k3" w:id="8"/>
      <w:bookmarkEnd w:id="8"/>
      <w:r w:rsidDel="00000000" w:rsidR="00000000" w:rsidRPr="00000000">
        <w:rPr>
          <w:rtl w:val="0"/>
        </w:rPr>
        <w:t xml:space="preserve">2.5 Satisfação do usuário (%)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OE2/OE6.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proporção de avaliações positivas pós-atendimento.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avaliações positivas / total × 100.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formulário pós-atendimento; BI.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Comunicação/Operacional.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85%.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amostragem mínima; anonimização; controle de duplicidade.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eu4w4rt08boq" w:id="9"/>
      <w:bookmarkEnd w:id="9"/>
      <w:r w:rsidDel="00000000" w:rsidR="00000000" w:rsidRPr="00000000">
        <w:rPr>
          <w:rtl w:val="0"/>
        </w:rPr>
        <w:t xml:space="preserve">2.6 Execução orçamentária (%)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OE17.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percentual de execução sobre dotação atualizada.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despesas liquidadas / dotação × 100.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Financeiro/APO.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APO/Financeiro.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anual: ≥ 95%.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conferência contábil; reconciliação com empenhos/liquidações.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rxzcx7aa3bhe" w:id="10"/>
      <w:bookmarkEnd w:id="10"/>
      <w:r w:rsidDel="00000000" w:rsidR="00000000" w:rsidRPr="00000000">
        <w:rPr>
          <w:rtl w:val="0"/>
        </w:rPr>
        <w:t xml:space="preserve">3. KPIs Secundários (Leading/Capacidade)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vr00rwrk63t9" w:id="11"/>
      <w:bookmarkEnd w:id="11"/>
      <w:r w:rsidDel="00000000" w:rsidR="00000000" w:rsidRPr="00000000">
        <w:rPr>
          <w:rtl w:val="0"/>
        </w:rPr>
        <w:t xml:space="preserve">3.1 Vistorias concluídas (%)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vistorias realizadas / planejadas × 100.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SAPS/DAT.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DAT.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95%.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wpgisf2a16bb" w:id="12"/>
      <w:bookmarkEnd w:id="12"/>
      <w:r w:rsidDel="00000000" w:rsidR="00000000" w:rsidRPr="00000000">
        <w:rPr>
          <w:rtl w:val="0"/>
        </w:rPr>
        <w:t xml:space="preserve">3.2 Digitalização de serviços DAT (%)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OE1/OE14.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serviços online / total × 100.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DAT/TIC.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DAT/TIC.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90%.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32e73uiy5nb5" w:id="13"/>
      <w:bookmarkEnd w:id="13"/>
      <w:r w:rsidDel="00000000" w:rsidR="00000000" w:rsidRPr="00000000">
        <w:rPr>
          <w:rtl w:val="0"/>
        </w:rPr>
        <w:t xml:space="preserve">3.3 Uptime sistemas críticos (%)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OE14.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disponibilidade / tempo total × 100.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TIC/monitoramento.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diário/semanal.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TIC.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99,5%.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x99qgv7f5qle" w:id="14"/>
      <w:bookmarkEnd w:id="14"/>
      <w:r w:rsidDel="00000000" w:rsidR="00000000" w:rsidRPr="00000000">
        <w:rPr>
          <w:rtl w:val="0"/>
        </w:rPr>
        <w:t xml:space="preserve">3.4 IMGG (pontos)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OE5.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pontuação formal do modelo estadual.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pontos.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órgão estadual competente.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anual/trimestral.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APO.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100.</w:t>
      </w:r>
    </w:p>
    <w:p w:rsidR="00000000" w:rsidDel="00000000" w:rsidP="00000000" w:rsidRDefault="00000000" w:rsidRPr="00000000" w14:paraId="00000078">
      <w:pPr>
        <w:pStyle w:val="Heading3"/>
        <w:rPr/>
      </w:pPr>
      <w:bookmarkStart w:colFirst="0" w:colLast="0" w:name="_x7h8tm3cb74q" w:id="15"/>
      <w:bookmarkEnd w:id="15"/>
      <w:r w:rsidDel="00000000" w:rsidR="00000000" w:rsidRPr="00000000">
        <w:rPr>
          <w:rtl w:val="0"/>
        </w:rPr>
        <w:t xml:space="preserve">3.5 Iniciativas dentro do prazo (%)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OE4/OE5.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iniciativas no prazo / total × 100.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SGE/EP.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EP/APO.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90%.</w:t>
      </w:r>
    </w:p>
    <w:p w:rsidR="00000000" w:rsidDel="00000000" w:rsidP="00000000" w:rsidRDefault="00000000" w:rsidRPr="00000000" w14:paraId="00000080">
      <w:pPr>
        <w:pStyle w:val="Heading3"/>
        <w:rPr/>
      </w:pPr>
      <w:bookmarkStart w:colFirst="0" w:colLast="0" w:name="_1lav7rjvj2j6" w:id="16"/>
      <w:bookmarkEnd w:id="16"/>
      <w:r w:rsidDel="00000000" w:rsidR="00000000" w:rsidRPr="00000000">
        <w:rPr>
          <w:rtl w:val="0"/>
        </w:rPr>
        <w:t xml:space="preserve">3.6 Competências críticas cobertas (%)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OE8.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funções críticas com titular e suplente / total × 100.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RH.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RH.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90%.</w:t>
      </w:r>
    </w:p>
    <w:p w:rsidR="00000000" w:rsidDel="00000000" w:rsidP="00000000" w:rsidRDefault="00000000" w:rsidRPr="00000000" w14:paraId="00000088">
      <w:pPr>
        <w:pStyle w:val="Heading3"/>
        <w:rPr/>
      </w:pPr>
      <w:bookmarkStart w:colFirst="0" w:colLast="0" w:name="_614sgk32s872" w:id="17"/>
      <w:bookmarkEnd w:id="17"/>
      <w:r w:rsidDel="00000000" w:rsidR="00000000" w:rsidRPr="00000000">
        <w:rPr>
          <w:rtl w:val="0"/>
        </w:rPr>
        <w:t xml:space="preserve">3.7 Conformidade TAF (%)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OE10.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militares conformes / total × 100.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Saúde/CTFID.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Saúde/CTFID.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90%.</w:t>
      </w:r>
    </w:p>
    <w:p w:rsidR="00000000" w:rsidDel="00000000" w:rsidP="00000000" w:rsidRDefault="00000000" w:rsidRPr="00000000" w14:paraId="00000090">
      <w:pPr>
        <w:pStyle w:val="Heading3"/>
        <w:rPr/>
      </w:pPr>
      <w:bookmarkStart w:colFirst="0" w:colLast="0" w:name="_1vb9tv1yzukp" w:id="18"/>
      <w:bookmarkEnd w:id="18"/>
      <w:r w:rsidDel="00000000" w:rsidR="00000000" w:rsidRPr="00000000">
        <w:rPr>
          <w:rtl w:val="0"/>
        </w:rPr>
        <w:t xml:space="preserve">3.8 Manutenção preventiva cobertura (%)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OE15.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ativos com manutenção no prazo / total × 100.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Logística.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Logística.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95%.</w:t>
      </w:r>
    </w:p>
    <w:p w:rsidR="00000000" w:rsidDel="00000000" w:rsidP="00000000" w:rsidRDefault="00000000" w:rsidRPr="00000000" w14:paraId="00000098">
      <w:pPr>
        <w:pStyle w:val="Heading3"/>
        <w:rPr/>
      </w:pPr>
      <w:bookmarkStart w:colFirst="0" w:colLast="0" w:name="_d1ajttnbim00" w:id="19"/>
      <w:bookmarkEnd w:id="19"/>
      <w:r w:rsidDel="00000000" w:rsidR="00000000" w:rsidRPr="00000000">
        <w:rPr>
          <w:rtl w:val="0"/>
        </w:rPr>
        <w:t xml:space="preserve">3.9 Receita própria (var. %)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OE16.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variação percentual vs 2024.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Fórmula: (receita 2029 − 2024) / 2024 × 100.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Financeiro.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Finanças.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+30%.</w:t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x4qkuu656dp" w:id="20"/>
      <w:bookmarkEnd w:id="20"/>
      <w:r w:rsidDel="00000000" w:rsidR="00000000" w:rsidRPr="00000000">
        <w:rPr>
          <w:rtl w:val="0"/>
        </w:rPr>
        <w:t xml:space="preserve">3.10 Captação externa (R$)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OE16.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recursos via convênios/emendas/editais.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R$.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APO/Ass. Parlamentar.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Ass. Parlamentar/Finanças.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crescente anual.</w:t>
      </w:r>
    </w:p>
    <w:p w:rsidR="00000000" w:rsidDel="00000000" w:rsidP="00000000" w:rsidRDefault="00000000" w:rsidRPr="00000000" w14:paraId="000000A9">
      <w:pPr>
        <w:pStyle w:val="Heading3"/>
        <w:rPr/>
      </w:pPr>
      <w:bookmarkStart w:colFirst="0" w:colLast="0" w:name="_wr2bdj4rld85" w:id="21"/>
      <w:bookmarkEnd w:id="21"/>
      <w:r w:rsidDel="00000000" w:rsidR="00000000" w:rsidRPr="00000000">
        <w:rPr>
          <w:rtl w:val="0"/>
        </w:rPr>
        <w:t xml:space="preserve">3.11 Alcance de campanhas (%)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OE6.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proporção do público-alvo impactado por campanhas.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Comunicação (plataformas digitais e registros de campanhas).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80%.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público impactado/total público-alvo × 100.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80%.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campanhas similares em órgãos estaduais ≥ 70%.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deduplicação, exclusão de tráfego automatizado, consistência de públicos.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segmentar por canal e tipo de campanha; considerar público prioritário.</w:t>
      </w:r>
    </w:p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jk1lai8x43bc" w:id="22"/>
      <w:bookmarkEnd w:id="22"/>
      <w:r w:rsidDel="00000000" w:rsidR="00000000" w:rsidRPr="00000000">
        <w:rPr>
          <w:rtl w:val="0"/>
        </w:rPr>
        <w:t xml:space="preserve">3.12 Engajamento em canais (taxa de interação, %)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OE6.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intensidade de interação do público com conteúdos (curtidas, comentários, compartilhamentos) sobre visualizações.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Comunicação (plataformas digitais).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Comunicação.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5%.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interações (curtidas, comentários, compartilhamentos)/visualizações × 100.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5%.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órgãos públicos com presença digital ≥ 3%.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padronização de tipos de interação; exclusão de bots; verificação de origem.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acompanhar por plataforma; avaliar picos por campanha.</w:t>
      </w:r>
    </w:p>
    <w:p w:rsidR="00000000" w:rsidDel="00000000" w:rsidP="00000000" w:rsidRDefault="00000000" w:rsidRPr="00000000" w14:paraId="000000C7">
      <w:pPr>
        <w:pStyle w:val="Heading3"/>
        <w:rPr/>
      </w:pPr>
      <w:bookmarkStart w:colFirst="0" w:colLast="0" w:name="_wg03hkxqg1il" w:id="23"/>
      <w:bookmarkEnd w:id="23"/>
      <w:r w:rsidDel="00000000" w:rsidR="00000000" w:rsidRPr="00000000">
        <w:rPr>
          <w:rtl w:val="0"/>
        </w:rPr>
        <w:t xml:space="preserve">3.13 Cobertura territorial de ações preventivas (%)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OE7.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alcance municipal das ações educativas preventivas.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Comunicação/DAT (registros de ações e agendas).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Comunicação/DAT.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90%.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municípios com ações/municípios do estado × 100.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90%.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cobertura municipal ≥ 80% em estados comparáveis.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confirmação por OBMs; cruzamento com agenda institucional; registro fotográfico.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priorizar áreas de maior incidência de ocorrências.</w:t>
      </w:r>
    </w:p>
    <w:p w:rsidR="00000000" w:rsidDel="00000000" w:rsidP="00000000" w:rsidRDefault="00000000" w:rsidRPr="00000000" w14:paraId="000000D6">
      <w:pPr>
        <w:pStyle w:val="Heading3"/>
        <w:rPr/>
      </w:pPr>
      <w:bookmarkStart w:colFirst="0" w:colLast="0" w:name="_b4gocfgkihcj" w:id="24"/>
      <w:bookmarkEnd w:id="24"/>
      <w:r w:rsidDel="00000000" w:rsidR="00000000" w:rsidRPr="00000000">
        <w:rPr>
          <w:rtl w:val="0"/>
        </w:rPr>
        <w:t xml:space="preserve">3.14 Participantes em programas preventivos (nº)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OE7.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total de participantes nas ações educativas por período.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nº.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Comunicação/DAT (listas de presença e sistemas de eventos).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Comunicação/DAT.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crescente anual.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soma de participantes por período.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crescimento acumulado vs 2024.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evolução anual ≥ +10%.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amostragem de presença; deduplicação por CPF/matrícula.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segmentar por faixa etária e tipo de ação.</w:t>
      </w:r>
    </w:p>
    <w:p w:rsidR="00000000" w:rsidDel="00000000" w:rsidP="00000000" w:rsidRDefault="00000000" w:rsidRPr="00000000" w14:paraId="000000E5">
      <w:pPr>
        <w:pStyle w:val="Heading3"/>
        <w:rPr/>
      </w:pPr>
      <w:bookmarkStart w:colFirst="0" w:colLast="0" w:name="_o5ujpnl4e7j9" w:id="25"/>
      <w:bookmarkEnd w:id="25"/>
      <w:r w:rsidDel="00000000" w:rsidR="00000000" w:rsidRPr="00000000">
        <w:rPr>
          <w:rtl w:val="0"/>
        </w:rPr>
        <w:t xml:space="preserve">3.15 Retenção de conteúdos preventivos (%)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OE7.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retenção de conhecimento após campanhas (avaliação pós-ação).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Comunicação/ABM (instrumentos de avaliação).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Comunicação/ABM.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60%.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acertos em avaliação pós-ação/total × 100.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60%.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retenção mínima ≥ 50% em programas similares.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consistência de instrumentos; amostragem estatística; controle de aplicação.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ajustar instrumentos conforme público e conteúdo.</w:t>
      </w:r>
    </w:p>
    <w:p w:rsidR="00000000" w:rsidDel="00000000" w:rsidP="00000000" w:rsidRDefault="00000000" w:rsidRPr="00000000" w14:paraId="000000F4">
      <w:pPr>
        <w:pStyle w:val="Heading3"/>
        <w:rPr/>
      </w:pPr>
      <w:bookmarkStart w:colFirst="0" w:colLast="0" w:name="_vzakiigqqtkr" w:id="26"/>
      <w:bookmarkEnd w:id="26"/>
      <w:r w:rsidDel="00000000" w:rsidR="00000000" w:rsidRPr="00000000">
        <w:rPr>
          <w:rtl w:val="0"/>
        </w:rPr>
        <w:t xml:space="preserve">3.16 Tempo médio de tramitação processual (dias)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OE11.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tempo médio de conclusão de processos de correição/ouvidoria.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dias.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Correição/Ouvidoria (sistemas processuais internos).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mensal.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Correição/Ouvidoria.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≤ 60 dias.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Σ dias por processo/nº processos concluídos.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≤ 60 dias.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órgãos de controle internos ≤ 90 dias.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integridade de datas; exclusão de períodos suspensos; reconciliação com sistemas.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segmentar por tipo de processo e complexidade.</w:t>
      </w:r>
    </w:p>
    <w:p w:rsidR="00000000" w:rsidDel="00000000" w:rsidP="00000000" w:rsidRDefault="00000000" w:rsidRPr="00000000" w14:paraId="00000103">
      <w:pPr>
        <w:pStyle w:val="Heading3"/>
        <w:rPr/>
      </w:pPr>
      <w:bookmarkStart w:colFirst="0" w:colLast="0" w:name="_on9spuakovrj" w:id="27"/>
      <w:bookmarkEnd w:id="27"/>
      <w:r w:rsidDel="00000000" w:rsidR="00000000" w:rsidRPr="00000000">
        <w:rPr>
          <w:rtl w:val="0"/>
        </w:rPr>
        <w:t xml:space="preserve">3.17 Índice de resolução de demandas (%)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OE11.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proporção de demandas resolvidas sobre o total.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Ouvidoria/Correição (sistemas de protocolo e ouvidoria).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mensal/trimestral.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Correição/Ouvidoria.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85%.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demandas resolvidas/total demandas × 100.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85%.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ouvidorias estaduais ≥ 75%.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reconciliação entre protocolo e desfecho; classificação de status.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medir também tempo de resposta e satisfação do demandante.</w:t>
      </w:r>
    </w:p>
    <w:p w:rsidR="00000000" w:rsidDel="00000000" w:rsidP="00000000" w:rsidRDefault="00000000" w:rsidRPr="00000000" w14:paraId="00000112">
      <w:pPr>
        <w:pStyle w:val="Heading3"/>
        <w:rPr/>
      </w:pPr>
      <w:bookmarkStart w:colFirst="0" w:colLast="0" w:name="_art6oxdrgqyy" w:id="28"/>
      <w:bookmarkEnd w:id="28"/>
      <w:r w:rsidDel="00000000" w:rsidR="00000000" w:rsidRPr="00000000">
        <w:rPr>
          <w:rtl w:val="0"/>
        </w:rPr>
        <w:t xml:space="preserve">3.18 Conformidade normativa (%)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OE11.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processos conformes às normas sobre o total.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Correição (checklists e auditorias internas).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Correição.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95%.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processos conformes/total × 100.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95%.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conformidade ≥ 90% em auditorias internas.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amostragem e revisão por pares; trilhas de auditoria.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reportar não conformidades por categoria.</w:t>
      </w:r>
    </w:p>
    <w:p w:rsidR="00000000" w:rsidDel="00000000" w:rsidP="00000000" w:rsidRDefault="00000000" w:rsidRPr="00000000" w14:paraId="00000121">
      <w:pPr>
        <w:pStyle w:val="Heading3"/>
        <w:rPr/>
      </w:pPr>
      <w:bookmarkStart w:colFirst="0" w:colLast="0" w:name="_y5pmfe2yybtc" w:id="29"/>
      <w:bookmarkEnd w:id="29"/>
      <w:r w:rsidDel="00000000" w:rsidR="00000000" w:rsidRPr="00000000">
        <w:rPr>
          <w:rtl w:val="0"/>
        </w:rPr>
        <w:t xml:space="preserve">3.19 Cumprimento do PACC (%)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OE12.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ações de capacitação executadas sobre planejadas.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%.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ABM/RH (PACC e registros de execução).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ABM/RH.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90%.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ações executadas/planejadas × 100.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90%.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execução ≥ 85% em órgãos comparáveis.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reconciliação com turmas e diários de classe; conferência documental.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destacar ações críticas e impacto em competências.</w:t>
      </w:r>
    </w:p>
    <w:p w:rsidR="00000000" w:rsidDel="00000000" w:rsidP="00000000" w:rsidRDefault="00000000" w:rsidRPr="00000000" w14:paraId="00000130">
      <w:pPr>
        <w:pStyle w:val="Heading3"/>
        <w:rPr/>
      </w:pPr>
      <w:bookmarkStart w:colFirst="0" w:colLast="0" w:name="_l65n4orawaql" w:id="30"/>
      <w:bookmarkEnd w:id="30"/>
      <w:r w:rsidDel="00000000" w:rsidR="00000000" w:rsidRPr="00000000">
        <w:rPr>
          <w:rtl w:val="0"/>
        </w:rPr>
        <w:t xml:space="preserve">3.20 Horas de capacitação por militar (h/ano)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OE12.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carga anual de formação e capacitação por efetivo.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horas/ano.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ABM/RH (sistemas acadêmicos e RH).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semestral/anual.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ABM/RH.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≥ 40 h/ano.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Σ horas registradas/efetivo.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40 h/ano.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≥ 30 h/ano em forças comparáveis.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amostragem de certificados e diários de classe.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segmentar por trilhas de aprendizagem e funções.</w:t>
      </w:r>
    </w:p>
    <w:p w:rsidR="00000000" w:rsidDel="00000000" w:rsidP="00000000" w:rsidRDefault="00000000" w:rsidRPr="00000000" w14:paraId="0000013F">
      <w:pPr>
        <w:pStyle w:val="Heading3"/>
        <w:rPr/>
      </w:pPr>
      <w:bookmarkStart w:colFirst="0" w:colLast="0" w:name="_rdl962p39dhs" w:id="31"/>
      <w:bookmarkEnd w:id="31"/>
      <w:r w:rsidDel="00000000" w:rsidR="00000000" w:rsidRPr="00000000">
        <w:rPr>
          <w:rtl w:val="0"/>
        </w:rPr>
        <w:t xml:space="preserve">3.21 Certificações obtidas (nº)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OE12.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certificações relevantes concluídas por período.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nº.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ABM/RH (registros acadêmicos e RH).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trimestral/anual.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ABM/RH.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crescente anual.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total de certificações registradas por período.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crescimento acumulado vs 2024.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aumento anual ≥ +10%.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verificação documental e autenticidade.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priorizar certificações críticas à estratégia.</w:t>
      </w:r>
    </w:p>
    <w:p w:rsidR="00000000" w:rsidDel="00000000" w:rsidP="00000000" w:rsidRDefault="00000000" w:rsidRPr="00000000" w14:paraId="0000014E">
      <w:pPr>
        <w:pStyle w:val="Heading3"/>
        <w:rPr/>
      </w:pPr>
      <w:bookmarkStart w:colFirst="0" w:colLast="0" w:name="_nfn944xh4ef5" w:id="32"/>
      <w:bookmarkEnd w:id="32"/>
      <w:r w:rsidDel="00000000" w:rsidR="00000000" w:rsidRPr="00000000">
        <w:rPr>
          <w:rtl w:val="0"/>
        </w:rPr>
        <w:t xml:space="preserve">3.22 Publicações técnicas/boas práticas (nº)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OE13.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produção técnica institucional registrada por período.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nº.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ABM/EP (repositórios internos e atas).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semestral/anual.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ABM/EP.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crescente anual.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total de publicações por período.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crescimento acumulado vs 2024.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aumento anual ≥ +10%.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curadoria editorial; registro oficial; controle de versões.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classificar por área temática e impacto operacional.</w:t>
      </w:r>
    </w:p>
    <w:p w:rsidR="00000000" w:rsidDel="00000000" w:rsidP="00000000" w:rsidRDefault="00000000" w:rsidRPr="00000000" w14:paraId="0000015D">
      <w:pPr>
        <w:pStyle w:val="Heading3"/>
        <w:rPr/>
      </w:pPr>
      <w:bookmarkStart w:colFirst="0" w:colLast="0" w:name="_1ubjwloy0jxq" w:id="33"/>
      <w:bookmarkEnd w:id="33"/>
      <w:r w:rsidDel="00000000" w:rsidR="00000000" w:rsidRPr="00000000">
        <w:rPr>
          <w:rtl w:val="0"/>
        </w:rPr>
        <w:t xml:space="preserve">3.23 Projetos de inovação implementados (nº)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OE13.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iniciativas de inovação com implantação validada.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nº.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TIC/EP (portfólio e atas de aceite).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trimestral/anual.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TIC/EP.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crescente anual.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total de projetos implementados por período.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crescimento acumulado vs 2024.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taxa de implantação anual ≥ +10%.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critérios de implantação; aceite formal; documentação técnica.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medir impacto em eficiência/cobertura/qualidade.</w:t>
      </w:r>
    </w:p>
    <w:p w:rsidR="00000000" w:rsidDel="00000000" w:rsidP="00000000" w:rsidRDefault="00000000" w:rsidRPr="00000000" w14:paraId="0000016C">
      <w:pPr>
        <w:pStyle w:val="Heading3"/>
        <w:rPr/>
      </w:pPr>
      <w:bookmarkStart w:colFirst="0" w:colLast="0" w:name="_lzrbnumaqv04" w:id="34"/>
      <w:bookmarkEnd w:id="34"/>
      <w:r w:rsidDel="00000000" w:rsidR="00000000" w:rsidRPr="00000000">
        <w:rPr>
          <w:rtl w:val="0"/>
        </w:rPr>
        <w:t xml:space="preserve">3.24 Reuso de conhecimento (nº de adoções/citações internas)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OE: OE13.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Definição: reutilização de práticas e conteúdos internos (adoções/citações registradas).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Unidade: nº.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Fonte: ABM/EP (registros doutrinários e normativos).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Frequência: semestral/anual.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Owner: ABM/EP.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Meta: crescente anual.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Fórmula: adoções/citações registradas em documentos e processos por período.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Baseline 2024: [preencher].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Metas 2025–2029: [anual].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 2029: ≥ crescimento acumulado vs 2024.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Benchmark: aumento anual ≥ +10%.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Validações: verificação em atas e normativos; controle de referências.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Observações: incentivar reuso por diretrizes e repositórios comuns.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rPr/>
      </w:pPr>
      <w:bookmarkStart w:colFirst="0" w:colLast="0" w:name="_uzelb7wjfhv" w:id="35"/>
      <w:bookmarkEnd w:id="35"/>
      <w:r w:rsidDel="00000000" w:rsidR="00000000" w:rsidRPr="00000000">
        <w:rPr>
          <w:rtl w:val="0"/>
        </w:rPr>
        <w:t xml:space="preserve">4. Qualidade de Dados (DQI)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Métrica composta: completude; tempestividade; unicidade; consistência.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Meta: DQI ≥ 95%.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Regras: campos obrigatórios por indicador; janelas de atualização; reconciliação intersistemas; trilhas de auditoria.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2"/>
        <w:rPr/>
      </w:pPr>
      <w:bookmarkStart w:colFirst="0" w:colLast="0" w:name="_uy6emkj7uczs" w:id="36"/>
      <w:bookmarkEnd w:id="36"/>
      <w:r w:rsidDel="00000000" w:rsidR="00000000" w:rsidRPr="00000000">
        <w:rPr>
          <w:rtl w:val="0"/>
        </w:rPr>
        <w:t xml:space="preserve">5. Governança dos Indicadores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Owners: definidos por diretoria/setor.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Auditorias: mensais (amostragem e regras), trimestrais (método e ficha técnica).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Processos: coleta → validação → consolidação → análise → decisão.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Style w:val="Heading2"/>
        <w:rPr/>
      </w:pPr>
      <w:bookmarkStart w:colFirst="0" w:colLast="0" w:name="_2fubveojf3xx" w:id="37"/>
      <w:bookmarkEnd w:id="37"/>
      <w:r w:rsidDel="00000000" w:rsidR="00000000" w:rsidRPr="00000000">
        <w:rPr>
          <w:rtl w:val="0"/>
        </w:rPr>
        <w:t xml:space="preserve">6. Versionamento e Histórico de Mudanças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Registro de alterações de definição, fórmula, fonte, frequência e metas.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Justificativa e impacto; data de vigência; responsável pela mudança.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[2025-12-01] Inclusão dos KPIs 3.11 a 3.24 com respectivas definições, fontes, owners, frequências e metas; alinhamento com o Plano de Monitoramento Estratégico 2025–2029; sem alterações nas fórmulas dos KPIs já existentes.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[2025-12-01] Expansão das fichas técnicas dos KPIs 3.11 a 3.24 com fórmula, baseline 2024, metas 2025–2029, meta 2029, benchmarks, validações e observações, seguindo o padrão dos KPIs Primários.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rPr/>
      </w:pPr>
      <w:bookmarkStart w:colFirst="0" w:colLast="0" w:name="_719c7h3pb66f" w:id="38"/>
      <w:bookmarkEnd w:id="38"/>
      <w:r w:rsidDel="00000000" w:rsidR="00000000" w:rsidRPr="00000000">
        <w:rPr>
          <w:rtl w:val="0"/>
        </w:rPr>
        <w:t xml:space="preserve">7. Referências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Política de Gestão Estratégica 2025–2029.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Estratégico 2025–2029.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Implementação da Estratégia 2025–2029.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Plano de Monitoramento Estratégico 2025–2029.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