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nw8gj0o8u146" w:id="0"/>
      <w:bookmarkEnd w:id="0"/>
      <w:r w:rsidDel="00000000" w:rsidR="00000000" w:rsidRPr="00000000">
        <w:rPr>
          <w:rtl w:val="0"/>
        </w:rPr>
        <w:t xml:space="preserve">Plano de Monitoramento Estratégico 2025–2029 — CBMAL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Ementa: Estabelece objetivos, metas, indicadores, cronograma, responsabilidades e mecanismos de acompanhamento para o ciclo estratégico 2025–2029 do Corpo de Bombeiros Militar de Alagoas (CBMAL), alinhado ao Plano Estratégico 2025–2029, à Política de Gestão Estratégica vigente e à MGP-CBMAL.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7qdv4afxvjsp" w:id="1"/>
      <w:bookmarkEnd w:id="1"/>
      <w:r w:rsidDel="00000000" w:rsidR="00000000" w:rsidRPr="00000000">
        <w:rPr>
          <w:rtl w:val="0"/>
        </w:rPr>
        <w:t xml:space="preserve">Preâmbulo Institucional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Considerações Gerais.</w:t>
      </w:r>
      <w:r w:rsidDel="00000000" w:rsidR="00000000" w:rsidRPr="00000000">
        <w:rPr>
          <w:rtl w:val="0"/>
        </w:rPr>
        <w:t xml:space="preserve"> O Corpo de Bombeiros Militar de Alagoas (CBMAL) atua em ambiente de alta complexidade operacional e crescente expectativa social por serviços ágeis, eficazes e transparentes. Nesse contexto, a estratégia institucional 2025–2029 demanda um sistema de monitoramento capaz de transformar dados em decisões e decisões em resultados com valor público. O presente plano nasce como instrumento de comando, direção e controle, integrando governança por resultados, métodos consolidados e qualidade de dados.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Justificativas para Criação.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Fortalecer a disciplina de execução da estratégia, assegurando que objetivos e metas se traduzam em iniciativas acompanhadas e avaliadas.</w:t>
      </w:r>
    </w:p>
    <w:p w:rsidR="00000000" w:rsidDel="00000000" w:rsidP="00000000" w:rsidRDefault="00000000" w:rsidRPr="00000000" w14:paraId="0000000B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Prover evidências confiáveis para a tomada de decisão por meio de indicadores com fichas técnicas, cadências de reporte e auditoria.</w:t>
      </w:r>
    </w:p>
    <w:p w:rsidR="00000000" w:rsidDel="00000000" w:rsidP="00000000" w:rsidRDefault="00000000" w:rsidRPr="00000000" w14:paraId="0000000C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Incrementar a transparência e a accountability institucional, consolidando ritos e materiais padronizados para prestação de contas.</w:t>
      </w:r>
    </w:p>
    <w:p w:rsidR="00000000" w:rsidDel="00000000" w:rsidP="00000000" w:rsidRDefault="00000000" w:rsidRPr="00000000" w14:paraId="0000000D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Integrar sistemas e processos (SGE, SAPS, RH, Saúde, TIC, Financeiro), reduzindo trabalho manual e elevando a confiabilidade dos dados.</w:t>
      </w:r>
    </w:p>
    <w:p w:rsidR="00000000" w:rsidDel="00000000" w:rsidP="00000000" w:rsidRDefault="00000000" w:rsidRPr="00000000" w14:paraId="0000000E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Atender requisitos normativos e boas práticas de gestão pública (LGPD, governança, gestão de riscos), alinhando-se à Política de Gestão Estratégica e à MGP-CBMAL.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Alinhamento Estratégico.</w:t>
      </w:r>
      <w:r w:rsidDel="00000000" w:rsidR="00000000" w:rsidRPr="00000000">
        <w:rPr>
          <w:rtl w:val="0"/>
        </w:rPr>
        <w:t xml:space="preserve"> O plano adota arquitetura BSC para organizar objetivos, OKR para execução tática trimestral, PDCA para melhoria contínua e EVM para acompanhamento de portfólio, combinando métodos amplamente reconhecidos e adaptados à realidade do CBMAL. A qualidade de dados (DQI) sustenta a legitimidade das conclusões e permite comparação entre períodos, unidades e iniciativas.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Benefícios Esperados.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Maior previsibilidade de resultados por meio de cadências estáveis e protocolos de ação diante de desvios.</w:t>
      </w:r>
    </w:p>
    <w:p w:rsidR="00000000" w:rsidDel="00000000" w:rsidP="00000000" w:rsidRDefault="00000000" w:rsidRPr="00000000" w14:paraId="00000015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Agilidade na correção de rota com base em análises RAG, causas e contramedidas pactuadas.</w:t>
      </w:r>
    </w:p>
    <w:p w:rsidR="00000000" w:rsidDel="00000000" w:rsidP="00000000" w:rsidRDefault="00000000" w:rsidRPr="00000000" w14:paraId="00000016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Melhoria da comunicação interna e externa, com narrativas claras, dashboards e relatórios orientados à decisão.</w:t>
      </w:r>
    </w:p>
    <w:p w:rsidR="00000000" w:rsidDel="00000000" w:rsidP="00000000" w:rsidRDefault="00000000" w:rsidRPr="00000000" w14:paraId="00000017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Fortalecimento da maturidade institucional em governança e gestão, refletido em índices como o IMGG.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Compromisso Institucional.</w:t>
      </w:r>
      <w:r w:rsidDel="00000000" w:rsidR="00000000" w:rsidRPr="00000000">
        <w:rPr>
          <w:rtl w:val="0"/>
        </w:rPr>
        <w:t xml:space="preserve"> Este plano é compromisso de toda a corporação: da alta gestão que patrocina e delibera, das diretorias que executam e reportam, das unidades analíticas que garantem a qualidade e das equipes que implementam iniciativas. Ao tornar o monitoramento parte do trabalho cotidiano, o CBMAL consolida uma cultura de gestão por resultados e aprendizado contínuo.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sua7l5rgrk27" w:id="2"/>
      <w:bookmarkEnd w:id="2"/>
      <w:r w:rsidDel="00000000" w:rsidR="00000000" w:rsidRPr="00000000">
        <w:rPr>
          <w:rtl w:val="0"/>
        </w:rPr>
        <w:t xml:space="preserve">Sumário</w:t>
      </w:r>
    </w:p>
    <w:p w:rsidR="00000000" w:rsidDel="00000000" w:rsidP="00000000" w:rsidRDefault="00000000" w:rsidRPr="00000000" w14:paraId="0000001D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Disposições Gerais</w:t>
      </w:r>
    </w:p>
    <w:p w:rsidR="00000000" w:rsidDel="00000000" w:rsidP="00000000" w:rsidRDefault="00000000" w:rsidRPr="00000000" w14:paraId="0000001E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Governança da Estratégia</w:t>
      </w:r>
    </w:p>
    <w:p w:rsidR="00000000" w:rsidDel="00000000" w:rsidP="00000000" w:rsidRDefault="00000000" w:rsidRPr="00000000" w14:paraId="0000001F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Metodologia do Monitoramento</w:t>
      </w:r>
    </w:p>
    <w:p w:rsidR="00000000" w:rsidDel="00000000" w:rsidP="00000000" w:rsidRDefault="00000000" w:rsidRPr="00000000" w14:paraId="00000020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Arquitetura de Objetivos Estratégicos</w:t>
      </w:r>
    </w:p>
    <w:p w:rsidR="00000000" w:rsidDel="00000000" w:rsidP="00000000" w:rsidRDefault="00000000" w:rsidRPr="00000000" w14:paraId="00000021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Metas e Indicadores</w:t>
      </w:r>
    </w:p>
    <w:p w:rsidR="00000000" w:rsidDel="00000000" w:rsidP="00000000" w:rsidRDefault="00000000" w:rsidRPr="00000000" w14:paraId="00000022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Cronograma de Implementação</w:t>
      </w:r>
    </w:p>
    <w:p w:rsidR="00000000" w:rsidDel="00000000" w:rsidP="00000000" w:rsidRDefault="00000000" w:rsidRPr="00000000" w14:paraId="00000023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Responsabilidades (Matriz RACI)</w:t>
      </w:r>
    </w:p>
    <w:p w:rsidR="00000000" w:rsidDel="00000000" w:rsidP="00000000" w:rsidRDefault="00000000" w:rsidRPr="00000000" w14:paraId="00000024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Mecanismos de Acompanhamento e Ritos</w:t>
      </w:r>
    </w:p>
    <w:p w:rsidR="00000000" w:rsidDel="00000000" w:rsidP="00000000" w:rsidRDefault="00000000" w:rsidRPr="00000000" w14:paraId="00000025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Processos e Artefatos (Templates e Painéis)</w:t>
      </w:r>
    </w:p>
    <w:p w:rsidR="00000000" w:rsidDel="00000000" w:rsidP="00000000" w:rsidRDefault="00000000" w:rsidRPr="00000000" w14:paraId="00000026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Gestão de Riscos</w:t>
      </w:r>
    </w:p>
    <w:p w:rsidR="00000000" w:rsidDel="00000000" w:rsidP="00000000" w:rsidRDefault="00000000" w:rsidRPr="00000000" w14:paraId="00000027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Comunicação e Endomarketing da Estratégia</w:t>
      </w:r>
    </w:p>
    <w:p w:rsidR="00000000" w:rsidDel="00000000" w:rsidP="00000000" w:rsidRDefault="00000000" w:rsidRPr="00000000" w14:paraId="00000028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Integrações de Sistemas e Qualidade de Dados</w:t>
      </w:r>
    </w:p>
    <w:p w:rsidR="00000000" w:rsidDel="00000000" w:rsidP="00000000" w:rsidRDefault="00000000" w:rsidRPr="00000000" w14:paraId="00000029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Disposições Finais</w:t>
      </w:r>
    </w:p>
    <w:p w:rsidR="00000000" w:rsidDel="00000000" w:rsidP="00000000" w:rsidRDefault="00000000" w:rsidRPr="00000000" w14:paraId="0000002A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Glossário</w:t>
      </w:r>
    </w:p>
    <w:p w:rsidR="00000000" w:rsidDel="00000000" w:rsidP="00000000" w:rsidRDefault="00000000" w:rsidRPr="00000000" w14:paraId="0000002B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2C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Apêndice A — Casos de Estudo</w:t>
      </w:r>
    </w:p>
    <w:p w:rsidR="00000000" w:rsidDel="00000000" w:rsidP="00000000" w:rsidRDefault="00000000" w:rsidRPr="00000000" w14:paraId="0000002D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Apêndice B — Bibliografia Complementar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1oatjhuwggmh" w:id="3"/>
      <w:bookmarkEnd w:id="3"/>
      <w:r w:rsidDel="00000000" w:rsidR="00000000" w:rsidRPr="00000000">
        <w:rPr>
          <w:rtl w:val="0"/>
        </w:rPr>
        <w:t xml:space="preserve">1. Disposições Gerais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Introdução.</w:t>
      </w:r>
      <w:r w:rsidDel="00000000" w:rsidR="00000000" w:rsidRPr="00000000">
        <w:rPr>
          <w:rtl w:val="0"/>
        </w:rPr>
        <w:t xml:space="preserve"> Este capítulo apresenta os fundamentos do monitoramento estratégico no CBMAL, explicando por que o acompanhamento sistemático de objetivos, indicadores e iniciativas é indispensável para produzir valor público de forma consistente. A proposta é tornar o processo compreensível a todos os públicos internos, sem perder o rigor técnico necessário à tomada de decisão.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 e Abrangência.</w:t>
      </w:r>
      <w:r w:rsidDel="00000000" w:rsidR="00000000" w:rsidRPr="00000000">
        <w:rPr>
          <w:rtl w:val="0"/>
        </w:rPr>
        <w:t xml:space="preserve"> Este plano organiza o monitoramento da estratégia do CBMAL para 2025–2029, desdobrando o Mapa Estratégico em </w:t>
      </w:r>
      <w:r w:rsidDel="00000000" w:rsidR="00000000" w:rsidRPr="00000000">
        <w:rPr>
          <w:b w:val="1"/>
          <w:bCs w:val="1"/>
          <w:rtl w:val="0"/>
        </w:rPr>
        <w:t xml:space="preserve">objetivos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indicadores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metas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ritmos de acompanhamento</w:t>
      </w:r>
      <w:r w:rsidDel="00000000" w:rsidR="00000000" w:rsidRPr="00000000">
        <w:rPr>
          <w:rtl w:val="0"/>
        </w:rPr>
        <w:t xml:space="preserve">, com governança, papéis e artefatos padronizados. O monitoramento é entendido como o processo sistemático de coletar, validar, analisar e reportar dados para apoiar decisões e melhoria contínua.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Definições-chave.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Estratégico (OE):</w:t>
      </w:r>
      <w:r w:rsidDel="00000000" w:rsidR="00000000" w:rsidRPr="00000000">
        <w:rPr>
          <w:rtl w:val="0"/>
        </w:rPr>
        <w:t xml:space="preserve"> estado desejado de médio/longo prazo que orienta ações e recursos.</w:t>
      </w:r>
    </w:p>
    <w:p w:rsidR="00000000" w:rsidDel="00000000" w:rsidP="00000000" w:rsidRDefault="00000000" w:rsidRPr="00000000" w14:paraId="00000038">
      <w:pPr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Indicador/KPI:</w:t>
      </w:r>
      <w:r w:rsidDel="00000000" w:rsidR="00000000" w:rsidRPr="00000000">
        <w:rPr>
          <w:rtl w:val="0"/>
        </w:rPr>
        <w:t xml:space="preserve"> métrica quantitativa ou qualitativa que mede progresso em relação a um OE.</w:t>
      </w:r>
    </w:p>
    <w:p w:rsidR="00000000" w:rsidDel="00000000" w:rsidP="00000000" w:rsidRDefault="00000000" w:rsidRPr="00000000" w14:paraId="00000039">
      <w:pPr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Meta:</w:t>
      </w:r>
      <w:r w:rsidDel="00000000" w:rsidR="00000000" w:rsidRPr="00000000">
        <w:rPr>
          <w:rtl w:val="0"/>
        </w:rPr>
        <w:t xml:space="preserve"> valor-alvo associado a um indicador, com prazo e critérios de revisão.</w:t>
      </w:r>
    </w:p>
    <w:p w:rsidR="00000000" w:rsidDel="00000000" w:rsidP="00000000" w:rsidRDefault="00000000" w:rsidRPr="00000000" w14:paraId="0000003A">
      <w:pPr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Iniciativa:</w:t>
      </w:r>
      <w:r w:rsidDel="00000000" w:rsidR="00000000" w:rsidRPr="00000000">
        <w:rPr>
          <w:rtl w:val="0"/>
        </w:rPr>
        <w:t xml:space="preserve"> conjunto de ações estruturadas com escopo, prazo, responsáveis e entregáveis.</w:t>
      </w:r>
    </w:p>
    <w:p w:rsidR="00000000" w:rsidDel="00000000" w:rsidP="00000000" w:rsidRDefault="00000000" w:rsidRPr="00000000" w14:paraId="0000003B">
      <w:pPr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Rito:</w:t>
      </w:r>
      <w:r w:rsidDel="00000000" w:rsidR="00000000" w:rsidRPr="00000000">
        <w:rPr>
          <w:rtl w:val="0"/>
        </w:rPr>
        <w:t xml:space="preserve"> reunião ou checkpoint com pauta, materiais e decisões registradas.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Contexto e Importância.</w:t>
      </w:r>
      <w:r w:rsidDel="00000000" w:rsidR="00000000" w:rsidRPr="00000000">
        <w:rPr>
          <w:rtl w:val="0"/>
        </w:rPr>
        <w:t xml:space="preserve"> O monitoramento estratégico torna a execução transparente, comparável e ajustável. Sem indicadores confiáveis e cadências definidas, decisões tendem a ser reativas e baseadas em percepção. Com um sistema de monitoramento, o CBMAL prioriza recursos, antecipa riscos e comunica resultados de forma objetiva.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 prático.</w:t>
      </w:r>
      <w:r w:rsidDel="00000000" w:rsidR="00000000" w:rsidRPr="00000000">
        <w:rPr>
          <w:rtl w:val="0"/>
        </w:rPr>
        <w:t xml:space="preserve"> Se o tempo-resposta urbano aumenta por dois meses, o rito mensal detecta o desvio, a análise identifica causas (ex.: indisponibilidade de viaturas em área A) e a ação corretiva (realocação, revisão de POPs) é pactuada e verificada no ciclo seguinte.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Princípios.</w:t>
      </w:r>
      <w:r w:rsidDel="00000000" w:rsidR="00000000" w:rsidRPr="00000000">
        <w:rPr>
          <w:rtl w:val="0"/>
        </w:rPr>
        <w:t xml:space="preserve"> Legalidade; eficiência; transparência; foco em resultados; integridade; gestão baseada em dados; aprendizado contínuo; responsabilidade (accountability); colaboração.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Diretrizes.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Alinhamento ao Mapa Estratégico (BSC) e às diretrizes institucionais.</w:t>
      </w:r>
    </w:p>
    <w:p w:rsidR="00000000" w:rsidDel="00000000" w:rsidP="00000000" w:rsidRDefault="00000000" w:rsidRPr="00000000" w14:paraId="00000046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Rastreamento objetivo → indicador → iniciativa → resultado.</w:t>
      </w:r>
    </w:p>
    <w:p w:rsidR="00000000" w:rsidDel="00000000" w:rsidP="00000000" w:rsidRDefault="00000000" w:rsidRPr="00000000" w14:paraId="00000047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Cadência formal (mensal/trimestral/anual) com ritos e materiais padronizados.</w:t>
      </w:r>
    </w:p>
    <w:p w:rsidR="00000000" w:rsidDel="00000000" w:rsidP="00000000" w:rsidRDefault="00000000" w:rsidRPr="00000000" w14:paraId="00000048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Auditoria de indicadores e gestão de riscos associada.</w:t>
      </w:r>
    </w:p>
    <w:p w:rsidR="00000000" w:rsidDel="00000000" w:rsidP="00000000" w:rsidRDefault="00000000" w:rsidRPr="00000000" w14:paraId="00000049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Pactuação de resultados e prestação de contas.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Vinculações Normativas.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Política de Gestão Estratégica 2025–2029: Plano Estratégico 2025–2029</w:t>
      </w:r>
    </w:p>
    <w:p w:rsidR="00000000" w:rsidDel="00000000" w:rsidP="00000000" w:rsidRDefault="00000000" w:rsidRPr="00000000" w14:paraId="0000004E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Plano de Implementação da Estratégia 2025–2029</w:t>
      </w:r>
    </w:p>
    <w:p w:rsidR="00000000" w:rsidDel="00000000" w:rsidP="00000000" w:rsidRDefault="00000000" w:rsidRPr="00000000" w14:paraId="0000004F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MGP-CBMAL (Metodologia de Gerenciamento de Projetos)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Desenvolvimento.</w:t>
      </w:r>
      <w:r w:rsidDel="00000000" w:rsidR="00000000" w:rsidRPr="00000000">
        <w:rPr>
          <w:rtl w:val="0"/>
        </w:rPr>
        <w:t xml:space="preserve"> O plano integra arquitetura estratégica (BSC), execução tática (OKR), melhoria contínua (PDCA) e qualidade de dados (DQI). Cada objetivo estratégico é traduzido em indicadores com fichas técnicas; cada indicador possui metas e responsáveis; e cada iniciativa do portfólio se conecta aos resultados desejados. Ritos mensais, trimestrais e anuais asseguram disciplina e aprendizado.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Conclusão.</w:t>
      </w:r>
      <w:r w:rsidDel="00000000" w:rsidR="00000000" w:rsidRPr="00000000">
        <w:rPr>
          <w:rtl w:val="0"/>
        </w:rPr>
        <w:t xml:space="preserve"> Com instrumentos, cadências e responsabilidades definidos, o CBMAL obtém previsibilidade de resultados, capacidade de correção ágil e transparência nas prestações de contas. O monitoramento torna-se parte do trabalho cotidiano e não um evento isolado.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mxao5mv412bd" w:id="4"/>
      <w:bookmarkEnd w:id="4"/>
      <w:r w:rsidDel="00000000" w:rsidR="00000000" w:rsidRPr="00000000">
        <w:rPr>
          <w:rtl w:val="0"/>
        </w:rPr>
        <w:t xml:space="preserve">2. Governança da Estratégia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Introdução.</w:t>
      </w:r>
      <w:r w:rsidDel="00000000" w:rsidR="00000000" w:rsidRPr="00000000">
        <w:rPr>
          <w:rtl w:val="0"/>
        </w:rPr>
        <w:t xml:space="preserve"> Governança estabelece quem decide, como decide e com base em quais evidências. Sem papéis e instâncias claras, metas e iniciativas se dispersam, e o monitoramento perde efetividade.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Patrocínio e Instâncias.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Comando-Geral</w:t>
      </w:r>
      <w:r w:rsidDel="00000000" w:rsidR="00000000" w:rsidRPr="00000000">
        <w:rPr>
          <w:rtl w:val="0"/>
        </w:rPr>
        <w:t xml:space="preserve"> patrocina a estratégia e institui o </w:t>
      </w:r>
      <w:r w:rsidDel="00000000" w:rsidR="00000000" w:rsidRPr="00000000">
        <w:rPr>
          <w:b w:val="1"/>
          <w:bCs w:val="1"/>
          <w:rtl w:val="0"/>
        </w:rPr>
        <w:t xml:space="preserve">Comitê de Gestão da Estratégia</w:t>
      </w:r>
      <w:r w:rsidDel="00000000" w:rsidR="00000000" w:rsidRPr="00000000">
        <w:rPr>
          <w:rtl w:val="0"/>
        </w:rPr>
        <w:t xml:space="preserve">, com competências de validação, acompanhamento e deliberação.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Comitê de Gestão da Estratégia.</w:t>
      </w:r>
      <w:r w:rsidDel="00000000" w:rsidR="00000000" w:rsidRPr="00000000">
        <w:rPr>
          <w:rtl w:val="0"/>
        </w:rPr>
        <w:t xml:space="preserve"> Valida diretrizes, aprova metas e portfólio, acompanha indicadores e riscos, promove pactuação de resultados e integra unidades.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Papéis Essenciais.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Patrocinador:</w:t>
      </w:r>
      <w:r w:rsidDel="00000000" w:rsidR="00000000" w:rsidRPr="00000000">
        <w:rPr>
          <w:rtl w:val="0"/>
        </w:rPr>
        <w:t xml:space="preserve"> Comando-Geral.</w:t>
      </w:r>
    </w:p>
    <w:p w:rsidR="00000000" w:rsidDel="00000000" w:rsidP="00000000" w:rsidRDefault="00000000" w:rsidRPr="00000000" w14:paraId="00000060">
      <w:pPr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Coordenação da Estratégia:</w:t>
      </w:r>
      <w:r w:rsidDel="00000000" w:rsidR="00000000" w:rsidRPr="00000000">
        <w:rPr>
          <w:rtl w:val="0"/>
        </w:rPr>
        <w:t xml:space="preserve"> APO e Escritório de Projetos.</w:t>
      </w:r>
    </w:p>
    <w:p w:rsidR="00000000" w:rsidDel="00000000" w:rsidP="00000000" w:rsidRDefault="00000000" w:rsidRPr="00000000" w14:paraId="00000061">
      <w:pPr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Owners de Objetivos e Indicadores:</w:t>
      </w:r>
      <w:r w:rsidDel="00000000" w:rsidR="00000000" w:rsidRPr="00000000">
        <w:rPr>
          <w:rtl w:val="0"/>
        </w:rPr>
        <w:t xml:space="preserve"> Diretores temáticos e Chefes de OBM.</w:t>
      </w:r>
    </w:p>
    <w:p w:rsidR="00000000" w:rsidDel="00000000" w:rsidP="00000000" w:rsidRDefault="00000000" w:rsidRPr="00000000" w14:paraId="00000062">
      <w:pPr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Gestores de Iniciativas:</w:t>
      </w:r>
      <w:r w:rsidDel="00000000" w:rsidR="00000000" w:rsidRPr="00000000">
        <w:rPr>
          <w:rtl w:val="0"/>
        </w:rPr>
        <w:t xml:space="preserve"> Gerentes de Projeto/Comissões.</w:t>
      </w:r>
    </w:p>
    <w:p w:rsidR="00000000" w:rsidDel="00000000" w:rsidP="00000000" w:rsidRDefault="00000000" w:rsidRPr="00000000" w14:paraId="00000063">
      <w:pPr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Responsáveis por Riscos:</w:t>
      </w:r>
      <w:r w:rsidDel="00000000" w:rsidR="00000000" w:rsidRPr="00000000">
        <w:rPr>
          <w:rtl w:val="0"/>
        </w:rPr>
        <w:t xml:space="preserve"> Diretores e Gerentes de Projeto.</w:t>
      </w:r>
    </w:p>
    <w:p w:rsidR="00000000" w:rsidDel="00000000" w:rsidP="00000000" w:rsidRDefault="00000000" w:rsidRPr="00000000" w14:paraId="00000064">
      <w:pPr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Unidade de Apoio Analítico:</w:t>
      </w:r>
      <w:r w:rsidDel="00000000" w:rsidR="00000000" w:rsidRPr="00000000">
        <w:rPr>
          <w:rtl w:val="0"/>
        </w:rPr>
        <w:t xml:space="preserve"> equipe BI/SGE.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Ritos de Deliberação.</w:t>
      </w:r>
      <w:r w:rsidDel="00000000" w:rsidR="00000000" w:rsidRPr="00000000">
        <w:rPr>
          <w:rtl w:val="0"/>
        </w:rPr>
        <w:t xml:space="preserve"> Reuniões mensais (indicadores), trimestrais (portfólio, riscos, IMGG) e anuais (prestação de contas e valor público).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Contexto e Importância.</w:t>
      </w:r>
      <w:r w:rsidDel="00000000" w:rsidR="00000000" w:rsidRPr="00000000">
        <w:rPr>
          <w:rtl w:val="0"/>
        </w:rPr>
        <w:t xml:space="preserve"> Governança clara reduz ambiguidade, acelera decisões e sustenta a disciplina de execução. Papéis definidos evitam lacunas e sobreposições, assegurando responsabilização e continuidade.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 prático.</w:t>
      </w:r>
      <w:r w:rsidDel="00000000" w:rsidR="00000000" w:rsidRPr="00000000">
        <w:rPr>
          <w:rtl w:val="0"/>
        </w:rPr>
        <w:t xml:space="preserve"> O Owner do OE2 (Gestão Operacional) conduz análise de tempo-resposta, o EP apoia com metodologia e o Comitê delibera sobre contramedidas e recursos.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Referências.</w:t>
      </w:r>
      <w:r w:rsidDel="00000000" w:rsidR="00000000" w:rsidRPr="00000000">
        <w:rPr>
          <w:rtl w:val="0"/>
        </w:rPr>
        <w:t xml:space="preserve"> Governança estratégica e comitês de performance em organizações públicas (IMGG); boas práticas de gestão de portfólio (PMI).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Desenvolvimento.</w:t>
      </w:r>
      <w:r w:rsidDel="00000000" w:rsidR="00000000" w:rsidRPr="00000000">
        <w:rPr>
          <w:rtl w:val="0"/>
        </w:rPr>
        <w:t xml:space="preserve"> A atuação coordenada do Comitê, da Coordenação da Estratégia e dos Owners viabiliza decisões tempestivas e baseadas em dados. As deliberações registradas geram rastreabilidade e accountability. A governança também define escalas de prioridade e critérios de sucesso por objetivo.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Conclusão.</w:t>
      </w:r>
      <w:r w:rsidDel="00000000" w:rsidR="00000000" w:rsidRPr="00000000">
        <w:rPr>
          <w:rtl w:val="0"/>
        </w:rPr>
        <w:t xml:space="preserve"> Uma governança bem desenhada reduz ambiguidade, acelera o ciclo de decisão e sustenta a disciplina de execução. O resultado é maior consistência no alcance de metas.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uk8g5enirkkd" w:id="5"/>
      <w:bookmarkEnd w:id="5"/>
      <w:r w:rsidDel="00000000" w:rsidR="00000000" w:rsidRPr="00000000">
        <w:rPr>
          <w:rtl w:val="0"/>
        </w:rPr>
        <w:t xml:space="preserve">3. Metodologia do Monitoramento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Introdução.</w:t>
      </w:r>
      <w:r w:rsidDel="00000000" w:rsidR="00000000" w:rsidRPr="00000000">
        <w:rPr>
          <w:rtl w:val="0"/>
        </w:rPr>
        <w:t xml:space="preserve"> A metodologia combina visão sistêmica (BSC), foco trimestral em resultados (OKR), ciclos de melhoria (PDCA) e garantia da confiabilidade dos dados (DQI). O objetivo é alinhar método à prática do CBMAL.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Visão Geral.</w:t>
      </w:r>
      <w:r w:rsidDel="00000000" w:rsidR="00000000" w:rsidRPr="00000000">
        <w:rPr>
          <w:rtl w:val="0"/>
        </w:rPr>
        <w:t xml:space="preserve"> A metodologia adota BSC para arquitetura, OKR para execução tática trimestral, PDCA para melhoria contínua e auditorias para qualidade de dados.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Processo Passo a Passo.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Planejar: definir indicadores, metas e responsáveis; publicar fichas técnicas e cadências.</w:t>
      </w:r>
    </w:p>
    <w:p w:rsidR="00000000" w:rsidDel="00000000" w:rsidP="00000000" w:rsidRDefault="00000000" w:rsidRPr="00000000" w14:paraId="0000007B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Coletar: captar dados dos sistemas fonte (SGE, SAPS, RH, Saúde, TIC, Financeiro) conforme dicionário de dados.</w:t>
      </w:r>
    </w:p>
    <w:p w:rsidR="00000000" w:rsidDel="00000000" w:rsidP="00000000" w:rsidRDefault="00000000" w:rsidRPr="00000000" w14:paraId="0000007C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Validar: aplicar regras de DQI (completude, tempestividade, unicidade, consistência) e reconciliação intersistemas.</w:t>
      </w:r>
    </w:p>
    <w:p w:rsidR="00000000" w:rsidDel="00000000" w:rsidP="00000000" w:rsidRDefault="00000000" w:rsidRPr="00000000" w14:paraId="0000007D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Consolidar: compor painéis e relatórios com cortes por período, unidade, tema e iniciativa.</w:t>
      </w:r>
    </w:p>
    <w:p w:rsidR="00000000" w:rsidDel="00000000" w:rsidP="00000000" w:rsidRDefault="00000000" w:rsidRPr="00000000" w14:paraId="0000007E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Analisar: avaliar desempenho (RAG), tendências, causas e impactos; cruzar com portfólio e riscos.</w:t>
      </w:r>
    </w:p>
    <w:p w:rsidR="00000000" w:rsidDel="00000000" w:rsidP="00000000" w:rsidRDefault="00000000" w:rsidRPr="00000000" w14:paraId="0000007F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Decidir: propor e aprovar contramedidas, replanejamentos e ajustes de metas; registrar decisões.</w:t>
      </w:r>
    </w:p>
    <w:p w:rsidR="00000000" w:rsidDel="00000000" w:rsidP="00000000" w:rsidRDefault="00000000" w:rsidRPr="00000000" w14:paraId="00000080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Verificar: acompanhar execução das ações e medir efeito nas métricas; fechar ciclo com lições aprendidas.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Justificativas de Método.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BSC: promove visão sistêmica e alinhamento de objetivos com valor público.</w:t>
      </w:r>
    </w:p>
    <w:p w:rsidR="00000000" w:rsidDel="00000000" w:rsidP="00000000" w:rsidRDefault="00000000" w:rsidRPr="00000000" w14:paraId="00000085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OKR: acelera entregas e permite ajustes trimestrais com foco em resultados-chave.</w:t>
      </w:r>
    </w:p>
    <w:p w:rsidR="00000000" w:rsidDel="00000000" w:rsidP="00000000" w:rsidRDefault="00000000" w:rsidRPr="00000000" w14:paraId="00000086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PDCA: estrutura melhoria contínua e disciplina operacional.</w:t>
      </w:r>
    </w:p>
    <w:p w:rsidR="00000000" w:rsidDel="00000000" w:rsidP="00000000" w:rsidRDefault="00000000" w:rsidRPr="00000000" w14:paraId="00000087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Auditorias de dados: garantem confiabilidade e legitimidade das decisões.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Avaliação e Métricas.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Desempenho: metas por KPI, RAG e tendência (↑, ↓, →).</w:t>
      </w:r>
    </w:p>
    <w:p w:rsidR="00000000" w:rsidDel="00000000" w:rsidP="00000000" w:rsidRDefault="00000000" w:rsidRPr="00000000" w14:paraId="0000008C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Portfólio: prazo (SPI), custo (CPI), valor (entregáveis aceitos), riscos (probabilidade/impacto), capacidade (recursos vs demanda).</w:t>
      </w:r>
    </w:p>
    <w:p w:rsidR="00000000" w:rsidDel="00000000" w:rsidP="00000000" w:rsidRDefault="00000000" w:rsidRPr="00000000" w14:paraId="0000008D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Qualidade de dados: DQI ≥ 95%; falhas por tipo; tempo de correção.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Fluxograma (ASCII).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Coleta → Validação → Consolidação → Análise → Decisão → Ação → Verificação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|         |             |            |         |        |         |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Sistemas  DQI           Painéis      RAG       Comitê   Owners    Auditoria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 prático de ciclo OKR + PDCA.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No T1, define-se KR “Reduzir tempo-resposta urbano para ≤ 9 min”. Mensalmente, mede-se progresso; se não reduzir, ajusta-se alocação e POPs; no fechamento do trimestre, verifica-se resultado e registra-se aprendizado. </w:t>
      </w:r>
      <w:r w:rsidDel="00000000" w:rsidR="00000000" w:rsidRPr="00000000">
        <w:rPr>
          <w:b w:val="1"/>
          <w:bCs w:val="1"/>
          <w:rtl w:val="0"/>
        </w:rPr>
        <w:t xml:space="preserve">Referências Teóricas.</w:t>
      </w:r>
      <w:r w:rsidDel="00000000" w:rsidR="00000000" w:rsidRPr="00000000">
        <w:rPr>
          <w:rtl w:val="0"/>
        </w:rPr>
        <w:t xml:space="preserve"> Kaplan &amp; Norton (1992, 1996); Doerr (2018); Deming (1986); PMI (2021); Behn (2014); Barber (2011); Simons (1995); Wang &amp; Strong (1996); IMGG (governança pública).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Desenvolvimento.</w:t>
      </w:r>
      <w:r w:rsidDel="00000000" w:rsidR="00000000" w:rsidRPr="00000000">
        <w:rPr>
          <w:rtl w:val="0"/>
        </w:rPr>
        <w:t xml:space="preserve"> Cada etapa do processo possui entregáveis claros: fichas técnicas e cadências (Planejar); trilhas de auditoria e reconciliação (Validar); painéis e relatórios (Consolidar); análises RAG e causas (Analisar); atas com decisões e responsáveis (Decidir); plano de ação e verificação de efeitos (Verificar). O ciclo documenta aprendizado para próximas rodadas.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Conclusão.</w:t>
      </w:r>
      <w:r w:rsidDel="00000000" w:rsidR="00000000" w:rsidRPr="00000000">
        <w:rPr>
          <w:rtl w:val="0"/>
        </w:rPr>
        <w:t xml:space="preserve"> A combinação de métodos dá previsibilidade à execução e cria espaço para correções rápidas, sem perder a visão de longo prazo.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bgwmdr8g0ug2" w:id="6"/>
      <w:bookmarkEnd w:id="6"/>
      <w:r w:rsidDel="00000000" w:rsidR="00000000" w:rsidRPr="00000000">
        <w:rPr>
          <w:rtl w:val="0"/>
        </w:rPr>
        <w:t xml:space="preserve">4. Arquitetura de Objetivos Estratégicos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Introdução.</w:t>
      </w:r>
      <w:r w:rsidDel="00000000" w:rsidR="00000000" w:rsidRPr="00000000">
        <w:rPr>
          <w:rtl w:val="0"/>
        </w:rPr>
        <w:t xml:space="preserve"> A arquitetura organiza objetivos por temas, evidenciando relações de causa e efeito. Essa visão previne soluções isoladas e orienta escolhas de indicadores.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Temas Estratégicos e Objetivos (OE).</w:t>
      </w:r>
      <w:r w:rsidDel="00000000" w:rsidR="00000000" w:rsidRPr="00000000">
        <w:rPr>
          <w:rtl w:val="0"/>
        </w:rPr>
        <w:t xml:space="preserve"> Estruturados segundo o BSC e mapeados por causa e efeito.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Operacional: </w:t>
      </w:r>
      <w:r w:rsidDel="00000000" w:rsidR="00000000" w:rsidRPr="00000000">
        <w:rPr>
          <w:b w:val="1"/>
          <w:bCs w:val="1"/>
          <w:rtl w:val="0"/>
        </w:rPr>
        <w:t xml:space="preserve">OE1</w:t>
      </w:r>
      <w:r w:rsidDel="00000000" w:rsidR="00000000" w:rsidRPr="00000000">
        <w:rPr>
          <w:rtl w:val="0"/>
        </w:rPr>
        <w:t xml:space="preserve"> Fortalecer prevenção; </w:t>
      </w:r>
      <w:r w:rsidDel="00000000" w:rsidR="00000000" w:rsidRPr="00000000">
        <w:rPr>
          <w:b w:val="1"/>
          <w:bCs w:val="1"/>
          <w:rtl w:val="0"/>
        </w:rPr>
        <w:t xml:space="preserve">OE2</w:t>
      </w:r>
      <w:r w:rsidDel="00000000" w:rsidR="00000000" w:rsidRPr="00000000">
        <w:rPr>
          <w:rtl w:val="0"/>
        </w:rPr>
        <w:t xml:space="preserve"> Aperfeiçoar gestão operacional; </w:t>
      </w:r>
      <w:r w:rsidDel="00000000" w:rsidR="00000000" w:rsidRPr="00000000">
        <w:rPr>
          <w:b w:val="1"/>
          <w:bCs w:val="1"/>
          <w:rtl w:val="0"/>
        </w:rPr>
        <w:t xml:space="preserve">OE3</w:t>
      </w:r>
      <w:r w:rsidDel="00000000" w:rsidR="00000000" w:rsidRPr="00000000">
        <w:rPr>
          <w:rtl w:val="0"/>
        </w:rPr>
        <w:t xml:space="preserve"> Ampliar cobertura e diversificar serviços.</w:t>
      </w:r>
    </w:p>
    <w:p w:rsidR="00000000" w:rsidDel="00000000" w:rsidP="00000000" w:rsidRDefault="00000000" w:rsidRPr="00000000" w14:paraId="000000A4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Governança e Gestão: </w:t>
      </w:r>
      <w:r w:rsidDel="00000000" w:rsidR="00000000" w:rsidRPr="00000000">
        <w:rPr>
          <w:b w:val="1"/>
          <w:bCs w:val="1"/>
          <w:rtl w:val="0"/>
        </w:rPr>
        <w:t xml:space="preserve">OE4</w:t>
      </w:r>
      <w:r w:rsidDel="00000000" w:rsidR="00000000" w:rsidRPr="00000000">
        <w:rPr>
          <w:rtl w:val="0"/>
        </w:rPr>
        <w:t xml:space="preserve"> Aperfeiçoar gestão estratégica e serviço administrativo; </w:t>
      </w:r>
      <w:r w:rsidDel="00000000" w:rsidR="00000000" w:rsidRPr="00000000">
        <w:rPr>
          <w:b w:val="1"/>
          <w:bCs w:val="1"/>
          <w:rtl w:val="0"/>
        </w:rPr>
        <w:t xml:space="preserve">OE5</w:t>
      </w:r>
      <w:r w:rsidDel="00000000" w:rsidR="00000000" w:rsidRPr="00000000">
        <w:rPr>
          <w:rtl w:val="0"/>
        </w:rPr>
        <w:t xml:space="preserve"> Aprimorar governança corporativa.</w:t>
      </w:r>
    </w:p>
    <w:p w:rsidR="00000000" w:rsidDel="00000000" w:rsidP="00000000" w:rsidRDefault="00000000" w:rsidRPr="00000000" w14:paraId="000000A5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Comunicação: </w:t>
      </w:r>
      <w:r w:rsidDel="00000000" w:rsidR="00000000" w:rsidRPr="00000000">
        <w:rPr>
          <w:b w:val="1"/>
          <w:bCs w:val="1"/>
          <w:rtl w:val="0"/>
        </w:rPr>
        <w:t xml:space="preserve">OE6</w:t>
      </w:r>
      <w:r w:rsidDel="00000000" w:rsidR="00000000" w:rsidRPr="00000000">
        <w:rPr>
          <w:rtl w:val="0"/>
        </w:rPr>
        <w:t xml:space="preserve"> Fortalecer comunicação; </w:t>
      </w:r>
      <w:r w:rsidDel="00000000" w:rsidR="00000000" w:rsidRPr="00000000">
        <w:rPr>
          <w:b w:val="1"/>
          <w:bCs w:val="1"/>
          <w:rtl w:val="0"/>
        </w:rPr>
        <w:t xml:space="preserve">OE7</w:t>
      </w:r>
      <w:r w:rsidDel="00000000" w:rsidR="00000000" w:rsidRPr="00000000">
        <w:rPr>
          <w:rtl w:val="0"/>
        </w:rPr>
        <w:t xml:space="preserve"> Aprimorar educação pública preventiva.</w:t>
      </w:r>
    </w:p>
    <w:p w:rsidR="00000000" w:rsidDel="00000000" w:rsidP="00000000" w:rsidRDefault="00000000" w:rsidRPr="00000000" w14:paraId="000000A6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Pessoas: </w:t>
      </w:r>
      <w:r w:rsidDel="00000000" w:rsidR="00000000" w:rsidRPr="00000000">
        <w:rPr>
          <w:b w:val="1"/>
          <w:bCs w:val="1"/>
          <w:rtl w:val="0"/>
        </w:rPr>
        <w:t xml:space="preserve">OE8</w:t>
      </w:r>
      <w:r w:rsidDel="00000000" w:rsidR="00000000" w:rsidRPr="00000000">
        <w:rPr>
          <w:rtl w:val="0"/>
        </w:rPr>
        <w:t xml:space="preserve"> Otimizar gestão por competências; </w:t>
      </w:r>
      <w:r w:rsidDel="00000000" w:rsidR="00000000" w:rsidRPr="00000000">
        <w:rPr>
          <w:b w:val="1"/>
          <w:bCs w:val="1"/>
          <w:rtl w:val="0"/>
        </w:rPr>
        <w:t xml:space="preserve">OE9</w:t>
      </w:r>
      <w:r w:rsidDel="00000000" w:rsidR="00000000" w:rsidRPr="00000000">
        <w:rPr>
          <w:rtl w:val="0"/>
        </w:rPr>
        <w:t xml:space="preserve"> Valorizar profissional; </w:t>
      </w:r>
      <w:r w:rsidDel="00000000" w:rsidR="00000000" w:rsidRPr="00000000">
        <w:rPr>
          <w:b w:val="1"/>
          <w:bCs w:val="1"/>
          <w:rtl w:val="0"/>
        </w:rPr>
        <w:t xml:space="preserve">OE10</w:t>
      </w:r>
      <w:r w:rsidDel="00000000" w:rsidR="00000000" w:rsidRPr="00000000">
        <w:rPr>
          <w:rtl w:val="0"/>
        </w:rPr>
        <w:t xml:space="preserve"> Promover saúde e aptidão física.</w:t>
      </w:r>
    </w:p>
    <w:p w:rsidR="00000000" w:rsidDel="00000000" w:rsidP="00000000" w:rsidRDefault="00000000" w:rsidRPr="00000000" w14:paraId="000000A7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Correição e Ouvidoria: </w:t>
      </w:r>
      <w:r w:rsidDel="00000000" w:rsidR="00000000" w:rsidRPr="00000000">
        <w:rPr>
          <w:b w:val="1"/>
          <w:bCs w:val="1"/>
          <w:rtl w:val="0"/>
        </w:rPr>
        <w:t xml:space="preserve">OE11</w:t>
      </w:r>
      <w:r w:rsidDel="00000000" w:rsidR="00000000" w:rsidRPr="00000000">
        <w:rPr>
          <w:rtl w:val="0"/>
        </w:rPr>
        <w:t xml:space="preserve"> Reestruturar atividades disciplinares e de ouvidoria.</w:t>
      </w:r>
    </w:p>
    <w:p w:rsidR="00000000" w:rsidDel="00000000" w:rsidP="00000000" w:rsidRDefault="00000000" w:rsidRPr="00000000" w14:paraId="000000A8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Conhecimento: </w:t>
      </w:r>
      <w:r w:rsidDel="00000000" w:rsidR="00000000" w:rsidRPr="00000000">
        <w:rPr>
          <w:b w:val="1"/>
          <w:bCs w:val="1"/>
          <w:rtl w:val="0"/>
        </w:rPr>
        <w:t xml:space="preserve">OE12</w:t>
      </w:r>
      <w:r w:rsidDel="00000000" w:rsidR="00000000" w:rsidRPr="00000000">
        <w:rPr>
          <w:rtl w:val="0"/>
        </w:rPr>
        <w:t xml:space="preserve"> Desenvolver educação corporativa; </w:t>
      </w:r>
      <w:r w:rsidDel="00000000" w:rsidR="00000000" w:rsidRPr="00000000">
        <w:rPr>
          <w:b w:val="1"/>
          <w:bCs w:val="1"/>
          <w:rtl w:val="0"/>
        </w:rPr>
        <w:t xml:space="preserve">OE13</w:t>
      </w:r>
      <w:r w:rsidDel="00000000" w:rsidR="00000000" w:rsidRPr="00000000">
        <w:rPr>
          <w:rtl w:val="0"/>
        </w:rPr>
        <w:t xml:space="preserve"> Fortalecer gestão do conhecimento, pesquisa e inovação.</w:t>
      </w:r>
    </w:p>
    <w:p w:rsidR="00000000" w:rsidDel="00000000" w:rsidP="00000000" w:rsidRDefault="00000000" w:rsidRPr="00000000" w14:paraId="000000A9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Transformação Digital: </w:t>
      </w:r>
      <w:r w:rsidDel="00000000" w:rsidR="00000000" w:rsidRPr="00000000">
        <w:rPr>
          <w:b w:val="1"/>
          <w:bCs w:val="1"/>
          <w:rtl w:val="0"/>
        </w:rPr>
        <w:t xml:space="preserve">OE14</w:t>
      </w:r>
      <w:r w:rsidDel="00000000" w:rsidR="00000000" w:rsidRPr="00000000">
        <w:rPr>
          <w:rtl w:val="0"/>
        </w:rPr>
        <w:t xml:space="preserve"> Elevar maturidade digital do CBMAL.</w:t>
      </w:r>
    </w:p>
    <w:p w:rsidR="00000000" w:rsidDel="00000000" w:rsidP="00000000" w:rsidRDefault="00000000" w:rsidRPr="00000000" w14:paraId="000000AA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Infraestrutura: </w:t>
      </w:r>
      <w:r w:rsidDel="00000000" w:rsidR="00000000" w:rsidRPr="00000000">
        <w:rPr>
          <w:b w:val="1"/>
          <w:bCs w:val="1"/>
          <w:rtl w:val="0"/>
        </w:rPr>
        <w:t xml:space="preserve">OE15</w:t>
      </w:r>
      <w:r w:rsidDel="00000000" w:rsidR="00000000" w:rsidRPr="00000000">
        <w:rPr>
          <w:rtl w:val="0"/>
        </w:rPr>
        <w:t xml:space="preserve"> Garantir infraestrutura apropriada.</w:t>
      </w:r>
    </w:p>
    <w:p w:rsidR="00000000" w:rsidDel="00000000" w:rsidP="00000000" w:rsidRDefault="00000000" w:rsidRPr="00000000" w14:paraId="000000AB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Finanças: </w:t>
      </w:r>
      <w:r w:rsidDel="00000000" w:rsidR="00000000" w:rsidRPr="00000000">
        <w:rPr>
          <w:b w:val="1"/>
          <w:bCs w:val="1"/>
          <w:rtl w:val="0"/>
        </w:rPr>
        <w:t xml:space="preserve">OE16</w:t>
      </w:r>
      <w:r w:rsidDel="00000000" w:rsidR="00000000" w:rsidRPr="00000000">
        <w:rPr>
          <w:rtl w:val="0"/>
        </w:rPr>
        <w:t xml:space="preserve"> Aumentar arrecadação; </w:t>
      </w:r>
      <w:r w:rsidDel="00000000" w:rsidR="00000000" w:rsidRPr="00000000">
        <w:rPr>
          <w:b w:val="1"/>
          <w:bCs w:val="1"/>
          <w:rtl w:val="0"/>
        </w:rPr>
        <w:t xml:space="preserve">OE17</w:t>
      </w:r>
      <w:r w:rsidDel="00000000" w:rsidR="00000000" w:rsidRPr="00000000">
        <w:rPr>
          <w:rtl w:val="0"/>
        </w:rPr>
        <w:t xml:space="preserve"> Aprimorar execução orçamentária e financeira.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Rastreabilidade.</w:t>
      </w:r>
      <w:r w:rsidDel="00000000" w:rsidR="00000000" w:rsidRPr="00000000">
        <w:rPr>
          <w:rtl w:val="0"/>
        </w:rPr>
        <w:t xml:space="preserve"> Cada objetivo possui indicadores com </w:t>
      </w:r>
      <w:r w:rsidDel="00000000" w:rsidR="00000000" w:rsidRPr="00000000">
        <w:rPr>
          <w:b w:val="1"/>
          <w:bCs w:val="1"/>
          <w:rtl w:val="0"/>
        </w:rPr>
        <w:t xml:space="preserve">fichas técnicas</w:t>
      </w:r>
      <w:r w:rsidDel="00000000" w:rsidR="00000000" w:rsidRPr="00000000">
        <w:rPr>
          <w:rtl w:val="0"/>
        </w:rPr>
        <w:t xml:space="preserve"> (definição, fórmula, fonte, baseline, meta, owner, frequência, validações). As </w:t>
      </w:r>
      <w:r w:rsidDel="00000000" w:rsidR="00000000" w:rsidRPr="00000000">
        <w:rPr>
          <w:b w:val="1"/>
          <w:bCs w:val="1"/>
          <w:rtl w:val="0"/>
        </w:rPr>
        <w:t xml:space="preserve">iniciativas</w:t>
      </w:r>
      <w:r w:rsidDel="00000000" w:rsidR="00000000" w:rsidRPr="00000000">
        <w:rPr>
          <w:rtl w:val="0"/>
        </w:rPr>
        <w:t xml:space="preserve"> (portfólio) se vinculam a objetivos e indicadores.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Definições e Contexto.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 BSC (Kaplan &amp; Norton) organiza objetivos em perspectivas, permitindo visualizar relações de causa e efeito (ex.: capacitação → processos melhores → resultados para sociedade). Essa arquitetura orienta escolhas de indicadores e priorização de iniciativas.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 prático.</w:t>
      </w:r>
      <w:r w:rsidDel="00000000" w:rsidR="00000000" w:rsidRPr="00000000">
        <w:rPr>
          <w:rtl w:val="0"/>
        </w:rPr>
        <w:t xml:space="preserve"> Para alcançar OE3 (Cobertura), iniciativas de infraestrutura e pessoas (OE15 e OE8) são vinculadas, criando uma cadeia de resultados que impacta cobertura operacional e satisfação do usuário.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Desenvolvimento.</w:t>
      </w:r>
      <w:r w:rsidDel="00000000" w:rsidR="00000000" w:rsidRPr="00000000">
        <w:rPr>
          <w:rtl w:val="0"/>
        </w:rPr>
        <w:t xml:space="preserve"> Mapear dependências entre objetivos evita gargalos e facilita priorização do portfólio. Ao identificar alavancas de resultado (ex.: disponibilidade de viaturas e competências críticas), define-se onde agir primeiro.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Conclusão.</w:t>
      </w:r>
      <w:r w:rsidDel="00000000" w:rsidR="00000000" w:rsidRPr="00000000">
        <w:rPr>
          <w:rtl w:val="0"/>
        </w:rPr>
        <w:t xml:space="preserve"> Uma boa arquitetura aumenta clareza sobre como iniciativas se traduzem em valor público e garante coerência entre metas.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rv3ay5l9wox1" w:id="7"/>
      <w:bookmarkEnd w:id="7"/>
      <w:r w:rsidDel="00000000" w:rsidR="00000000" w:rsidRPr="00000000">
        <w:rPr>
          <w:rtl w:val="0"/>
        </w:rPr>
        <w:t xml:space="preserve">5. Metas e Indicadores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Introdução.</w:t>
      </w:r>
      <w:r w:rsidDel="00000000" w:rsidR="00000000" w:rsidRPr="00000000">
        <w:rPr>
          <w:rtl w:val="0"/>
        </w:rPr>
        <w:t xml:space="preserve"> Indicadores transformam objetivos em evidências observáveis. Metas estabelecem ambição e marcos de verificação. A clareza das definições técnicas evita interpretações conflitantes.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KPIs Primários (Outcome).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Tempo-resposta urbano (min)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Fórmula: Σ(chegada − despacho) / nº ocorrências.</w:t>
      </w:r>
    </w:p>
    <w:p w:rsidR="00000000" w:rsidDel="00000000" w:rsidP="00000000" w:rsidRDefault="00000000" w:rsidRPr="00000000" w14:paraId="000000C0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Baseline: 2024.</w:t>
      </w:r>
    </w:p>
    <w:p w:rsidR="00000000" w:rsidDel="00000000" w:rsidP="00000000" w:rsidRDefault="00000000" w:rsidRPr="00000000" w14:paraId="000000C1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 2029: ≤ 8.</w:t>
      </w:r>
    </w:p>
    <w:p w:rsidR="00000000" w:rsidDel="00000000" w:rsidP="00000000" w:rsidRDefault="00000000" w:rsidRPr="00000000" w14:paraId="000000C2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Frequência: diário/mensal.</w:t>
      </w:r>
    </w:p>
    <w:p w:rsidR="00000000" w:rsidDel="00000000" w:rsidP="00000000" w:rsidRDefault="00000000" w:rsidRPr="00000000" w14:paraId="000000C3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Owner: Diretorias Operacionais.</w:t>
      </w:r>
    </w:p>
    <w:p w:rsidR="00000000" w:rsidDel="00000000" w:rsidP="00000000" w:rsidRDefault="00000000" w:rsidRPr="00000000" w14:paraId="000000C4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Fonte: SGE/Despacho.</w:t>
      </w:r>
    </w:p>
    <w:p w:rsidR="00000000" w:rsidDel="00000000" w:rsidP="00000000" w:rsidRDefault="00000000" w:rsidRPr="00000000" w14:paraId="000000C5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Validações: consistência de timestamps; outliers.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Tempo-resposta rural (min)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 2029: ≤ 12; demais campos conforme urbano.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Cobertura operacional (%)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Fórmula: população atendida (municípios com OBM/PB) / população total × 100.</w:t>
      </w:r>
    </w:p>
    <w:p w:rsidR="00000000" w:rsidDel="00000000" w:rsidP="00000000" w:rsidRDefault="00000000" w:rsidRPr="00000000" w14:paraId="000000CE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 2029: ≥ 85%; benchmark CBMs ≥ 80%.</w:t>
      </w:r>
    </w:p>
    <w:p w:rsidR="00000000" w:rsidDel="00000000" w:rsidP="00000000" w:rsidRDefault="00000000" w:rsidRPr="00000000" w14:paraId="000000CF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Frequência: trimestral.</w:t>
      </w:r>
    </w:p>
    <w:p w:rsidR="00000000" w:rsidDel="00000000" w:rsidP="00000000" w:rsidRDefault="00000000" w:rsidRPr="00000000" w14:paraId="000000D0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Owner: Diretorias Operacionais/Logística.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Índice de sinistros relevantes por 100 mil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Fórmula: ocorrências classificadas / população × 100.000.</w:t>
      </w:r>
    </w:p>
    <w:p w:rsidR="00000000" w:rsidDel="00000000" w:rsidP="00000000" w:rsidRDefault="00000000" w:rsidRPr="00000000" w14:paraId="000000D5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 2029: −20% vs 2024.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Satisfação do usuário (%)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Fórmula: avaliações positivas / total × 100.</w:t>
      </w:r>
    </w:p>
    <w:p w:rsidR="00000000" w:rsidDel="00000000" w:rsidP="00000000" w:rsidRDefault="00000000" w:rsidRPr="00000000" w14:paraId="000000DA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 2029: ≥ 85%.</w:t>
      </w:r>
    </w:p>
    <w:p w:rsidR="00000000" w:rsidDel="00000000" w:rsidP="00000000" w:rsidRDefault="00000000" w:rsidRPr="00000000" w14:paraId="000000DB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Coleta: pós-atendimento.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Execução orçamentária (%)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Fórmula: despesas liquidadas / dotação atualizada × 100.</w:t>
      </w:r>
    </w:p>
    <w:p w:rsidR="00000000" w:rsidDel="00000000" w:rsidP="00000000" w:rsidRDefault="00000000" w:rsidRPr="00000000" w14:paraId="000000E0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 anual: ≥ 95%.</w:t>
      </w:r>
    </w:p>
    <w:p w:rsidR="00000000" w:rsidDel="00000000" w:rsidP="00000000" w:rsidRDefault="00000000" w:rsidRPr="00000000" w14:paraId="000000E1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Owner: APO/Financeiro.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KPIs Secundários (Leading/Capacidade).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Vistorias concluídas (%)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realizadas/planejadas × 100; meta ≥ 95%; Owner: DAT.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Digitalização de serviços DAT (%)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serviços online/total × 100; meta ≥ 90%; Owner: DAT/TIC.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Uptime sistemas críticos (%)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disponível/total × 100; meta ≥ 99,5%; Owner: TIC.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IMGG (pontos)</w:t>
      </w:r>
      <w:r w:rsidDel="00000000" w:rsidR="00000000" w:rsidRPr="00000000">
        <w:rPr>
          <w:rtl w:val="0"/>
        </w:rPr>
        <w:t xml:space="preserve">: pontuação oficial; meta 100; Owner: APO.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Iniciativas dentro do prazo (%)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no prazo/total × 100; meta ≥ 90%; Owner: EP/APO.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Competências críticas cobertas (%)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funções com titular e suplente/total × 100; meta ≥ 90%; Owner: RH.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Conformidade TAF (%)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militares conformes/total × 100; meta ≥ 90%; Owner: Saúde/CTFID.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Manutenção preventiva cobertura (%)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ativos com manutenção no prazo/total × 100; meta ≥ 95%; Owner: Logística.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Receita própria (var. %)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(receita 2029 − 2024) / 2024 × 100; meta ≥ +30%; Owner: Finanças.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Captação externa (R$)</w:t>
      </w:r>
      <w:r w:rsidDel="00000000" w:rsidR="00000000" w:rsidRPr="00000000">
        <w:rPr>
          <w:rtl w:val="0"/>
        </w:rPr>
        <w:t xml:space="preserve">: convênios/emendas/editais; meta crescente anual; Owner: Assessoria Parlamentar/Finanças.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Alcance de campanhas (%)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público-alvo impactado/total × 100; meta ≥ 80%; Owner: Comunicação.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Engajamento em canais (taxa de interação, %)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interações/visualizações × 100; meta ≥ 5%; Owner: Comunicação.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Cobertura territorial de ações preventivas (%)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municípios com ações/total × 100; meta ≥ 90%; Owner: Comunicação/DAT.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Participantes em programas preventivos (nº)</w:t>
      </w:r>
      <w:r w:rsidDel="00000000" w:rsidR="00000000" w:rsidRPr="00000000">
        <w:rPr>
          <w:rtl w:val="0"/>
        </w:rPr>
        <w:t xml:space="preserve">: participantes totais por período; meta crescente anual; Owner: Comunicação/DAT.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Retenção de conteúdos preventivos (%)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acertos em avaliações pós-ação/total × 100; meta ≥ 60%; Owner: Comunicação/ABM.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 médio de tramitação processual (dias)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Σ dias por processo/nº processos; meta ≤ 60; Owner: Correição/Ouvidoria.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Índice de resolução de demandas (%)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demandas resolvidas/total × 100; meta ≥ 85%; Owner: Correição/Ouvidoria.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Conformidade normativa (%)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processos conformes/total × 100; meta ≥ 95%; Owner: Correição.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Cumprimento do PACC (%)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ações de capacitação executadas/planejadas × 100; meta ≥ 90%; Owner: ABM/RH.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Horas de capacitação por militar (h/ano)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Σ horas registradas/efetivo; meta ≥ 40; Owner: ABM/RH.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Certificações obtidas (nº)</w:t>
      </w:r>
      <w:r w:rsidDel="00000000" w:rsidR="00000000" w:rsidRPr="00000000">
        <w:rPr>
          <w:rtl w:val="0"/>
        </w:rPr>
        <w:t xml:space="preserve">: certificações relevantes concluídas; meta crescente anual; Owner: ABM/RH.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Publicações técnicas/boas práticas (nº)</w:t>
      </w:r>
      <w:r w:rsidDel="00000000" w:rsidR="00000000" w:rsidRPr="00000000">
        <w:rPr>
          <w:rtl w:val="0"/>
        </w:rPr>
        <w:t xml:space="preserve">: publicações registradas; meta crescente anual; Owner: ABM/EP.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Projetos de inovação implementados (nº)</w:t>
      </w:r>
      <w:r w:rsidDel="00000000" w:rsidR="00000000" w:rsidRPr="00000000">
        <w:rPr>
          <w:rtl w:val="0"/>
        </w:rPr>
        <w:t xml:space="preserve">: projetos com implantação validada; meta crescente anual; Owner: TIC/EP.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Reuso de conhecimento (nº de adoções/citações internas)</w:t>
      </w:r>
      <w:r w:rsidDel="00000000" w:rsidR="00000000" w:rsidRPr="00000000">
        <w:rPr>
          <w:rtl w:val="0"/>
        </w:rPr>
        <w:t xml:space="preserve">: práticas adotadas/citações em documentos; meta crescente anual; Owner: ABM/EP.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bCs w:val="1"/>
          <w:rtl w:val="0"/>
        </w:rPr>
        <w:t xml:space="preserve">Qualidade de Dados (DQI).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Métrica composta (completude, tempestividade, unicidade, consistência); meta ≥ 95%.</w:t>
      </w:r>
    </w:p>
    <w:p w:rsidR="00000000" w:rsidDel="00000000" w:rsidP="00000000" w:rsidRDefault="00000000" w:rsidRPr="00000000" w14:paraId="00000118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Auditoria mensal e trimestral; trilhas de auditoria e reconciliação intersistemas.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Contexto e Importância.</w:t>
      </w:r>
      <w:r w:rsidDel="00000000" w:rsidR="00000000" w:rsidRPr="00000000">
        <w:rPr>
          <w:rtl w:val="0"/>
        </w:rPr>
        <w:t xml:space="preserve"> Indicadores confiáveis permitem comparar períodos, unidades e iniciativas, orientando decisões. O DQI assegura que conclusões sejam sustentadas por dados robustos. </w:t>
      </w:r>
      <w:r w:rsidDel="00000000" w:rsidR="00000000" w:rsidRPr="00000000">
        <w:rPr>
          <w:b w:val="1"/>
          <w:bCs w:val="1"/>
          <w:rtl w:val="0"/>
        </w:rPr>
        <w:t xml:space="preserve">Exemplos de Aplicação.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Tempo-resposta: redistribuir viaturas e treinar triagem se o tempo excede meta.</w:t>
      </w:r>
    </w:p>
    <w:p w:rsidR="00000000" w:rsidDel="00000000" w:rsidP="00000000" w:rsidRDefault="00000000" w:rsidRPr="00000000" w14:paraId="0000011D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Uptime TIC: acionar plano de continuidade e revisar arquitetura se queda recorrente.</w:t>
      </w:r>
    </w:p>
    <w:p w:rsidR="00000000" w:rsidDel="00000000" w:rsidP="00000000" w:rsidRDefault="00000000" w:rsidRPr="00000000" w14:paraId="0000011E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Execução orçamentária: priorizar compras e empenhos críticos no 3º trimestre. </w:t>
      </w:r>
      <w:r w:rsidDel="00000000" w:rsidR="00000000" w:rsidRPr="00000000">
        <w:rPr>
          <w:b w:val="1"/>
          <w:bCs w:val="1"/>
          <w:rtl w:val="0"/>
        </w:rPr>
        <w:t xml:space="preserve">Desenvolvimento.</w:t>
      </w:r>
      <w:r w:rsidDel="00000000" w:rsidR="00000000" w:rsidRPr="00000000">
        <w:rPr>
          <w:rtl w:val="0"/>
        </w:rPr>
        <w:t xml:space="preserve"> Cada KPI possui ficha técnica publicada e versão controlada. Baselines 2024, metas anuais e owners garantem accountability. Validações automáticas e amostragens humanas tratam outliers e exceções operacionais.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bCs w:val="1"/>
          <w:rtl w:val="0"/>
        </w:rPr>
        <w:t xml:space="preserve">Conclusão.</w:t>
      </w:r>
      <w:r w:rsidDel="00000000" w:rsidR="00000000" w:rsidRPr="00000000">
        <w:rPr>
          <w:rtl w:val="0"/>
        </w:rPr>
        <w:t xml:space="preserve"> Metas bem definidas e dados confiáveis permitem correções de rota e demonstram resultados com legitimidade.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rPr/>
      </w:pPr>
      <w:bookmarkStart w:colFirst="0" w:colLast="0" w:name="_a7x0k2l02spm" w:id="8"/>
      <w:bookmarkEnd w:id="8"/>
      <w:r w:rsidDel="00000000" w:rsidR="00000000" w:rsidRPr="00000000">
        <w:rPr>
          <w:rtl w:val="0"/>
        </w:rPr>
        <w:t xml:space="preserve">6. Cronograma de Implementação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b w:val="1"/>
          <w:bCs w:val="1"/>
          <w:rtl w:val="0"/>
        </w:rPr>
        <w:t xml:space="preserve">Introdução.</w:t>
      </w:r>
      <w:r w:rsidDel="00000000" w:rsidR="00000000" w:rsidRPr="00000000">
        <w:rPr>
          <w:rtl w:val="0"/>
        </w:rPr>
        <w:t xml:space="preserve"> O cronograma dá ritmo à execução, sequenciando estabilização, escalonamento e consolidação. Ele conecta marcos operacionais e estratégicos.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1"/>
          <w:bCs w:val="1"/>
          <w:rtl w:val="0"/>
        </w:rPr>
        <w:t xml:space="preserve">2025 (Estabilização e Baselines).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Jan–Fev: validação de linhas de base 2024; pactuação de metas 2025; publicação de fichas técnicas.</w:t>
      </w:r>
    </w:p>
    <w:p w:rsidR="00000000" w:rsidDel="00000000" w:rsidP="00000000" w:rsidRDefault="00000000" w:rsidRPr="00000000" w14:paraId="00000129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Mar–Dez: ciclos mensais de consolidação e relatório tático; revisões trimestrais (portfólio, riscos, IMGG).</w:t>
      </w:r>
    </w:p>
    <w:p w:rsidR="00000000" w:rsidDel="00000000" w:rsidP="00000000" w:rsidRDefault="00000000" w:rsidRPr="00000000" w14:paraId="0000012A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Jun: checkpoint semestral; ajustes de metas/recursos.</w:t>
      </w:r>
    </w:p>
    <w:p w:rsidR="00000000" w:rsidDel="00000000" w:rsidP="00000000" w:rsidRDefault="00000000" w:rsidRPr="00000000" w14:paraId="0000012B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Dez: avaliação anual; lições aprendidas; plano de melhorias 2026.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b w:val="1"/>
          <w:bCs w:val="1"/>
          <w:rtl w:val="0"/>
        </w:rPr>
        <w:t xml:space="preserve">2026–2028 (Escalonamento e Otimização).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Revisões anuais de metas; expansão de digitalização; consolidação de infraestrutura; melhoria de governança e IMGG.</w:t>
      </w:r>
    </w:p>
    <w:p w:rsidR="00000000" w:rsidDel="00000000" w:rsidP="00000000" w:rsidRDefault="00000000" w:rsidRPr="00000000" w14:paraId="00000130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Cadência mantida: mensal/trimestral/anual.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b w:val="1"/>
          <w:bCs w:val="1"/>
          <w:rtl w:val="0"/>
        </w:rPr>
        <w:t xml:space="preserve">2029 (Consolidação e Encerramento de Ciclo).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Revisão final de metas; avaliação de impacto e valor público; preparação do ciclo subsequente.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b w:val="1"/>
          <w:bCs w:val="1"/>
          <w:rtl w:val="0"/>
        </w:rPr>
        <w:t xml:space="preserve">Marcos Integrados.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PCA/PDLP; PACC; concursos e inaugurações; campanhas sazonais; projetos críticos (OE1–OE3, OE14–OE17).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 prático.</w:t>
      </w:r>
      <w:r w:rsidDel="00000000" w:rsidR="00000000" w:rsidRPr="00000000">
        <w:rPr>
          <w:rtl w:val="0"/>
        </w:rPr>
        <w:t xml:space="preserve"> No 1º semestre de 2025, validam-se baselines e fichas; a partir de março, relatórios mensais e revisões trimestrais alinham iniciativas com metas, ajustando capacidade e orçamento conforme desempenho.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b w:val="1"/>
          <w:bCs w:val="1"/>
          <w:rtl w:val="0"/>
        </w:rPr>
        <w:t xml:space="preserve">Desenvolvimento.</w:t>
      </w:r>
      <w:r w:rsidDel="00000000" w:rsidR="00000000" w:rsidRPr="00000000">
        <w:rPr>
          <w:rtl w:val="0"/>
        </w:rPr>
        <w:t xml:space="preserve"> A cadência evita acúmulo de pendências e reduz surpresas de fim de ano. Os marcos funcionam como checkpoints de valor, medindo efeitos em KPIs e portfólio.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1"/>
          <w:bCs w:val="1"/>
          <w:rtl w:val="0"/>
        </w:rPr>
        <w:t xml:space="preserve">Conclusão.</w:t>
      </w:r>
      <w:r w:rsidDel="00000000" w:rsidR="00000000" w:rsidRPr="00000000">
        <w:rPr>
          <w:rtl w:val="0"/>
        </w:rPr>
        <w:t xml:space="preserve"> O cronograma é uma ferramenta de governança: dá previsibilidade, monta agenda comum e organiza esforço institucional.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rPr/>
      </w:pPr>
      <w:bookmarkStart w:colFirst="0" w:colLast="0" w:name="_7cyzqnkabdz" w:id="9"/>
      <w:bookmarkEnd w:id="9"/>
      <w:r w:rsidDel="00000000" w:rsidR="00000000" w:rsidRPr="00000000">
        <w:rPr>
          <w:rtl w:val="0"/>
        </w:rPr>
        <w:t xml:space="preserve">7. Responsabilidades (Matriz RACI)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b w:val="1"/>
          <w:bCs w:val="1"/>
          <w:rtl w:val="0"/>
        </w:rPr>
        <w:t xml:space="preserve">Introdução.</w:t>
      </w:r>
      <w:r w:rsidDel="00000000" w:rsidR="00000000" w:rsidRPr="00000000">
        <w:rPr>
          <w:rtl w:val="0"/>
        </w:rPr>
        <w:t xml:space="preserve"> Definir quem faz, quem aprova, quem contribui e quem informa reduz ruído e acelera entregas.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b w:val="1"/>
          <w:bCs w:val="1"/>
          <w:rtl w:val="0"/>
        </w:rPr>
        <w:t xml:space="preserve">Patrocinador (A/I).</w:t>
      </w:r>
      <w:r w:rsidDel="00000000" w:rsidR="00000000" w:rsidRPr="00000000">
        <w:rPr>
          <w:rtl w:val="0"/>
        </w:rPr>
        <w:t xml:space="preserve"> Comando-Geral: aprova metas, portfólio e decisões estratégicas.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b w:val="1"/>
          <w:bCs w:val="1"/>
          <w:rtl w:val="0"/>
        </w:rPr>
        <w:t xml:space="preserve">Coordenação (R/A).</w:t>
      </w:r>
      <w:r w:rsidDel="00000000" w:rsidR="00000000" w:rsidRPr="00000000">
        <w:rPr>
          <w:rtl w:val="0"/>
        </w:rPr>
        <w:t xml:space="preserve"> APO e EP: metodologia, cadência, consolidação de indicadores e portfólios, gestão de riscos e relatórios.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b w:val="1"/>
          <w:bCs w:val="1"/>
          <w:rtl w:val="0"/>
        </w:rPr>
        <w:t xml:space="preserve">Owners de Objetivos/Indicadores (R).</w:t>
      </w:r>
      <w:r w:rsidDel="00000000" w:rsidR="00000000" w:rsidRPr="00000000">
        <w:rPr>
          <w:rtl w:val="0"/>
        </w:rPr>
        <w:t xml:space="preserve"> Diretores temáticos e Chefes de OBM: execução setorial, alimentação de painéis, ações corretivas.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b w:val="1"/>
          <w:bCs w:val="1"/>
          <w:rtl w:val="0"/>
        </w:rPr>
        <w:t xml:space="preserve">Gestores de Iniciativas (R).</w:t>
      </w:r>
      <w:r w:rsidDel="00000000" w:rsidR="00000000" w:rsidRPr="00000000">
        <w:rPr>
          <w:rtl w:val="0"/>
        </w:rPr>
        <w:t xml:space="preserve"> Gerentes de Projeto/Comissões: marcos, escopo, prazos, riscos e entregáveis.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b w:val="1"/>
          <w:bCs w:val="1"/>
          <w:rtl w:val="0"/>
        </w:rPr>
        <w:t xml:space="preserve">Unidade Analítica (R/C).</w:t>
      </w:r>
      <w:r w:rsidDel="00000000" w:rsidR="00000000" w:rsidRPr="00000000">
        <w:rPr>
          <w:rtl w:val="0"/>
        </w:rPr>
        <w:t xml:space="preserve"> BI/SGE: ETL, qualidade de dados, painéis, auditoria e suporte analítico.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b w:val="1"/>
          <w:bCs w:val="1"/>
          <w:rtl w:val="0"/>
        </w:rPr>
        <w:t xml:space="preserve">Stakeholders (C/I).</w:t>
      </w:r>
      <w:r w:rsidDel="00000000" w:rsidR="00000000" w:rsidRPr="00000000">
        <w:rPr>
          <w:rtl w:val="0"/>
        </w:rPr>
        <w:t xml:space="preserve"> Alto Comando, Oficiais de Ligação, Comunicação e Financeiro.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b w:val="1"/>
          <w:bCs w:val="1"/>
          <w:rtl w:val="0"/>
        </w:rPr>
        <w:t xml:space="preserve">Definições e Contexto.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 (Responsible):</w:t>
      </w:r>
      <w:r w:rsidDel="00000000" w:rsidR="00000000" w:rsidRPr="00000000">
        <w:rPr>
          <w:rtl w:val="0"/>
        </w:rPr>
        <w:t xml:space="preserve"> executa a tarefa.</w:t>
      </w:r>
    </w:p>
    <w:p w:rsidR="00000000" w:rsidDel="00000000" w:rsidP="00000000" w:rsidRDefault="00000000" w:rsidRPr="00000000" w14:paraId="00000153">
      <w:pPr>
        <w:numPr>
          <w:ilvl w:val="0"/>
          <w:numId w:val="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(Accountable):</w:t>
      </w:r>
      <w:r w:rsidDel="00000000" w:rsidR="00000000" w:rsidRPr="00000000">
        <w:rPr>
          <w:rtl w:val="0"/>
        </w:rPr>
        <w:t xml:space="preserve"> aprova o resultado e responde por ele.</w:t>
      </w:r>
    </w:p>
    <w:p w:rsidR="00000000" w:rsidDel="00000000" w:rsidP="00000000" w:rsidRDefault="00000000" w:rsidRPr="00000000" w14:paraId="00000154">
      <w:pPr>
        <w:numPr>
          <w:ilvl w:val="0"/>
          <w:numId w:val="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 (Consulted):</w:t>
      </w:r>
      <w:r w:rsidDel="00000000" w:rsidR="00000000" w:rsidRPr="00000000">
        <w:rPr>
          <w:rtl w:val="0"/>
        </w:rPr>
        <w:t xml:space="preserve"> contribui com conhecimento.</w:t>
      </w:r>
    </w:p>
    <w:p w:rsidR="00000000" w:rsidDel="00000000" w:rsidP="00000000" w:rsidRDefault="00000000" w:rsidRPr="00000000" w14:paraId="00000155">
      <w:pPr>
        <w:numPr>
          <w:ilvl w:val="0"/>
          <w:numId w:val="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 (Informed):</w:t>
      </w:r>
      <w:r w:rsidDel="00000000" w:rsidR="00000000" w:rsidRPr="00000000">
        <w:rPr>
          <w:rtl w:val="0"/>
        </w:rPr>
        <w:t xml:space="preserve"> recebe informação sobre decisões e resultados.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 prático.</w:t>
      </w:r>
      <w:r w:rsidDel="00000000" w:rsidR="00000000" w:rsidRPr="00000000">
        <w:rPr>
          <w:rtl w:val="0"/>
        </w:rPr>
        <w:t xml:space="preserve"> Em iniciativa de digitalização (OE14), TIC é R; Comando-Geral é A; DAT e APO são C; unidades impactadas são I.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b w:val="1"/>
          <w:bCs w:val="1"/>
          <w:rtl w:val="0"/>
        </w:rPr>
        <w:t xml:space="preserve">Desenvolvimento.</w:t>
      </w:r>
      <w:r w:rsidDel="00000000" w:rsidR="00000000" w:rsidRPr="00000000">
        <w:rPr>
          <w:rtl w:val="0"/>
        </w:rPr>
        <w:t xml:space="preserve"> A matriz RACI é revisada quando há mudanças organizacionais, novas iniciativas ou ajustes de metas. A divulgação melhora a coordenação entre diretorias e OBMs.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b w:val="1"/>
          <w:bCs w:val="1"/>
          <w:rtl w:val="0"/>
        </w:rPr>
        <w:t xml:space="preserve">Conclusão.</w:t>
      </w:r>
      <w:r w:rsidDel="00000000" w:rsidR="00000000" w:rsidRPr="00000000">
        <w:rPr>
          <w:rtl w:val="0"/>
        </w:rPr>
        <w:t xml:space="preserve"> A responsabilidade explícita sustenta accountability e evita lacunas de execução.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rPr/>
      </w:pPr>
      <w:bookmarkStart w:colFirst="0" w:colLast="0" w:name="_x7rlnvngi3ad" w:id="10"/>
      <w:bookmarkEnd w:id="10"/>
      <w:r w:rsidDel="00000000" w:rsidR="00000000" w:rsidRPr="00000000">
        <w:rPr>
          <w:rtl w:val="0"/>
        </w:rPr>
        <w:t xml:space="preserve">8. Mecanismos de Acompanhamento e Ritos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b w:val="1"/>
          <w:bCs w:val="1"/>
          <w:rtl w:val="0"/>
        </w:rPr>
        <w:t xml:space="preserve">Introdução.</w:t>
      </w:r>
      <w:r w:rsidDel="00000000" w:rsidR="00000000" w:rsidRPr="00000000">
        <w:rPr>
          <w:rtl w:val="0"/>
        </w:rPr>
        <w:t xml:space="preserve"> A rotina de acompanhamento transforma dados em decisões. Cadência e ritos são o coração do monitoramento.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b w:val="1"/>
          <w:bCs w:val="1"/>
          <w:rtl w:val="0"/>
        </w:rPr>
        <w:t xml:space="preserve">Cadência.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Diário: tempo-resposta, SLA triagem/ despacho, uptime TIC, ocorrências críticas.</w:t>
      </w:r>
    </w:p>
    <w:p w:rsidR="00000000" w:rsidDel="00000000" w:rsidP="00000000" w:rsidRDefault="00000000" w:rsidRPr="00000000" w14:paraId="00000164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Semanal: vistorias e filas DAT/RH/Saúde, incidentes TIC, manutenção preventiva.</w:t>
      </w:r>
    </w:p>
    <w:p w:rsidR="00000000" w:rsidDel="00000000" w:rsidP="00000000" w:rsidRDefault="00000000" w:rsidRPr="00000000" w14:paraId="00000165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Mensal: relatório tático por diretoria, consolidação de KPIs secundários, RAG por iniciativa.</w:t>
      </w:r>
    </w:p>
    <w:p w:rsidR="00000000" w:rsidDel="00000000" w:rsidP="00000000" w:rsidRDefault="00000000" w:rsidRPr="00000000" w14:paraId="00000166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Trimestral: comitê de governança; revisão de metas, riscos e portfólios; IMGG.</w:t>
      </w:r>
    </w:p>
    <w:p w:rsidR="00000000" w:rsidDel="00000000" w:rsidP="00000000" w:rsidRDefault="00000000" w:rsidRPr="00000000" w14:paraId="00000167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Anual: prestação de contas; valor público; lições aprendidas.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b w:val="1"/>
          <w:bCs w:val="1"/>
          <w:rtl w:val="0"/>
        </w:rPr>
        <w:t xml:space="preserve">Ritos.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Comitê de indicadores; revisão de portfólio; pactuação de resultados; sessão de lições aprendidas.</w:t>
      </w:r>
    </w:p>
    <w:p w:rsidR="00000000" w:rsidDel="00000000" w:rsidP="00000000" w:rsidRDefault="00000000" w:rsidRPr="00000000" w14:paraId="0000016C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Materiais padronizados: pauta, atas, relatórios e painéis.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b w:val="1"/>
          <w:bCs w:val="1"/>
          <w:rtl w:val="0"/>
        </w:rPr>
        <w:t xml:space="preserve">Protocolos de Ação (Gatilhos).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Tempo-resposta urbano &gt; meta em 10% por 2 meses → revisão de alocação, POPs e apoio GOA.</w:t>
      </w:r>
    </w:p>
    <w:p w:rsidR="00000000" w:rsidDel="00000000" w:rsidP="00000000" w:rsidRDefault="00000000" w:rsidRPr="00000000" w14:paraId="00000171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Uptime &lt; 99% em semana → ativar plano de continuidade; hardening; análise raiz.</w:t>
      </w:r>
    </w:p>
    <w:p w:rsidR="00000000" w:rsidDel="00000000" w:rsidP="00000000" w:rsidRDefault="00000000" w:rsidRPr="00000000" w14:paraId="00000172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Execução orçamentária &lt; 85% no 3º trimestre → replanejamento de compras e priorização.</w:t>
      </w:r>
    </w:p>
    <w:p w:rsidR="00000000" w:rsidDel="00000000" w:rsidP="00000000" w:rsidRDefault="00000000" w:rsidRPr="00000000" w14:paraId="00000173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DQI &lt; 90% por 2 ciclos → auditoria de dados; correção de ETL; capacitação.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Decisório (PDCA).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Detectar (RAG) → Analisar causas → Definir contramedidas (responsável, prazo) → Executar → Verificar → Registrar lições. </w:t>
      </w:r>
      <w:r w:rsidDel="00000000" w:rsidR="00000000" w:rsidRPr="00000000">
        <w:rPr>
          <w:b w:val="1"/>
          <w:bCs w:val="1"/>
          <w:rtl w:val="0"/>
        </w:rPr>
        <w:t xml:space="preserve">Exemplo prático.</w:t>
      </w:r>
      <w:r w:rsidDel="00000000" w:rsidR="00000000" w:rsidRPr="00000000">
        <w:rPr>
          <w:rtl w:val="0"/>
        </w:rPr>
        <w:t xml:space="preserve"> A cadência mensal consolida KPIs secundários e foca no que muda resultado (tempo-resposta, cobertura, satisfação). O comitê trimestral revisa prioridades e riscos, garantindo alinhamento com valor público.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b w:val="1"/>
          <w:bCs w:val="1"/>
          <w:rtl w:val="0"/>
        </w:rPr>
        <w:t xml:space="preserve">Desenvolvimento.</w:t>
      </w:r>
      <w:r w:rsidDel="00000000" w:rsidR="00000000" w:rsidRPr="00000000">
        <w:rPr>
          <w:rtl w:val="0"/>
        </w:rPr>
        <w:t xml:space="preserve"> Gatilhos explícitos ativam respostas proporcionais e padronizam postura diante de desvios. O registro de decisões cria memória institucional e aprendizado.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b w:val="1"/>
          <w:bCs w:val="1"/>
          <w:rtl w:val="0"/>
        </w:rPr>
        <w:t xml:space="preserve">Conclusão.</w:t>
      </w:r>
      <w:r w:rsidDel="00000000" w:rsidR="00000000" w:rsidRPr="00000000">
        <w:rPr>
          <w:rtl w:val="0"/>
        </w:rPr>
        <w:t xml:space="preserve"> Ritos bem conduzidos promovem disciplina e tornam o sistema responsivo sem burocratizar a execução.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rPr/>
      </w:pPr>
      <w:bookmarkStart w:colFirst="0" w:colLast="0" w:name="_q08te2wkprwr" w:id="11"/>
      <w:bookmarkEnd w:id="11"/>
      <w:r w:rsidDel="00000000" w:rsidR="00000000" w:rsidRPr="00000000">
        <w:rPr>
          <w:rtl w:val="0"/>
        </w:rPr>
        <w:t xml:space="preserve">9. Processos e Artefatos (Templates e Painéis)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b w:val="1"/>
          <w:bCs w:val="1"/>
          <w:rtl w:val="0"/>
        </w:rPr>
        <w:t xml:space="preserve">Introdução.</w:t>
      </w:r>
      <w:r w:rsidDel="00000000" w:rsidR="00000000" w:rsidRPr="00000000">
        <w:rPr>
          <w:rtl w:val="0"/>
        </w:rPr>
        <w:t xml:space="preserve"> Artefatos padronizados economizam tempo, elevam comparabilidade e sustentam a narrativa executiva.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b w:val="1"/>
          <w:bCs w:val="1"/>
          <w:rtl w:val="0"/>
        </w:rPr>
        <w:t xml:space="preserve">Relatórios Padronizados.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Relatório Tático Mensal: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Modelos/Relatorio_Tatico_Mensal.txt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Relatório Executivo Trimestral: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Modelos/Relatorio_Executivo_Trimestral.txt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b w:val="1"/>
          <w:bCs w:val="1"/>
          <w:rtl w:val="0"/>
        </w:rPr>
        <w:t xml:space="preserve">Dashboards (Wireframes).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Estruturas previstas: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Modelos/Dashboard_Wireframes.txt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b w:val="1"/>
          <w:bCs w:val="1"/>
          <w:rtl w:val="0"/>
        </w:rPr>
        <w:t xml:space="preserve">Padrões Visuais e Narrativos.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Convenções RAG, paleta e metadados: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Modelos/Padroes_Visuais_e_Narrativos.txt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b w:val="1"/>
          <w:bCs w:val="1"/>
          <w:rtl w:val="0"/>
        </w:rPr>
        <w:t xml:space="preserve">Fichas Técnicas de Indicadores.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Definição; fórmula; unidade; fonte; baseline; meta; owner; frequência; validações; histórico de mudanças.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Contexto e Importância.</w:t>
      </w:r>
      <w:r w:rsidDel="00000000" w:rsidR="00000000" w:rsidRPr="00000000">
        <w:rPr>
          <w:rtl w:val="0"/>
        </w:rPr>
        <w:t xml:space="preserve"> Artefatos padronizados reduzem esforços de preparação e aumentam comparabilidade entre áreas. Painéis dão visibilidade rápida e direcionam pautas dos ritos.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b w:val="1"/>
          <w:bCs w:val="1"/>
          <w:rtl w:val="0"/>
        </w:rPr>
        <w:t xml:space="preserve">Desenvolvimento.</w:t>
      </w:r>
      <w:r w:rsidDel="00000000" w:rsidR="00000000" w:rsidRPr="00000000">
        <w:rPr>
          <w:rtl w:val="0"/>
        </w:rPr>
        <w:t xml:space="preserve"> O uso consistente dos modelos facilita auditorias e acelera a preparação das pautas dos comitês. Os painéis são iterados com feedback das áreas.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b w:val="1"/>
          <w:bCs w:val="1"/>
          <w:rtl w:val="0"/>
        </w:rPr>
        <w:t xml:space="preserve">Conclusão.</w:t>
      </w:r>
      <w:r w:rsidDel="00000000" w:rsidR="00000000" w:rsidRPr="00000000">
        <w:rPr>
          <w:rtl w:val="0"/>
        </w:rPr>
        <w:t xml:space="preserve"> Processos e artefatos transformam dados em informação acionável e suportam decisões ágeis.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rPr/>
      </w:pPr>
      <w:bookmarkStart w:colFirst="0" w:colLast="0" w:name="_z1pdox8of20x" w:id="12"/>
      <w:bookmarkEnd w:id="12"/>
      <w:r w:rsidDel="00000000" w:rsidR="00000000" w:rsidRPr="00000000">
        <w:rPr>
          <w:rtl w:val="0"/>
        </w:rPr>
        <w:t xml:space="preserve">10. Gestão de Riscos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b w:val="1"/>
          <w:bCs w:val="1"/>
          <w:rtl w:val="0"/>
        </w:rPr>
        <w:t xml:space="preserve">Introdução.</w:t>
      </w:r>
      <w:r w:rsidDel="00000000" w:rsidR="00000000" w:rsidRPr="00000000">
        <w:rPr>
          <w:rtl w:val="0"/>
        </w:rPr>
        <w:t xml:space="preserve"> Riscos são incertezas que podem afetar objetivos. Tratá-los de forma sistemática evita surpresas e protege resultados.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b w:val="1"/>
          <w:bCs w:val="1"/>
          <w:rtl w:val="0"/>
        </w:rPr>
        <w:t xml:space="preserve">Diretrizes.</w:t>
      </w:r>
      <w:r w:rsidDel="00000000" w:rsidR="00000000" w:rsidRPr="00000000">
        <w:rPr>
          <w:rtl w:val="0"/>
        </w:rPr>
        <w:t xml:space="preserve"> Vincular riscos a objetivos e iniciativas; classificar por probabilidade/impacto; definir plano de resposta; monitorar em cada ciclo.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b w:val="1"/>
          <w:bCs w:val="1"/>
          <w:rtl w:val="0"/>
        </w:rPr>
        <w:t xml:space="preserve">Matriz de Riscos.</w:t>
      </w:r>
      <w:r w:rsidDel="00000000" w:rsidR="00000000" w:rsidRPr="00000000">
        <w:rPr>
          <w:rtl w:val="0"/>
        </w:rPr>
        <w:t xml:space="preserve"> Atualização mínima trimestral, com donos de risco e status de mitigação.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b w:val="1"/>
          <w:bCs w:val="1"/>
          <w:rtl w:val="0"/>
        </w:rPr>
        <w:t xml:space="preserve">Contingências.</w:t>
      </w:r>
      <w:r w:rsidDel="00000000" w:rsidR="00000000" w:rsidRPr="00000000">
        <w:rPr>
          <w:rtl w:val="0"/>
        </w:rPr>
        <w:t xml:space="preserve"> Operação degradada; backups e DRP; coleta manual com validação; replanejamento de metas; realocação emergencial; ativação de Força Tarefa.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 prático.</w:t>
      </w:r>
      <w:r w:rsidDel="00000000" w:rsidR="00000000" w:rsidRPr="00000000">
        <w:rPr>
          <w:rtl w:val="0"/>
        </w:rPr>
        <w:t xml:space="preserve"> Se incidentes TIC aumentam e o uptime cai, o risco “Indisponibilidade de sistemas críticos” é elevado; mitigações incluem redundância, hardening e plano de continuidade com testes regulares.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b w:val="1"/>
          <w:bCs w:val="1"/>
          <w:rtl w:val="0"/>
        </w:rPr>
        <w:t xml:space="preserve">Desenvolvimento.</w:t>
      </w:r>
      <w:r w:rsidDel="00000000" w:rsidR="00000000" w:rsidRPr="00000000">
        <w:rPr>
          <w:rtl w:val="0"/>
        </w:rPr>
        <w:t xml:space="preserve"> A priorização considera exposição e efetividade das respostas. Planos são testados periodicamente para garantir prontidão.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b w:val="1"/>
          <w:bCs w:val="1"/>
          <w:rtl w:val="0"/>
        </w:rPr>
        <w:t xml:space="preserve">Conclusão.</w:t>
      </w:r>
      <w:r w:rsidDel="00000000" w:rsidR="00000000" w:rsidRPr="00000000">
        <w:rPr>
          <w:rtl w:val="0"/>
        </w:rPr>
        <w:t xml:space="preserve"> A gestão de riscos integrada ao monitoramento melhora a resiliência institucional e acelera a recuperação diante de incidentes.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rPr/>
      </w:pPr>
      <w:bookmarkStart w:colFirst="0" w:colLast="0" w:name="_plxl5w8c02x" w:id="13"/>
      <w:bookmarkEnd w:id="13"/>
      <w:r w:rsidDel="00000000" w:rsidR="00000000" w:rsidRPr="00000000">
        <w:rPr>
          <w:rtl w:val="0"/>
        </w:rPr>
        <w:t xml:space="preserve">11. Comunicação e Endomarketing da Estratégia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b w:val="1"/>
          <w:bCs w:val="1"/>
          <w:rtl w:val="0"/>
        </w:rPr>
        <w:t xml:space="preserve">Introdução.</w:t>
      </w:r>
      <w:r w:rsidDel="00000000" w:rsidR="00000000" w:rsidRPr="00000000">
        <w:rPr>
          <w:rtl w:val="0"/>
        </w:rPr>
        <w:t xml:space="preserve"> Comunicação efetiva engaja pessoas, torna a estratégia compreensível e amplia a adesão às decisões.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b w:val="1"/>
          <w:bCs w:val="1"/>
          <w:rtl w:val="0"/>
        </w:rPr>
        <w:t xml:space="preserve">Plano de Comunicação.</w:t>
      </w:r>
      <w:r w:rsidDel="00000000" w:rsidR="00000000" w:rsidRPr="00000000">
        <w:rPr>
          <w:rtl w:val="0"/>
        </w:rPr>
        <w:t xml:space="preserve"> Pautas, canais e mensagens padronizados para engajamento e divulgação de resultados.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b w:val="1"/>
          <w:bCs w:val="1"/>
          <w:rtl w:val="0"/>
        </w:rPr>
        <w:t xml:space="preserve">Transparência.</w:t>
      </w:r>
      <w:r w:rsidDel="00000000" w:rsidR="00000000" w:rsidRPr="00000000">
        <w:rPr>
          <w:rtl w:val="0"/>
        </w:rPr>
        <w:t xml:space="preserve"> Publicação seletiva de indicadores, relatórios executivos e marcos; linguagem técnica acessível.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b w:val="1"/>
          <w:bCs w:val="1"/>
          <w:rtl w:val="0"/>
        </w:rPr>
        <w:t xml:space="preserve">Educação Preventiva.</w:t>
      </w:r>
      <w:r w:rsidDel="00000000" w:rsidR="00000000" w:rsidRPr="00000000">
        <w:rPr>
          <w:rtl w:val="0"/>
        </w:rPr>
        <w:t xml:space="preserve"> Integração com OE7 para campanhas sazonais e ações multicanais.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 prático.</w:t>
      </w:r>
      <w:r w:rsidDel="00000000" w:rsidR="00000000" w:rsidRPr="00000000">
        <w:rPr>
          <w:rtl w:val="0"/>
        </w:rPr>
        <w:t xml:space="preserve"> Publicar dashboards executivos trimestrais com narrativas claras e chamar atenção para decisões e aprendizados, reforçando accountability e engajamento.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b w:val="1"/>
          <w:bCs w:val="1"/>
          <w:rtl w:val="0"/>
        </w:rPr>
        <w:t xml:space="preserve">Desenvolvimento.</w:t>
      </w:r>
      <w:r w:rsidDel="00000000" w:rsidR="00000000" w:rsidRPr="00000000">
        <w:rPr>
          <w:rtl w:val="0"/>
        </w:rPr>
        <w:t xml:space="preserve"> Os materiais priorizam linguagem acessível com precisão técnica, usando visualizações consistentes e mensagens orientadas à ação.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b w:val="1"/>
          <w:bCs w:val="1"/>
          <w:rtl w:val="0"/>
        </w:rPr>
        <w:t xml:space="preserve">Conclusão.</w:t>
      </w:r>
      <w:r w:rsidDel="00000000" w:rsidR="00000000" w:rsidRPr="00000000">
        <w:rPr>
          <w:rtl w:val="0"/>
        </w:rPr>
        <w:t xml:space="preserve"> Comunicação sistemática melhora alinhamento interno, legitima escolhas e fortalece a cultura de gestão.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rPr/>
      </w:pPr>
      <w:bookmarkStart w:colFirst="0" w:colLast="0" w:name="_yu2vykqugzb7" w:id="14"/>
      <w:bookmarkEnd w:id="14"/>
      <w:r w:rsidDel="00000000" w:rsidR="00000000" w:rsidRPr="00000000">
        <w:rPr>
          <w:rtl w:val="0"/>
        </w:rPr>
        <w:t xml:space="preserve">12. Integrações de Sistemas e Qualidade de Dados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b w:val="1"/>
          <w:bCs w:val="1"/>
          <w:rtl w:val="0"/>
        </w:rPr>
        <w:t xml:space="preserve">Introdução.</w:t>
      </w:r>
      <w:r w:rsidDel="00000000" w:rsidR="00000000" w:rsidRPr="00000000">
        <w:rPr>
          <w:rtl w:val="0"/>
        </w:rPr>
        <w:t xml:space="preserve"> Integrações reduzem trabalho manual e aumentam confiabilidade. Qualidade de dados é condição para decisões legítimas.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b w:val="1"/>
          <w:bCs w:val="1"/>
          <w:rtl w:val="0"/>
        </w:rPr>
        <w:t xml:space="preserve">Sistemas Alvo.</w:t>
      </w:r>
      <w:r w:rsidDel="00000000" w:rsidR="00000000" w:rsidRPr="00000000">
        <w:rPr>
          <w:rtl w:val="0"/>
        </w:rPr>
        <w:t xml:space="preserve"> SGE (ou sucessor), BI corporativo, SAPS (DAT), BM Saúde, RH, GOA, Intranet.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b w:val="1"/>
          <w:bCs w:val="1"/>
          <w:rtl w:val="0"/>
        </w:rPr>
        <w:t xml:space="preserve">Coleta.</w:t>
      </w:r>
      <w:r w:rsidDel="00000000" w:rsidR="00000000" w:rsidRPr="00000000">
        <w:rPr>
          <w:rtl w:val="0"/>
        </w:rPr>
        <w:t xml:space="preserve"> Automática (API/ETL) com dicionário de dados e metadados; manual padronizada; híbrida com validação humana para outliers e exceções.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b w:val="1"/>
          <w:bCs w:val="1"/>
          <w:rtl w:val="0"/>
        </w:rPr>
        <w:t xml:space="preserve">Qualidade.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DQI ≥ 95%; trilhas de auditoria; reconciliação intersistemas; segurança e LGPD; perfis de acesso e logs.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 prático.</w:t>
      </w:r>
      <w:r w:rsidDel="00000000" w:rsidR="00000000" w:rsidRPr="00000000">
        <w:rPr>
          <w:rtl w:val="0"/>
        </w:rPr>
        <w:t xml:space="preserve"> Quando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tempo_resposta_urbano_min</w:t>
      </w:r>
      <w:r w:rsidDel="00000000" w:rsidR="00000000" w:rsidRPr="00000000">
        <w:rPr>
          <w:rtl w:val="0"/>
        </w:rPr>
        <w:t xml:space="preserve"> diverge do log de rádio, aplica-se reconciliação e corrige-se ETL; se recorrente, abre-se ação corretiva e ajusta-se processo de coleta.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b w:val="1"/>
          <w:bCs w:val="1"/>
          <w:rtl w:val="0"/>
        </w:rPr>
        <w:t xml:space="preserve">Desenvolvimento.</w:t>
      </w:r>
      <w:r w:rsidDel="00000000" w:rsidR="00000000" w:rsidRPr="00000000">
        <w:rPr>
          <w:rtl w:val="0"/>
        </w:rPr>
        <w:t xml:space="preserve"> O dicionário de dados padroniza entidades, atributos e regras, facilitando interoperabilidade. Perfis e logs sustentam conformidade e investigação.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b w:val="1"/>
          <w:bCs w:val="1"/>
          <w:rtl w:val="0"/>
        </w:rPr>
        <w:t xml:space="preserve">Conclusão.</w:t>
      </w:r>
      <w:r w:rsidDel="00000000" w:rsidR="00000000" w:rsidRPr="00000000">
        <w:rPr>
          <w:rtl w:val="0"/>
        </w:rPr>
        <w:t xml:space="preserve"> Sistemas integrados e dados de qualidade sustentam todo o ciclo de monitoramento e reduzem custos operacionais.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rPr/>
      </w:pPr>
      <w:bookmarkStart w:colFirst="0" w:colLast="0" w:name="_l0whlbi7fdrr" w:id="15"/>
      <w:bookmarkEnd w:id="15"/>
      <w:r w:rsidDel="00000000" w:rsidR="00000000" w:rsidRPr="00000000">
        <w:rPr>
          <w:rtl w:val="0"/>
        </w:rPr>
        <w:t xml:space="preserve">13. Disposições Finais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b w:val="1"/>
          <w:bCs w:val="1"/>
          <w:rtl w:val="0"/>
        </w:rPr>
        <w:t xml:space="preserve">Introdução.</w:t>
      </w:r>
      <w:r w:rsidDel="00000000" w:rsidR="00000000" w:rsidRPr="00000000">
        <w:rPr>
          <w:rtl w:val="0"/>
        </w:rPr>
        <w:t xml:space="preserve"> Este capítulo consolida regras de convivência do plano com a política institucional e define sua dinâmica de atualização.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b w:val="1"/>
          <w:bCs w:val="1"/>
          <w:rtl w:val="0"/>
        </w:rPr>
        <w:t xml:space="preserve">Conformidade.</w:t>
      </w:r>
      <w:r w:rsidDel="00000000" w:rsidR="00000000" w:rsidRPr="00000000">
        <w:rPr>
          <w:rtl w:val="0"/>
        </w:rPr>
        <w:t xml:space="preserve"> Este plano é complementar à </w:t>
      </w:r>
      <w:r w:rsidDel="00000000" w:rsidR="00000000" w:rsidRPr="00000000">
        <w:rPr>
          <w:b w:val="1"/>
          <w:bCs w:val="1"/>
          <w:rtl w:val="0"/>
        </w:rPr>
        <w:t xml:space="preserve">Política de Gestão Estratégica 2025–2029</w:t>
      </w:r>
      <w:r w:rsidDel="00000000" w:rsidR="00000000" w:rsidRPr="00000000">
        <w:rPr>
          <w:rtl w:val="0"/>
        </w:rPr>
        <w:t xml:space="preserve"> e ao </w:t>
      </w:r>
      <w:r w:rsidDel="00000000" w:rsidR="00000000" w:rsidRPr="00000000">
        <w:rPr>
          <w:b w:val="1"/>
          <w:bCs w:val="1"/>
          <w:rtl w:val="0"/>
        </w:rPr>
        <w:t xml:space="preserve">Plano de Implementação</w:t>
      </w:r>
      <w:r w:rsidDel="00000000" w:rsidR="00000000" w:rsidRPr="00000000">
        <w:rPr>
          <w:rtl w:val="0"/>
        </w:rPr>
        <w:t xml:space="preserve">; prevalecem atos normativos superiores em casos de conflito.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b w:val="1"/>
          <w:bCs w:val="1"/>
          <w:rtl w:val="0"/>
        </w:rPr>
        <w:t xml:space="preserve">Atualizações.</w:t>
      </w:r>
      <w:r w:rsidDel="00000000" w:rsidR="00000000" w:rsidRPr="00000000">
        <w:rPr>
          <w:rtl w:val="0"/>
        </w:rPr>
        <w:t xml:space="preserve"> Revisões anuais e extraordinárias mediante deliberação do Comitê.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b w:val="1"/>
          <w:bCs w:val="1"/>
          <w:rtl w:val="0"/>
        </w:rPr>
        <w:t xml:space="preserve">Prontidão para Implementação.</w:t>
      </w:r>
      <w:r w:rsidDel="00000000" w:rsidR="00000000" w:rsidRPr="00000000">
        <w:rPr>
          <w:rtl w:val="0"/>
        </w:rPr>
        <w:t xml:space="preserve"> Artefatos e ritos definidos; indicadores e metas pactuáveis; cadência e responsabilidades estabelecidas.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b w:val="1"/>
          <w:bCs w:val="1"/>
          <w:rtl w:val="0"/>
        </w:rPr>
        <w:t xml:space="preserve">Conclusão.</w:t>
      </w:r>
      <w:r w:rsidDel="00000000" w:rsidR="00000000" w:rsidRPr="00000000">
        <w:rPr>
          <w:rtl w:val="0"/>
        </w:rPr>
        <w:t xml:space="preserve"> Regras claras e calendário de revisões asseguram que o documento permaneça vivo e aderente às necessidades do CBMAL.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rPr/>
      </w:pPr>
      <w:bookmarkStart w:colFirst="0" w:colLast="0" w:name="_g1daxbi32xk0" w:id="16"/>
      <w:bookmarkEnd w:id="16"/>
      <w:r w:rsidDel="00000000" w:rsidR="00000000" w:rsidRPr="00000000">
        <w:rPr>
          <w:rtl w:val="0"/>
        </w:rPr>
        <w:t xml:space="preserve">14. Glossário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b w:val="1"/>
          <w:bCs w:val="1"/>
          <w:rtl w:val="0"/>
        </w:rPr>
        <w:t xml:space="preserve">Introdução.</w:t>
      </w:r>
      <w:r w:rsidDel="00000000" w:rsidR="00000000" w:rsidRPr="00000000">
        <w:rPr>
          <w:rtl w:val="0"/>
        </w:rPr>
        <w:t xml:space="preserve"> O glossário orienta a compreensão de termos técnicos usados ao longo do plano e deve ser consultado em caso de dúvida.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b w:val="1"/>
          <w:bCs w:val="1"/>
          <w:rtl w:val="0"/>
        </w:rPr>
        <w:t xml:space="preserve">Mapa Estratégico:</w:t>
      </w:r>
      <w:r w:rsidDel="00000000" w:rsidR="00000000" w:rsidRPr="00000000">
        <w:rPr>
          <w:rtl w:val="0"/>
        </w:rPr>
        <w:t xml:space="preserve"> representação BSC de relações de causa e efeito.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 Estratégico:</w:t>
      </w:r>
      <w:r w:rsidDel="00000000" w:rsidR="00000000" w:rsidRPr="00000000">
        <w:rPr>
          <w:rtl w:val="0"/>
        </w:rPr>
        <w:t xml:space="preserve"> estado desejado vinculado a indicadores e metas.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b w:val="1"/>
          <w:bCs w:val="1"/>
          <w:rtl w:val="0"/>
        </w:rPr>
        <w:t xml:space="preserve">Indicador/KPI:</w:t>
      </w:r>
      <w:r w:rsidDel="00000000" w:rsidR="00000000" w:rsidRPr="00000000">
        <w:rPr>
          <w:rtl w:val="0"/>
        </w:rPr>
        <w:t xml:space="preserve"> métrica com ficha técnica e validações.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b w:val="1"/>
          <w:bCs w:val="1"/>
          <w:rtl w:val="0"/>
        </w:rPr>
        <w:t xml:space="preserve">Meta:</w:t>
      </w:r>
      <w:r w:rsidDel="00000000" w:rsidR="00000000" w:rsidRPr="00000000">
        <w:rPr>
          <w:rtl w:val="0"/>
        </w:rPr>
        <w:t xml:space="preserve"> valor-alvo com prazos e critérios de revisão.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b w:val="1"/>
          <w:bCs w:val="1"/>
          <w:rtl w:val="0"/>
        </w:rPr>
        <w:t xml:space="preserve">Iniciativa:</w:t>
      </w:r>
      <w:r w:rsidDel="00000000" w:rsidR="00000000" w:rsidRPr="00000000">
        <w:rPr>
          <w:rtl w:val="0"/>
        </w:rPr>
        <w:t xml:space="preserve"> conjunto de ações com escopo, prazo e responsáveis.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b w:val="1"/>
          <w:bCs w:val="1"/>
          <w:rtl w:val="0"/>
        </w:rPr>
        <w:t xml:space="preserve">BSC:</w:t>
      </w:r>
      <w:r w:rsidDel="00000000" w:rsidR="00000000" w:rsidRPr="00000000">
        <w:rPr>
          <w:rtl w:val="0"/>
        </w:rPr>
        <w:t xml:space="preserve"> metodologia de estruturação da estratégia em perspectivas.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b w:val="1"/>
          <w:bCs w:val="1"/>
          <w:rtl w:val="0"/>
        </w:rPr>
        <w:t xml:space="preserve">OKR:</w:t>
      </w:r>
      <w:r w:rsidDel="00000000" w:rsidR="00000000" w:rsidRPr="00000000">
        <w:rPr>
          <w:rtl w:val="0"/>
        </w:rPr>
        <w:t xml:space="preserve"> método ágil de execução tática trimestral.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b w:val="1"/>
          <w:bCs w:val="1"/>
          <w:rtl w:val="0"/>
        </w:rPr>
        <w:t xml:space="preserve">PDCA:</w:t>
      </w:r>
      <w:r w:rsidDel="00000000" w:rsidR="00000000" w:rsidRPr="00000000">
        <w:rPr>
          <w:rtl w:val="0"/>
        </w:rPr>
        <w:t xml:space="preserve"> ciclo de melhoria contínua aplicado à gestão.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b w:val="1"/>
          <w:bCs w:val="1"/>
          <w:rtl w:val="0"/>
        </w:rPr>
        <w:t xml:space="preserve">RAG:</w:t>
      </w:r>
      <w:r w:rsidDel="00000000" w:rsidR="00000000" w:rsidRPr="00000000">
        <w:rPr>
          <w:rtl w:val="0"/>
        </w:rPr>
        <w:t xml:space="preserve"> classificação de desempenho (verde, amarelo, vermelho).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b w:val="1"/>
          <w:bCs w:val="1"/>
          <w:rtl w:val="0"/>
        </w:rPr>
        <w:t xml:space="preserve">IMGG:</w:t>
      </w:r>
      <w:r w:rsidDel="00000000" w:rsidR="00000000" w:rsidRPr="00000000">
        <w:rPr>
          <w:rtl w:val="0"/>
        </w:rPr>
        <w:t xml:space="preserve"> Índice de Maturidade em Governança e Gestão.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b w:val="1"/>
          <w:bCs w:val="1"/>
          <w:rtl w:val="0"/>
        </w:rPr>
        <w:t xml:space="preserve">DQI:</w:t>
      </w:r>
      <w:r w:rsidDel="00000000" w:rsidR="00000000" w:rsidRPr="00000000">
        <w:rPr>
          <w:rtl w:val="0"/>
        </w:rPr>
        <w:t xml:space="preserve"> Índice de Qualidade de Dados (completude, tempestividade, unicidade, consistência).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b w:val="1"/>
          <w:bCs w:val="1"/>
          <w:rtl w:val="0"/>
        </w:rPr>
        <w:t xml:space="preserve">EP:</w:t>
      </w:r>
      <w:r w:rsidDel="00000000" w:rsidR="00000000" w:rsidRPr="00000000">
        <w:rPr>
          <w:rtl w:val="0"/>
        </w:rPr>
        <w:t xml:space="preserve"> Escritório de Projetos (MGP-CBMAL).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b w:val="1"/>
          <w:bCs w:val="1"/>
          <w:rtl w:val="0"/>
        </w:rPr>
        <w:t xml:space="preserve">SGE:</w:t>
      </w:r>
      <w:r w:rsidDel="00000000" w:rsidR="00000000" w:rsidRPr="00000000">
        <w:rPr>
          <w:rtl w:val="0"/>
        </w:rPr>
        <w:t xml:space="preserve"> Sistema de Gestão Estratégica.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b w:val="1"/>
          <w:bCs w:val="1"/>
          <w:rtl w:val="0"/>
        </w:rPr>
        <w:t xml:space="preserve">SAPS:</w:t>
      </w:r>
      <w:r w:rsidDel="00000000" w:rsidR="00000000" w:rsidRPr="00000000">
        <w:rPr>
          <w:rtl w:val="0"/>
        </w:rPr>
        <w:t xml:space="preserve"> Sistema de Atividades Técnicas (DAT).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b w:val="1"/>
          <w:bCs w:val="1"/>
          <w:rtl w:val="0"/>
        </w:rPr>
        <w:t xml:space="preserve">OBM/PB:</w:t>
      </w:r>
      <w:r w:rsidDel="00000000" w:rsidR="00000000" w:rsidRPr="00000000">
        <w:rPr>
          <w:rtl w:val="0"/>
        </w:rPr>
        <w:t xml:space="preserve"> Organização Bombeiro Militar / Posto de Bombeiros.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b w:val="1"/>
          <w:bCs w:val="1"/>
          <w:rtl w:val="0"/>
        </w:rPr>
        <w:t xml:space="preserve">TAF/TFBM:</w:t>
      </w:r>
      <w:r w:rsidDel="00000000" w:rsidR="00000000" w:rsidRPr="00000000">
        <w:rPr>
          <w:rtl w:val="0"/>
        </w:rPr>
        <w:t xml:space="preserve"> Teste de Aptidão Física / Treinamento Físico Bombeiro Militar.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b w:val="1"/>
          <w:bCs w:val="1"/>
          <w:rtl w:val="0"/>
        </w:rPr>
        <w:t xml:space="preserve">EVM (Earned Value Management):</w:t>
      </w:r>
      <w:r w:rsidDel="00000000" w:rsidR="00000000" w:rsidRPr="00000000">
        <w:rPr>
          <w:rtl w:val="0"/>
        </w:rPr>
        <w:t xml:space="preserve"> método para medir desempenho de prazo e custo de projetos (SPI, CPI, SV, CV).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b w:val="1"/>
          <w:bCs w:val="1"/>
          <w:rtl w:val="0"/>
        </w:rPr>
        <w:t xml:space="preserve">SLA (Service Level Agreement):</w:t>
      </w:r>
      <w:r w:rsidDel="00000000" w:rsidR="00000000" w:rsidRPr="00000000">
        <w:rPr>
          <w:rtl w:val="0"/>
        </w:rPr>
        <w:t xml:space="preserve"> acordo de nível de serviço; metas de tempo/qualidade aplicadas a processos críticos.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b w:val="1"/>
          <w:bCs w:val="1"/>
          <w:rtl w:val="0"/>
        </w:rPr>
        <w:t xml:space="preserve">LGPD:</w:t>
      </w:r>
      <w:r w:rsidDel="00000000" w:rsidR="00000000" w:rsidRPr="00000000">
        <w:rPr>
          <w:rtl w:val="0"/>
        </w:rPr>
        <w:t xml:space="preserve"> Lei Geral de Proteção de Dados; regula tratamento de dados pessoais.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rPr/>
      </w:pPr>
      <w:bookmarkStart w:colFirst="0" w:colLast="0" w:name="_c4hg9cjywt9z" w:id="17"/>
      <w:bookmarkEnd w:id="17"/>
      <w:r w:rsidDel="00000000" w:rsidR="00000000" w:rsidRPr="00000000">
        <w:rPr>
          <w:rtl w:val="0"/>
        </w:rPr>
        <w:t xml:space="preserve">15. Referências</w:t>
      </w:r>
    </w:p>
    <w:p w:rsidR="00000000" w:rsidDel="00000000" w:rsidP="00000000" w:rsidRDefault="00000000" w:rsidRPr="00000000" w14:paraId="000001FE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Política de Gestão Estratégica 2025–2029</w:t>
      </w:r>
    </w:p>
    <w:p w:rsidR="00000000" w:rsidDel="00000000" w:rsidP="00000000" w:rsidRDefault="00000000" w:rsidRPr="00000000" w14:paraId="000001FF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Plano Estratégico 2025–2029</w:t>
      </w:r>
    </w:p>
    <w:p w:rsidR="00000000" w:rsidDel="00000000" w:rsidP="00000000" w:rsidRDefault="00000000" w:rsidRPr="00000000" w14:paraId="00000200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Plano de Implementação da Estratégia 2025–2029</w:t>
      </w:r>
    </w:p>
    <w:p w:rsidR="00000000" w:rsidDel="00000000" w:rsidP="00000000" w:rsidRDefault="00000000" w:rsidRPr="00000000" w14:paraId="00000201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MGP-CBMAL</w:t>
      </w:r>
    </w:p>
    <w:p w:rsidR="00000000" w:rsidDel="00000000" w:rsidP="00000000" w:rsidRDefault="00000000" w:rsidRPr="00000000" w14:paraId="00000202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Portaria CBMAL nº 178/2024; Lei Delegada nº 48/2022; PNSPDS/SUSP.</w:t>
      </w:r>
    </w:p>
    <w:p w:rsidR="00000000" w:rsidDel="00000000" w:rsidP="00000000" w:rsidRDefault="00000000" w:rsidRPr="00000000" w14:paraId="00000203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Lei nº 13.709, de 14 de agosto de 2018 (LGPD).</w:t>
      </w:r>
    </w:p>
    <w:p w:rsidR="00000000" w:rsidDel="00000000" w:rsidP="00000000" w:rsidRDefault="00000000" w:rsidRPr="00000000" w14:paraId="00000204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Kaplan, R. S.; Norton, D. P. (1996). The Balanced Scorecard: Translating Strategy into Action. Harvard Business School Press.</w:t>
      </w:r>
    </w:p>
    <w:p w:rsidR="00000000" w:rsidDel="00000000" w:rsidP="00000000" w:rsidRDefault="00000000" w:rsidRPr="00000000" w14:paraId="00000205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Kaplan, R. S.; Norton, D. P. (1992). The Balanced Scorecard—Measures That Drive Performance. Harvard Business Review.</w:t>
      </w:r>
    </w:p>
    <w:p w:rsidR="00000000" w:rsidDel="00000000" w:rsidP="00000000" w:rsidRDefault="00000000" w:rsidRPr="00000000" w14:paraId="00000206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Doerr, J. (2018). Measure What Matters: How Google, Bono, and the Gates Foundation Rock the World with OKRs. Portfolio.</w:t>
      </w:r>
    </w:p>
    <w:p w:rsidR="00000000" w:rsidDel="00000000" w:rsidP="00000000" w:rsidRDefault="00000000" w:rsidRPr="00000000" w14:paraId="00000207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Deming, W. E. (1986). Out of the Crisis. MIT Press.</w:t>
      </w:r>
    </w:p>
    <w:p w:rsidR="00000000" w:rsidDel="00000000" w:rsidP="00000000" w:rsidRDefault="00000000" w:rsidRPr="00000000" w14:paraId="00000208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Project Management Institute (2021). The Standard for Earned Value Management. PMI.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2"/>
        <w:rPr/>
      </w:pPr>
      <w:bookmarkStart w:colFirst="0" w:colLast="0" w:name="_7cyilv27gzxd" w:id="18"/>
      <w:bookmarkEnd w:id="18"/>
      <w:r w:rsidDel="00000000" w:rsidR="00000000" w:rsidRPr="00000000">
        <w:rPr>
          <w:rtl w:val="0"/>
        </w:rPr>
        <w:t xml:space="preserve">16. Apêndice A — Casos de Estudo Relevantes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b w:val="1"/>
          <w:bCs w:val="1"/>
          <w:rtl w:val="0"/>
        </w:rPr>
        <w:t xml:space="preserve">Introdução.</w:t>
      </w:r>
      <w:r w:rsidDel="00000000" w:rsidR="00000000" w:rsidRPr="00000000">
        <w:rPr>
          <w:rtl w:val="0"/>
        </w:rPr>
        <w:t xml:space="preserve"> Os casos demonstram aplicação prática do monitoramento e dos ritos, evidenciando como decisões apoiadas por dados geram melhorias mensuráveis.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b w:val="1"/>
          <w:bCs w:val="1"/>
          <w:rtl w:val="0"/>
        </w:rPr>
        <w:t xml:space="preserve">Caso 1 — Operacional (Tempo-resposta urbano).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Situação: aumento do tempo-resposta em bairros de Maceió.</w:t>
      </w:r>
    </w:p>
    <w:p w:rsidR="00000000" w:rsidDel="00000000" w:rsidP="00000000" w:rsidRDefault="00000000" w:rsidRPr="00000000" w14:paraId="00000211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Análise: indisponibilidade de viaturas e gargalo na triagem.</w:t>
      </w:r>
    </w:p>
    <w:p w:rsidR="00000000" w:rsidDel="00000000" w:rsidP="00000000" w:rsidRDefault="00000000" w:rsidRPr="00000000" w14:paraId="00000212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Ação: realocar viaturas, treinar triagem, ajustar POPs.</w:t>
      </w:r>
    </w:p>
    <w:p w:rsidR="00000000" w:rsidDel="00000000" w:rsidP="00000000" w:rsidRDefault="00000000" w:rsidRPr="00000000" w14:paraId="00000213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Resultado: redução média de 1,2 min em 60 dias.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b w:val="1"/>
          <w:bCs w:val="1"/>
          <w:rtl w:val="0"/>
        </w:rPr>
        <w:t xml:space="preserve">Caso 2 — Transformação Digital (Uptime).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Situação: quedas recorrentes em sistema crítico.</w:t>
      </w:r>
    </w:p>
    <w:p w:rsidR="00000000" w:rsidDel="00000000" w:rsidP="00000000" w:rsidRDefault="00000000" w:rsidRPr="00000000" w14:paraId="00000218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Análise: falta de redundância e monitoramento proativo.</w:t>
      </w:r>
    </w:p>
    <w:p w:rsidR="00000000" w:rsidDel="00000000" w:rsidP="00000000" w:rsidRDefault="00000000" w:rsidRPr="00000000" w14:paraId="00000219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Ação: implantar redundância, hardening e alertas.</w:t>
      </w:r>
    </w:p>
    <w:p w:rsidR="00000000" w:rsidDel="00000000" w:rsidP="00000000" w:rsidRDefault="00000000" w:rsidRPr="00000000" w14:paraId="0000021A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Resultado: uptime ≥ 99,7% no trimestre seguinte.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b w:val="1"/>
          <w:bCs w:val="1"/>
          <w:rtl w:val="0"/>
        </w:rPr>
        <w:t xml:space="preserve">Caso 3 — Finanças (Execução orçamentária).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Situação: execução &lt; 85% no 3º trimestre.</w:t>
      </w:r>
    </w:p>
    <w:p w:rsidR="00000000" w:rsidDel="00000000" w:rsidP="00000000" w:rsidRDefault="00000000" w:rsidRPr="00000000" w14:paraId="0000021F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Análise: atrasos em compras e priorização difusa.</w:t>
      </w:r>
    </w:p>
    <w:p w:rsidR="00000000" w:rsidDel="00000000" w:rsidP="00000000" w:rsidRDefault="00000000" w:rsidRPr="00000000" w14:paraId="00000220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Ação: priorizar listas críticas, acelerar empenhos e liquidar contratos-chave.</w:t>
      </w:r>
    </w:p>
    <w:p w:rsidR="00000000" w:rsidDel="00000000" w:rsidP="00000000" w:rsidRDefault="00000000" w:rsidRPr="00000000" w14:paraId="00000221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Resultado: execução anual ≥ 95%. </w:t>
      </w:r>
      <w:r w:rsidDel="00000000" w:rsidR="00000000" w:rsidRPr="00000000">
        <w:rPr>
          <w:b w:val="1"/>
          <w:bCs w:val="1"/>
          <w:rtl w:val="0"/>
        </w:rPr>
        <w:t xml:space="preserve">Conclusão.</w:t>
      </w:r>
      <w:r w:rsidDel="00000000" w:rsidR="00000000" w:rsidRPr="00000000">
        <w:rPr>
          <w:rtl w:val="0"/>
        </w:rPr>
        <w:t xml:space="preserve"> Casos documentados fortalecem aprendizado institucional e oferecem repertório de resposta para situações recorrentes.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rPr/>
      </w:pPr>
      <w:bookmarkStart w:colFirst="0" w:colLast="0" w:name="_8lcsi5a8m4kc" w:id="19"/>
      <w:bookmarkEnd w:id="19"/>
      <w:r w:rsidDel="00000000" w:rsidR="00000000" w:rsidRPr="00000000">
        <w:rPr>
          <w:rtl w:val="0"/>
        </w:rPr>
        <w:t xml:space="preserve">17. Apêndice B — Bibliografia Complementar</w:t>
      </w:r>
    </w:p>
    <w:p w:rsidR="00000000" w:rsidDel="00000000" w:rsidP="00000000" w:rsidRDefault="00000000" w:rsidRPr="00000000" w14:paraId="00000225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ISO 9001 — Sistemas de gestão da qualidade.</w:t>
      </w:r>
    </w:p>
    <w:p w:rsidR="00000000" w:rsidDel="00000000" w:rsidP="00000000" w:rsidRDefault="00000000" w:rsidRPr="00000000" w14:paraId="00000226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Guia PMBOK — Gestão de projetos e portfólio.</w:t>
      </w:r>
    </w:p>
    <w:p w:rsidR="00000000" w:rsidDel="00000000" w:rsidP="00000000" w:rsidRDefault="00000000" w:rsidRPr="00000000" w14:paraId="00000227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OECD — Performance Management in the Public Sector.</w:t>
      </w:r>
    </w:p>
    <w:p w:rsidR="00000000" w:rsidDel="00000000" w:rsidP="00000000" w:rsidRDefault="00000000" w:rsidRPr="00000000" w14:paraId="00000228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Gov.br — Guias de Governança e Gestão de Riscos.</w:t>
      </w:r>
    </w:p>
    <w:p w:rsidR="00000000" w:rsidDel="00000000" w:rsidP="00000000" w:rsidRDefault="00000000" w:rsidRPr="00000000" w14:paraId="00000229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Behn, R. D. (2014). The PerformanceStat Potential: A Leadership Strategy for Producing Results. Brookings Institution Press.</w:t>
      </w:r>
    </w:p>
    <w:p w:rsidR="00000000" w:rsidDel="00000000" w:rsidP="00000000" w:rsidRDefault="00000000" w:rsidRPr="00000000" w14:paraId="0000022A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Barber, M.; Kihn, P.; Moffit, A. (2011). Deliverology 101: A Field Guide for Education Reform. Corwin Press.</w:t>
      </w:r>
    </w:p>
    <w:p w:rsidR="00000000" w:rsidDel="00000000" w:rsidP="00000000" w:rsidRDefault="00000000" w:rsidRPr="00000000" w14:paraId="0000022B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Simons, R. (1995). Levers of Control: How Managers Use Innovative Control Systems to Drive Strategic Renewal. Harvard Business School Press.</w:t>
      </w:r>
    </w:p>
    <w:p w:rsidR="00000000" w:rsidDel="00000000" w:rsidP="00000000" w:rsidRDefault="00000000" w:rsidRPr="00000000" w14:paraId="0000022C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Wang, R. Y.; Strong, D. M. (1996). Beyond Accuracy: What Data Quality Means to Data Consumers. Journal of Management Information Systems, 12(4), 5–33.</w:t>
      </w:r>
    </w:p>
    <w:p w:rsidR="00000000" w:rsidDel="00000000" w:rsidP="00000000" w:rsidRDefault="00000000" w:rsidRPr="00000000" w14:paraId="0000022D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OECD (2019). Government at a Glance; Public Sector Performance.</w:t>
      </w:r>
    </w:p>
    <w:p w:rsidR="00000000" w:rsidDel="00000000" w:rsidP="00000000" w:rsidRDefault="00000000" w:rsidRPr="00000000" w14:paraId="0000022E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TCU (2014). Referencial Básico de Governança Aplicável a Órgãos e Entidades da Administração Pública. Tribunal de Contas da União. </w:t>
      </w:r>
      <w:r w:rsidDel="00000000" w:rsidR="00000000" w:rsidRPr="00000000">
        <w:rPr>
          <w:b w:val="1"/>
          <w:bCs w:val="1"/>
          <w:rtl w:val="0"/>
        </w:rPr>
        <w:t xml:space="preserve">Fichas Técnicas — Novos KPIs.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Alcance de campanhas (%).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Definição: proporção do público-alvo impactado por campanhas.</w:t>
      </w:r>
    </w:p>
    <w:p w:rsidR="00000000" w:rsidDel="00000000" w:rsidP="00000000" w:rsidRDefault="00000000" w:rsidRPr="00000000" w14:paraId="0000023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Fórmula: público impactado/total público-alvo × 100.</w:t>
      </w:r>
    </w:p>
    <w:p w:rsidR="00000000" w:rsidDel="00000000" w:rsidP="00000000" w:rsidRDefault="00000000" w:rsidRPr="00000000" w14:paraId="0000023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Baseline: 2024.</w:t>
      </w:r>
    </w:p>
    <w:p w:rsidR="00000000" w:rsidDel="00000000" w:rsidP="00000000" w:rsidRDefault="00000000" w:rsidRPr="00000000" w14:paraId="0000023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 2029: ≥ 80%.</w:t>
      </w:r>
    </w:p>
    <w:p w:rsidR="00000000" w:rsidDel="00000000" w:rsidP="00000000" w:rsidRDefault="00000000" w:rsidRPr="00000000" w14:paraId="0000023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Frequência: mensal/trimestral.</w:t>
      </w:r>
    </w:p>
    <w:p w:rsidR="00000000" w:rsidDel="00000000" w:rsidP="00000000" w:rsidRDefault="00000000" w:rsidRPr="00000000" w14:paraId="0000023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Owner: Comunicação.</w:t>
      </w:r>
    </w:p>
    <w:p w:rsidR="00000000" w:rsidDel="00000000" w:rsidP="00000000" w:rsidRDefault="00000000" w:rsidRPr="00000000" w14:paraId="0000023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Fonte: métricas de plataformas digitais e registros de campanhas.</w:t>
      </w:r>
    </w:p>
    <w:p w:rsidR="00000000" w:rsidDel="00000000" w:rsidP="00000000" w:rsidRDefault="00000000" w:rsidRPr="00000000" w14:paraId="0000023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Validações: deduplicação, exclusão de tráfego automatizado, consistência de públicos.</w:t>
      </w:r>
    </w:p>
    <w:p w:rsidR="00000000" w:rsidDel="00000000" w:rsidP="00000000" w:rsidRDefault="00000000" w:rsidRPr="00000000" w14:paraId="0000023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Engajamento em canais (taxa de interação, 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Definição: intensidade de interação do público com conteúdos.</w:t>
      </w:r>
    </w:p>
    <w:p w:rsidR="00000000" w:rsidDel="00000000" w:rsidP="00000000" w:rsidRDefault="00000000" w:rsidRPr="00000000" w14:paraId="0000023A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Fórmula: interações (curtidas, comentários, compartilhamentos)/visualizações × 100.</w:t>
      </w:r>
    </w:p>
    <w:p w:rsidR="00000000" w:rsidDel="00000000" w:rsidP="00000000" w:rsidRDefault="00000000" w:rsidRPr="00000000" w14:paraId="0000023B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Baseline: 2024.</w:t>
      </w:r>
    </w:p>
    <w:p w:rsidR="00000000" w:rsidDel="00000000" w:rsidP="00000000" w:rsidRDefault="00000000" w:rsidRPr="00000000" w14:paraId="0000023C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 2029: ≥ 5%.</w:t>
      </w:r>
    </w:p>
    <w:p w:rsidR="00000000" w:rsidDel="00000000" w:rsidP="00000000" w:rsidRDefault="00000000" w:rsidRPr="00000000" w14:paraId="0000023D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Frequência: mensal.</w:t>
      </w:r>
    </w:p>
    <w:p w:rsidR="00000000" w:rsidDel="00000000" w:rsidP="00000000" w:rsidRDefault="00000000" w:rsidRPr="00000000" w14:paraId="0000023E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Owner: Comunicação.</w:t>
      </w:r>
    </w:p>
    <w:p w:rsidR="00000000" w:rsidDel="00000000" w:rsidP="00000000" w:rsidRDefault="00000000" w:rsidRPr="00000000" w14:paraId="0000023F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Fonte: plataformas digitais.</w:t>
      </w:r>
    </w:p>
    <w:p w:rsidR="00000000" w:rsidDel="00000000" w:rsidP="00000000" w:rsidRDefault="00000000" w:rsidRPr="00000000" w14:paraId="00000240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Validações: padronização de tipos de interação, exclusão de bots.</w:t>
      </w:r>
    </w:p>
    <w:p w:rsidR="00000000" w:rsidDel="00000000" w:rsidP="00000000" w:rsidRDefault="00000000" w:rsidRPr="00000000" w14:paraId="00000241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Cobertura territorial de ações preventivas (%).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Definição: alcance municipal das ações educativas.</w:t>
      </w:r>
    </w:p>
    <w:p w:rsidR="00000000" w:rsidDel="00000000" w:rsidP="00000000" w:rsidRDefault="00000000" w:rsidRPr="00000000" w14:paraId="00000243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Fórmula: municípios com ações/municípios do estado × 100.</w:t>
      </w:r>
    </w:p>
    <w:p w:rsidR="00000000" w:rsidDel="00000000" w:rsidP="00000000" w:rsidRDefault="00000000" w:rsidRPr="00000000" w14:paraId="00000244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Baseline: 2024.</w:t>
      </w:r>
    </w:p>
    <w:p w:rsidR="00000000" w:rsidDel="00000000" w:rsidP="00000000" w:rsidRDefault="00000000" w:rsidRPr="00000000" w14:paraId="00000245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 2029: ≥ 90%.</w:t>
      </w:r>
    </w:p>
    <w:p w:rsidR="00000000" w:rsidDel="00000000" w:rsidP="00000000" w:rsidRDefault="00000000" w:rsidRPr="00000000" w14:paraId="00000246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Frequência: trimestral.</w:t>
      </w:r>
    </w:p>
    <w:p w:rsidR="00000000" w:rsidDel="00000000" w:rsidP="00000000" w:rsidRDefault="00000000" w:rsidRPr="00000000" w14:paraId="00000247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Owner: Comunicação/DAT.</w:t>
      </w:r>
    </w:p>
    <w:p w:rsidR="00000000" w:rsidDel="00000000" w:rsidP="00000000" w:rsidRDefault="00000000" w:rsidRPr="00000000" w14:paraId="00000248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Fonte: registros de ações e agendas.</w:t>
      </w:r>
    </w:p>
    <w:p w:rsidR="00000000" w:rsidDel="00000000" w:rsidP="00000000" w:rsidRDefault="00000000" w:rsidRPr="00000000" w14:paraId="0000024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Validações: confirmação por OBMs, cruzamento com agenda institucional.</w:t>
      </w:r>
    </w:p>
    <w:p w:rsidR="00000000" w:rsidDel="00000000" w:rsidP="00000000" w:rsidRDefault="00000000" w:rsidRPr="00000000" w14:paraId="0000024A">
      <w:pPr>
        <w:numPr>
          <w:ilvl w:val="0"/>
          <w:numId w:val="2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Participantes em programas preventivos (nº).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Definição: participação cumulativa em ações educativas.</w:t>
      </w:r>
    </w:p>
    <w:p w:rsidR="00000000" w:rsidDel="00000000" w:rsidP="00000000" w:rsidRDefault="00000000" w:rsidRPr="00000000" w14:paraId="0000024C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Fórmula: soma de participantes por período.</w:t>
      </w:r>
    </w:p>
    <w:p w:rsidR="00000000" w:rsidDel="00000000" w:rsidP="00000000" w:rsidRDefault="00000000" w:rsidRPr="00000000" w14:paraId="0000024D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Baseline: 2024.</w:t>
      </w:r>
    </w:p>
    <w:p w:rsidR="00000000" w:rsidDel="00000000" w:rsidP="00000000" w:rsidRDefault="00000000" w:rsidRPr="00000000" w14:paraId="0000024E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Meta 2029: crescente anual.</w:t>
      </w:r>
    </w:p>
    <w:p w:rsidR="00000000" w:rsidDel="00000000" w:rsidP="00000000" w:rsidRDefault="00000000" w:rsidRPr="00000000" w14:paraId="0000024F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Frequência: mensal/trimestral.</w:t>
      </w:r>
    </w:p>
    <w:p w:rsidR="00000000" w:rsidDel="00000000" w:rsidP="00000000" w:rsidRDefault="00000000" w:rsidRPr="00000000" w14:paraId="00000250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Owner: Comunicação/DAT.</w:t>
      </w:r>
    </w:p>
    <w:p w:rsidR="00000000" w:rsidDel="00000000" w:rsidP="00000000" w:rsidRDefault="00000000" w:rsidRPr="00000000" w14:paraId="00000251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Fonte: listas de presença e sistemas de eventos.</w:t>
      </w:r>
    </w:p>
    <w:p w:rsidR="00000000" w:rsidDel="00000000" w:rsidP="00000000" w:rsidRDefault="00000000" w:rsidRPr="00000000" w14:paraId="00000252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Validações: amostragem de presença, deduplicação por CPF/matrícula.</w:t>
      </w:r>
    </w:p>
    <w:p w:rsidR="00000000" w:rsidDel="00000000" w:rsidP="00000000" w:rsidRDefault="00000000" w:rsidRPr="00000000" w14:paraId="0000025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Retenção de conteúdos preventivos (%).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Definição: retenção de conhecimento após campanhas.</w:t>
      </w:r>
    </w:p>
    <w:p w:rsidR="00000000" w:rsidDel="00000000" w:rsidP="00000000" w:rsidRDefault="00000000" w:rsidRPr="00000000" w14:paraId="000002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Fórmula: acertos em avaliação pós-ação/total × 100.</w:t>
      </w:r>
    </w:p>
    <w:p w:rsidR="00000000" w:rsidDel="00000000" w:rsidP="00000000" w:rsidRDefault="00000000" w:rsidRPr="00000000" w14:paraId="000002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Baseline: 2024.</w:t>
      </w:r>
    </w:p>
    <w:p w:rsidR="00000000" w:rsidDel="00000000" w:rsidP="00000000" w:rsidRDefault="00000000" w:rsidRPr="00000000" w14:paraId="000002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 2029: ≥ 60%.</w:t>
      </w:r>
    </w:p>
    <w:p w:rsidR="00000000" w:rsidDel="00000000" w:rsidP="00000000" w:rsidRDefault="00000000" w:rsidRPr="00000000" w14:paraId="000002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Frequência: trimestral.</w:t>
      </w:r>
    </w:p>
    <w:p w:rsidR="00000000" w:rsidDel="00000000" w:rsidP="00000000" w:rsidRDefault="00000000" w:rsidRPr="00000000" w14:paraId="000002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Owner: Comunicação/ABM.</w:t>
      </w:r>
    </w:p>
    <w:p w:rsidR="00000000" w:rsidDel="00000000" w:rsidP="00000000" w:rsidRDefault="00000000" w:rsidRPr="00000000" w14:paraId="000002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Fonte: instrumentos de avaliação.</w:t>
      </w:r>
    </w:p>
    <w:p w:rsidR="00000000" w:rsidDel="00000000" w:rsidP="00000000" w:rsidRDefault="00000000" w:rsidRPr="00000000" w14:paraId="000002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Validações: consistência de instrumentos, amostragem estatística.</w:t>
      </w:r>
    </w:p>
    <w:p w:rsidR="00000000" w:rsidDel="00000000" w:rsidP="00000000" w:rsidRDefault="00000000" w:rsidRPr="00000000" w14:paraId="0000025C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 médio de tramitação processual (dias).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Definição: tempo médio de conclusão de processos.</w:t>
      </w:r>
    </w:p>
    <w:p w:rsidR="00000000" w:rsidDel="00000000" w:rsidP="00000000" w:rsidRDefault="00000000" w:rsidRPr="00000000" w14:paraId="0000025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Fórmula: Σ dias por processo/nº processos concluídos.</w:t>
      </w:r>
    </w:p>
    <w:p w:rsidR="00000000" w:rsidDel="00000000" w:rsidP="00000000" w:rsidRDefault="00000000" w:rsidRPr="00000000" w14:paraId="0000025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Baseline: 2024.</w:t>
      </w:r>
    </w:p>
    <w:p w:rsidR="00000000" w:rsidDel="00000000" w:rsidP="00000000" w:rsidRDefault="00000000" w:rsidRPr="00000000" w14:paraId="0000026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 2029: ≤ 60 dias.</w:t>
      </w:r>
    </w:p>
    <w:p w:rsidR="00000000" w:rsidDel="00000000" w:rsidP="00000000" w:rsidRDefault="00000000" w:rsidRPr="00000000" w14:paraId="0000026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Frequência: mensal.</w:t>
      </w:r>
    </w:p>
    <w:p w:rsidR="00000000" w:rsidDel="00000000" w:rsidP="00000000" w:rsidRDefault="00000000" w:rsidRPr="00000000" w14:paraId="0000026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Owner: Correição/Ouvidoria.</w:t>
      </w:r>
    </w:p>
    <w:p w:rsidR="00000000" w:rsidDel="00000000" w:rsidP="00000000" w:rsidRDefault="00000000" w:rsidRPr="00000000" w14:paraId="0000026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Fonte: sistemas processuais internos.</w:t>
      </w:r>
    </w:p>
    <w:p w:rsidR="00000000" w:rsidDel="00000000" w:rsidP="00000000" w:rsidRDefault="00000000" w:rsidRPr="00000000" w14:paraId="0000026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Validações: integridade de datas, exclusão de períodos suspensos.</w:t>
      </w:r>
    </w:p>
    <w:p w:rsidR="00000000" w:rsidDel="00000000" w:rsidP="00000000" w:rsidRDefault="00000000" w:rsidRPr="00000000" w14:paraId="00000265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Índice de resolução de demandas (%).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Definição: proporção de demandas resolvidas.</w:t>
      </w:r>
    </w:p>
    <w:p w:rsidR="00000000" w:rsidDel="00000000" w:rsidP="00000000" w:rsidRDefault="00000000" w:rsidRPr="00000000" w14:paraId="00000267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Fórmula: demandas resolvidas/total demandas × 100.</w:t>
      </w:r>
    </w:p>
    <w:p w:rsidR="00000000" w:rsidDel="00000000" w:rsidP="00000000" w:rsidRDefault="00000000" w:rsidRPr="00000000" w14:paraId="00000268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Baseline: 2024.</w:t>
      </w:r>
    </w:p>
    <w:p w:rsidR="00000000" w:rsidDel="00000000" w:rsidP="00000000" w:rsidRDefault="00000000" w:rsidRPr="00000000" w14:paraId="00000269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 2029: ≥ 85%.</w:t>
      </w:r>
    </w:p>
    <w:p w:rsidR="00000000" w:rsidDel="00000000" w:rsidP="00000000" w:rsidRDefault="00000000" w:rsidRPr="00000000" w14:paraId="0000026A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Frequência: mensal/trimestral.</w:t>
      </w:r>
    </w:p>
    <w:p w:rsidR="00000000" w:rsidDel="00000000" w:rsidP="00000000" w:rsidRDefault="00000000" w:rsidRPr="00000000" w14:paraId="0000026B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Owner: Correição/Ouvidoria.</w:t>
      </w:r>
    </w:p>
    <w:p w:rsidR="00000000" w:rsidDel="00000000" w:rsidP="00000000" w:rsidRDefault="00000000" w:rsidRPr="00000000" w14:paraId="0000026C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Fonte: sistemas de protocolo e ouvidoria.</w:t>
      </w:r>
    </w:p>
    <w:p w:rsidR="00000000" w:rsidDel="00000000" w:rsidP="00000000" w:rsidRDefault="00000000" w:rsidRPr="00000000" w14:paraId="0000026D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Validações: reconciliação entre protocolo e desfecho, classificação de status.</w:t>
      </w:r>
    </w:p>
    <w:p w:rsidR="00000000" w:rsidDel="00000000" w:rsidP="00000000" w:rsidRDefault="00000000" w:rsidRPr="00000000" w14:paraId="0000026E">
      <w:pPr>
        <w:numPr>
          <w:ilvl w:val="0"/>
          <w:numId w:val="3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Conformidade normativa (%).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Definição: aderência a normas em processos.</w:t>
      </w:r>
    </w:p>
    <w:p w:rsidR="00000000" w:rsidDel="00000000" w:rsidP="00000000" w:rsidRDefault="00000000" w:rsidRPr="00000000" w14:paraId="0000027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Fórmula: processos conformes/total × 100.</w:t>
      </w:r>
    </w:p>
    <w:p w:rsidR="00000000" w:rsidDel="00000000" w:rsidP="00000000" w:rsidRDefault="00000000" w:rsidRPr="00000000" w14:paraId="0000027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Baseline: 2024.</w:t>
      </w:r>
    </w:p>
    <w:p w:rsidR="00000000" w:rsidDel="00000000" w:rsidP="00000000" w:rsidRDefault="00000000" w:rsidRPr="00000000" w14:paraId="0000027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 2029: ≥ 95%.</w:t>
      </w:r>
    </w:p>
    <w:p w:rsidR="00000000" w:rsidDel="00000000" w:rsidP="00000000" w:rsidRDefault="00000000" w:rsidRPr="00000000" w14:paraId="0000027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Frequência: trimestral.</w:t>
      </w:r>
    </w:p>
    <w:p w:rsidR="00000000" w:rsidDel="00000000" w:rsidP="00000000" w:rsidRDefault="00000000" w:rsidRPr="00000000" w14:paraId="0000027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Owner: Correição.</w:t>
      </w:r>
    </w:p>
    <w:p w:rsidR="00000000" w:rsidDel="00000000" w:rsidP="00000000" w:rsidRDefault="00000000" w:rsidRPr="00000000" w14:paraId="0000027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Fonte: checklists e auditorias internas.</w:t>
      </w:r>
    </w:p>
    <w:p w:rsidR="00000000" w:rsidDel="00000000" w:rsidP="00000000" w:rsidRDefault="00000000" w:rsidRPr="00000000" w14:paraId="0000027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Validações: amostragem e revisão por pares.</w:t>
      </w:r>
    </w:p>
    <w:p w:rsidR="00000000" w:rsidDel="00000000" w:rsidP="00000000" w:rsidRDefault="00000000" w:rsidRPr="00000000" w14:paraId="0000027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Cumprimento do PACC (%).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Definição: execução do Plano Anual de Cursos e Capacitações.</w:t>
      </w:r>
    </w:p>
    <w:p w:rsidR="00000000" w:rsidDel="00000000" w:rsidP="00000000" w:rsidRDefault="00000000" w:rsidRPr="00000000" w14:paraId="00000279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Fórmula: ações executadas/planejadas × 100.</w:t>
      </w:r>
    </w:p>
    <w:p w:rsidR="00000000" w:rsidDel="00000000" w:rsidP="00000000" w:rsidRDefault="00000000" w:rsidRPr="00000000" w14:paraId="0000027A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Baseline: 2024.</w:t>
      </w:r>
    </w:p>
    <w:p w:rsidR="00000000" w:rsidDel="00000000" w:rsidP="00000000" w:rsidRDefault="00000000" w:rsidRPr="00000000" w14:paraId="0000027B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 2029: ≥ 90%.</w:t>
      </w:r>
    </w:p>
    <w:p w:rsidR="00000000" w:rsidDel="00000000" w:rsidP="00000000" w:rsidRDefault="00000000" w:rsidRPr="00000000" w14:paraId="0000027C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Frequência: trimestral.</w:t>
      </w:r>
    </w:p>
    <w:p w:rsidR="00000000" w:rsidDel="00000000" w:rsidP="00000000" w:rsidRDefault="00000000" w:rsidRPr="00000000" w14:paraId="0000027D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Owner: ABM/RH.</w:t>
      </w:r>
    </w:p>
    <w:p w:rsidR="00000000" w:rsidDel="00000000" w:rsidP="00000000" w:rsidRDefault="00000000" w:rsidRPr="00000000" w14:paraId="0000027E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Fonte: PACC, registros de execução.</w:t>
      </w:r>
    </w:p>
    <w:p w:rsidR="00000000" w:rsidDel="00000000" w:rsidP="00000000" w:rsidRDefault="00000000" w:rsidRPr="00000000" w14:paraId="0000027F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Validações: reconciliação com turmas e diários de classe.</w:t>
      </w:r>
    </w:p>
    <w:p w:rsidR="00000000" w:rsidDel="00000000" w:rsidP="00000000" w:rsidRDefault="00000000" w:rsidRPr="00000000" w14:paraId="00000280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Horas de capacitação por militar (h/ano).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Definição: carga anual de formação e capacitação.</w:t>
      </w:r>
    </w:p>
    <w:p w:rsidR="00000000" w:rsidDel="00000000" w:rsidP="00000000" w:rsidRDefault="00000000" w:rsidRPr="00000000" w14:paraId="0000028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Fórmula: Σ horas registradas/efetivo.</w:t>
      </w:r>
    </w:p>
    <w:p w:rsidR="00000000" w:rsidDel="00000000" w:rsidP="00000000" w:rsidRDefault="00000000" w:rsidRPr="00000000" w14:paraId="0000028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Baseline: 2024.</w:t>
      </w:r>
    </w:p>
    <w:p w:rsidR="00000000" w:rsidDel="00000000" w:rsidP="00000000" w:rsidRDefault="00000000" w:rsidRPr="00000000" w14:paraId="0000028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 2029: ≥ 40 h/ano.</w:t>
      </w:r>
    </w:p>
    <w:p w:rsidR="00000000" w:rsidDel="00000000" w:rsidP="00000000" w:rsidRDefault="00000000" w:rsidRPr="00000000" w14:paraId="0000028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Frequência: semestral/anual.</w:t>
      </w:r>
    </w:p>
    <w:p w:rsidR="00000000" w:rsidDel="00000000" w:rsidP="00000000" w:rsidRDefault="00000000" w:rsidRPr="00000000" w14:paraId="0000028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Owner: ABM/RH.</w:t>
      </w:r>
    </w:p>
    <w:p w:rsidR="00000000" w:rsidDel="00000000" w:rsidP="00000000" w:rsidRDefault="00000000" w:rsidRPr="00000000" w14:paraId="0000028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Fonte: sistemas acadêmicos e RH.</w:t>
      </w:r>
    </w:p>
    <w:p w:rsidR="00000000" w:rsidDel="00000000" w:rsidP="00000000" w:rsidRDefault="00000000" w:rsidRPr="00000000" w14:paraId="0000028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Validações: amostragem de certificados e diários de classe.</w:t>
      </w:r>
    </w:p>
    <w:p w:rsidR="00000000" w:rsidDel="00000000" w:rsidP="00000000" w:rsidRDefault="00000000" w:rsidRPr="00000000" w14:paraId="0000028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Certificações obtidas (nº).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Definição: certificações relevantes concluídas por período.</w:t>
      </w:r>
    </w:p>
    <w:p w:rsidR="00000000" w:rsidDel="00000000" w:rsidP="00000000" w:rsidRDefault="00000000" w:rsidRPr="00000000" w14:paraId="0000028B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Fórmula: total de certificações registradas.</w:t>
      </w:r>
    </w:p>
    <w:p w:rsidR="00000000" w:rsidDel="00000000" w:rsidP="00000000" w:rsidRDefault="00000000" w:rsidRPr="00000000" w14:paraId="0000028C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Baseline: 2024.</w:t>
      </w:r>
    </w:p>
    <w:p w:rsidR="00000000" w:rsidDel="00000000" w:rsidP="00000000" w:rsidRDefault="00000000" w:rsidRPr="00000000" w14:paraId="0000028D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Meta 2029: crescente anual.</w:t>
      </w:r>
    </w:p>
    <w:p w:rsidR="00000000" w:rsidDel="00000000" w:rsidP="00000000" w:rsidRDefault="00000000" w:rsidRPr="00000000" w14:paraId="0000028E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Frequência: trimestral/anual.</w:t>
      </w:r>
    </w:p>
    <w:p w:rsidR="00000000" w:rsidDel="00000000" w:rsidP="00000000" w:rsidRDefault="00000000" w:rsidRPr="00000000" w14:paraId="0000028F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Owner: ABM/RH.</w:t>
      </w:r>
    </w:p>
    <w:p w:rsidR="00000000" w:rsidDel="00000000" w:rsidP="00000000" w:rsidRDefault="00000000" w:rsidRPr="00000000" w14:paraId="00000290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Fonte: registros acadêmicos e RH.</w:t>
      </w:r>
    </w:p>
    <w:p w:rsidR="00000000" w:rsidDel="00000000" w:rsidP="00000000" w:rsidRDefault="00000000" w:rsidRPr="00000000" w14:paraId="00000291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Validações: verificação documental.</w:t>
      </w:r>
    </w:p>
    <w:p w:rsidR="00000000" w:rsidDel="00000000" w:rsidP="00000000" w:rsidRDefault="00000000" w:rsidRPr="00000000" w14:paraId="0000029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Publicações técnicas/boas práticas (nº).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Definição: produção técnica institucional registrada.</w:t>
      </w:r>
    </w:p>
    <w:p w:rsidR="00000000" w:rsidDel="00000000" w:rsidP="00000000" w:rsidRDefault="00000000" w:rsidRPr="00000000" w14:paraId="0000029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Fórmula: total de publicações por período.</w:t>
      </w:r>
    </w:p>
    <w:p w:rsidR="00000000" w:rsidDel="00000000" w:rsidP="00000000" w:rsidRDefault="00000000" w:rsidRPr="00000000" w14:paraId="0000029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Baseline: 2024.</w:t>
      </w:r>
    </w:p>
    <w:p w:rsidR="00000000" w:rsidDel="00000000" w:rsidP="00000000" w:rsidRDefault="00000000" w:rsidRPr="00000000" w14:paraId="0000029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Meta 2029: crescente anual.</w:t>
      </w:r>
    </w:p>
    <w:p w:rsidR="00000000" w:rsidDel="00000000" w:rsidP="00000000" w:rsidRDefault="00000000" w:rsidRPr="00000000" w14:paraId="0000029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Frequência: semestral/anual.</w:t>
      </w:r>
    </w:p>
    <w:p w:rsidR="00000000" w:rsidDel="00000000" w:rsidP="00000000" w:rsidRDefault="00000000" w:rsidRPr="00000000" w14:paraId="0000029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Owner: ABM/EP.</w:t>
      </w:r>
    </w:p>
    <w:p w:rsidR="00000000" w:rsidDel="00000000" w:rsidP="00000000" w:rsidRDefault="00000000" w:rsidRPr="00000000" w14:paraId="0000029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Fonte: repositórios internos e atas.</w:t>
      </w:r>
    </w:p>
    <w:p w:rsidR="00000000" w:rsidDel="00000000" w:rsidP="00000000" w:rsidRDefault="00000000" w:rsidRPr="00000000" w14:paraId="0000029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Validações: curadoria editorial, registro oficial.</w:t>
      </w:r>
    </w:p>
    <w:p w:rsidR="00000000" w:rsidDel="00000000" w:rsidP="00000000" w:rsidRDefault="00000000" w:rsidRPr="00000000" w14:paraId="0000029B">
      <w:pPr>
        <w:numPr>
          <w:ilvl w:val="0"/>
          <w:numId w:val="3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Projetos de inovação implementados (nº).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Definição: iniciativas de inovação com implantação validada.</w:t>
      </w:r>
    </w:p>
    <w:p w:rsidR="00000000" w:rsidDel="00000000" w:rsidP="00000000" w:rsidRDefault="00000000" w:rsidRPr="00000000" w14:paraId="0000029D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Fórmula: total de projetos implementados por período.</w:t>
      </w:r>
    </w:p>
    <w:p w:rsidR="00000000" w:rsidDel="00000000" w:rsidP="00000000" w:rsidRDefault="00000000" w:rsidRPr="00000000" w14:paraId="0000029E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Baseline: 2024.</w:t>
      </w:r>
    </w:p>
    <w:p w:rsidR="00000000" w:rsidDel="00000000" w:rsidP="00000000" w:rsidRDefault="00000000" w:rsidRPr="00000000" w14:paraId="0000029F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Meta 2029: crescente anual.</w:t>
      </w:r>
    </w:p>
    <w:p w:rsidR="00000000" w:rsidDel="00000000" w:rsidP="00000000" w:rsidRDefault="00000000" w:rsidRPr="00000000" w14:paraId="000002A0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Frequência: trimestral/anual.</w:t>
      </w:r>
    </w:p>
    <w:p w:rsidR="00000000" w:rsidDel="00000000" w:rsidP="00000000" w:rsidRDefault="00000000" w:rsidRPr="00000000" w14:paraId="000002A1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Owner: TIC/EP.</w:t>
      </w:r>
    </w:p>
    <w:p w:rsidR="00000000" w:rsidDel="00000000" w:rsidP="00000000" w:rsidRDefault="00000000" w:rsidRPr="00000000" w14:paraId="000002A2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Fonte: portfólio e atas de aceite.</w:t>
      </w:r>
    </w:p>
    <w:p w:rsidR="00000000" w:rsidDel="00000000" w:rsidP="00000000" w:rsidRDefault="00000000" w:rsidRPr="00000000" w14:paraId="000002A3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Validações: critérios de implantação, aceite formal.</w:t>
      </w:r>
    </w:p>
    <w:p w:rsidR="00000000" w:rsidDel="00000000" w:rsidP="00000000" w:rsidRDefault="00000000" w:rsidRPr="00000000" w14:paraId="000002A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Reuso de conhecimento (nº de adoções/citações internas).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Definição: reutilização de práticas e conteúdos internos.</w:t>
      </w:r>
    </w:p>
    <w:p w:rsidR="00000000" w:rsidDel="00000000" w:rsidP="00000000" w:rsidRDefault="00000000" w:rsidRPr="00000000" w14:paraId="000002A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Fórmula: adoções/citações registradas em documentos e processos.</w:t>
      </w:r>
    </w:p>
    <w:p w:rsidR="00000000" w:rsidDel="00000000" w:rsidP="00000000" w:rsidRDefault="00000000" w:rsidRPr="00000000" w14:paraId="000002A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Baseline: 2024.</w:t>
      </w:r>
    </w:p>
    <w:p w:rsidR="00000000" w:rsidDel="00000000" w:rsidP="00000000" w:rsidRDefault="00000000" w:rsidRPr="00000000" w14:paraId="000002A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Meta 2029: crescente anual.</w:t>
      </w:r>
    </w:p>
    <w:p w:rsidR="00000000" w:rsidDel="00000000" w:rsidP="00000000" w:rsidRDefault="00000000" w:rsidRPr="00000000" w14:paraId="000002A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Frequência: semestral/anual.</w:t>
      </w:r>
    </w:p>
    <w:p w:rsidR="00000000" w:rsidDel="00000000" w:rsidP="00000000" w:rsidRDefault="00000000" w:rsidRPr="00000000" w14:paraId="000002A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Owner: ABM/EP.</w:t>
      </w:r>
    </w:p>
    <w:p w:rsidR="00000000" w:rsidDel="00000000" w:rsidP="00000000" w:rsidRDefault="00000000" w:rsidRPr="00000000" w14:paraId="000002A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Fonte: registros doutrinários e normativos.</w:t>
      </w:r>
    </w:p>
    <w:p w:rsidR="00000000" w:rsidDel="00000000" w:rsidP="00000000" w:rsidRDefault="00000000" w:rsidRPr="00000000" w14:paraId="000002A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Validações: verificação em atas e normativos.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2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7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4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5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2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9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6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3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0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4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8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3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