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365D"/>
          <w:sz w:val="48"/>
        </w:rPr>
        <w:t>RECOMENDAÇÕES DE EVOLUÇÃO</w:t>
      </w:r>
    </w:p>
    <w:p>
      <w:pPr>
        <w:spacing w:after="200"/>
      </w:pPr>
      <w:r>
        <w:rPr>
          <w:rFonts w:ascii="Calibri" w:hAnsi="Calibri"/>
          <w:color w:val="667085"/>
          <w:sz w:val="28"/>
        </w:rPr>
        <w:t>De decodificador offline a ferramenta interna de triagem processual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Projeto: </w:t>
      </w:r>
      <w:r>
        <w:rPr>
          <w:rFonts w:ascii="Calibri" w:hAnsi="Calibri"/>
          <w:b w:val="0"/>
          <w:color w:val="252525"/>
          <w:sz w:val="22"/>
        </w:rPr>
        <w:t>Decodificador de Número CNJ (cnj-info-extractor)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Data: </w:t>
      </w:r>
      <w:r>
        <w:rPr>
          <w:rFonts w:ascii="Calibri" w:hAnsi="Calibri"/>
          <w:b w:val="0"/>
          <w:color w:val="252525"/>
          <w:sz w:val="22"/>
        </w:rPr>
        <w:t>26 de agosto de 2026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Base: </w:t>
      </w:r>
      <w:r>
        <w:rPr>
          <w:rFonts w:ascii="Calibri" w:hAnsi="Calibri"/>
          <w:b w:val="0"/>
          <w:color w:val="252525"/>
          <w:sz w:val="22"/>
        </w:rPr>
        <w:t>README, código-fonte (index.html, js/tables.js, js/cnj.js, js/api.js, js/app.js, api/datajud.js, tests/), vercel.json e histórico Git (3 commits)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Audiência: </w:t>
      </w:r>
      <w:r>
        <w:rPr>
          <w:rFonts w:ascii="Calibri" w:hAnsi="Calibri"/>
          <w:b w:val="0"/>
          <w:color w:val="252525"/>
          <w:sz w:val="22"/>
        </w:rPr>
        <w:t>Equipe de desenvolvimento — nível de execução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Status: </w:t>
      </w:r>
      <w:r>
        <w:rPr>
          <w:rFonts w:ascii="Calibri" w:hAnsi="Calibri"/>
          <w:b w:val="0"/>
          <w:color w:val="252525"/>
          <w:sz w:val="22"/>
        </w:rPr>
        <w:t>Recomendação para priorização</w:t>
      </w:r>
    </w:p>
    <w:p>
      <w:pPr>
        <w:spacing w:after="240"/>
      </w:pPr>
      <w:r>
        <w:rPr>
          <w:rFonts w:ascii="Calibri" w:hAnsi="Calibri"/>
          <w:b/>
          <w:color w:val="17365D"/>
          <w:sz w:val="22"/>
        </w:rPr>
        <w:t xml:space="preserve">Recomendação central. </w:t>
      </w:r>
      <w:r>
        <w:rPr>
          <w:rFonts w:ascii="Calibri" w:hAnsi="Calibri"/>
          <w:b w:val="0"/>
          <w:color w:val="252525"/>
          <w:sz w:val="22"/>
        </w:rPr>
        <w:t>O projeto entrega bem a decodificação do número, mas ainda opera como consulta unitária e anônima. Para virar ferramenta de operação interna, a próxima evolução precisa fechar três lacunas antes de qualquer feature nova: proteger e sustentar o proxy do DataJud, persistir o que já foi consultado e permitir trabalho em lote. Interpretação processual automatizada (estágio, execução, trânsito em julgado) é o diferencial de negócio e vem imediatamente depois — não antes.</w:t>
      </w:r>
    </w:p>
    <w:p>
      <w:pPr>
        <w:pStyle w:val="Heading1"/>
        <w:spacing w:before="320" w:after="120"/>
      </w:pPr>
      <w:r>
        <w:t>1. Contexto atual</w:t>
      </w:r>
    </w:p>
    <w:p>
      <w:pPr>
        <w:spacing w:after="120"/>
      </w:pPr>
      <w:r>
        <w:rPr>
          <w:rFonts w:ascii="Calibri" w:hAnsi="Calibri"/>
          <w:b w:val="0"/>
          <w:color w:val="252525"/>
          <w:sz w:val="22"/>
        </w:rPr>
        <w:t>O repositório contém um site estático sem build, servido pela Vercel, com deploy automático a cada push. Três commits até aqui: decodificador offline, consulta online via DataJud e ajuste de .gitignore.</w:t>
      </w:r>
    </w:p>
    <w:p>
      <w:pPr>
        <w:pStyle w:val="ListBullet"/>
        <w:spacing w:after="60"/>
      </w:pPr>
      <w:r>
        <w:rPr>
          <w:rFonts w:ascii="Calibri" w:hAnsi="Calibri"/>
          <w:b/>
          <w:color w:val="17365D"/>
          <w:sz w:val="22"/>
        </w:rPr>
        <w:t xml:space="preserve">Decodificação local: </w:t>
      </w:r>
      <w:r>
        <w:rPr>
          <w:rFonts w:ascii="Calibri" w:hAnsi="Calibri"/>
          <w:color w:val="252525"/>
          <w:sz w:val="22"/>
        </w:rPr>
        <w:t>js/cnj.js normaliza, aplica máscara progressiva, faz parse dos 20 dígitos e recalcula o dígito verificador com ISO 7064 MOD 97-10 usando BigInt. Lógica pura, sem DOM.</w:t>
      </w:r>
    </w:p>
    <w:p>
      <w:pPr>
        <w:pStyle w:val="ListBullet"/>
        <w:spacing w:after="60"/>
      </w:pPr>
      <w:r>
        <w:rPr>
          <w:rFonts w:ascii="Calibri" w:hAnsi="Calibri"/>
          <w:b/>
          <w:color w:val="17365D"/>
          <w:sz w:val="22"/>
        </w:rPr>
        <w:t xml:space="preserve">Tabelas de domínio: </w:t>
      </w:r>
      <w:r>
        <w:rPr>
          <w:rFonts w:ascii="Calibri" w:hAnsi="Calibri"/>
          <w:color w:val="252525"/>
          <w:sz w:val="22"/>
        </w:rPr>
        <w:t>js/tables.js resolve segmento (J), tribunal (TR) e deriva o alias do índice DataJud para os nove segmentos, incluindo exceção do TJDFT e ausência de índice para CNJ e CJF.</w:t>
      </w:r>
    </w:p>
    <w:p>
      <w:pPr>
        <w:pStyle w:val="ListBullet"/>
        <w:spacing w:after="60"/>
      </w:pPr>
      <w:r>
        <w:rPr>
          <w:rFonts w:ascii="Calibri" w:hAnsi="Calibri"/>
          <w:b/>
          <w:color w:val="17365D"/>
          <w:sz w:val="22"/>
        </w:rPr>
        <w:t xml:space="preserve">Consulta online: </w:t>
      </w:r>
      <w:r>
        <w:rPr>
          <w:rFonts w:ascii="Calibri" w:hAnsi="Calibri"/>
          <w:color w:val="252525"/>
          <w:sz w:val="22"/>
        </w:rPr>
        <w:t>js/api.js chama o proxy /api/datajud, com cache em localStorage por 24h; api/datajud.js executa a busca no Elasticsearch público do DataJud, normaliza o _source e ordena movimentos do mais recente para o mais antigo.</w:t>
      </w:r>
    </w:p>
    <w:p>
      <w:pPr>
        <w:pStyle w:val="ListBullet"/>
        <w:spacing w:after="60"/>
      </w:pPr>
      <w:r>
        <w:rPr>
          <w:rFonts w:ascii="Calibri" w:hAnsi="Calibri"/>
          <w:b/>
          <w:color w:val="17365D"/>
          <w:sz w:val="22"/>
        </w:rPr>
        <w:t xml:space="preserve">Interface: </w:t>
      </w:r>
      <w:r>
        <w:rPr>
          <w:rFonts w:ascii="Calibri" w:hAnsi="Calibri"/>
          <w:color w:val="252525"/>
          <w:sz w:val="22"/>
        </w:rPr>
        <w:t>index.html + js/app.js renderizam cards de decodificação, botão de consulta condicionado a DV válido e alias existente, e timeline de movimentos com limite de 20 e botão de expansão.</w:t>
      </w:r>
    </w:p>
    <w:p>
      <w:pPr>
        <w:pStyle w:val="ListBullet"/>
        <w:spacing w:after="60"/>
      </w:pPr>
      <w:r>
        <w:rPr>
          <w:rFonts w:ascii="Calibri" w:hAnsi="Calibri"/>
          <w:b/>
          <w:color w:val="17365D"/>
          <w:sz w:val="22"/>
        </w:rPr>
        <w:t xml:space="preserve">Testes: </w:t>
      </w:r>
      <w:r>
        <w:rPr>
          <w:rFonts w:ascii="Calibri" w:hAnsi="Calibri"/>
          <w:color w:val="252525"/>
          <w:sz w:val="22"/>
        </w:rPr>
        <w:t>tests/cnj.test.js cobre a lógica pura, executado manualmente abrindo tests/cnj.test.html no navegador. Não há package.json, runner Node nem CI.</w:t>
      </w:r>
    </w:p>
    <w:p>
      <w:pPr>
        <w:spacing w:after="120"/>
      </w:pPr>
      <w:r>
        <w:rPr>
          <w:rFonts w:ascii="Calibri" w:hAnsi="Calibri"/>
          <w:b/>
          <w:color w:val="17365D"/>
          <w:sz w:val="22"/>
        </w:rPr>
        <w:t xml:space="preserve">Lacuna principal. </w:t>
      </w:r>
      <w:r>
        <w:rPr>
          <w:rFonts w:ascii="Calibri" w:hAnsi="Calibri"/>
          <w:b w:val="0"/>
          <w:color w:val="252525"/>
          <w:sz w:val="22"/>
        </w:rPr>
        <w:t>A ferramenta responde bem à pergunta "o que este número significa", mas não responde às perguntas que a operação faz de verdade: "destes 300 processos, quais estão em execução", "algum deles se movimentou esta semana" e "quem consultou o quê". Todo resultado morre na aba do navegador.</w:t>
      </w:r>
    </w:p>
    <w:p>
      <w:pPr>
        <w:pStyle w:val="Heading1"/>
        <w:spacing w:before="320" w:after="120"/>
      </w:pPr>
      <w:r>
        <w:t>2. Premissas assumidas</w:t>
      </w:r>
    </w:p>
    <w:p>
      <w:pPr>
        <w:spacing w:after="120"/>
      </w:pPr>
      <w:r>
        <w:rPr>
          <w:rFonts w:ascii="Calibri" w:hAnsi="Calibri"/>
          <w:b w:val="0"/>
          <w:color w:val="252525"/>
          <w:sz w:val="22"/>
        </w:rPr>
        <w:t>O documento parte das premissas abaixo, derivadas do uso pretendido (ferramenta interna de operação). Divergências aqui alteram a priorização e devem ser corrigidas antes da execução.</w:t>
      </w:r>
    </w:p>
    <w:p>
      <w:pPr>
        <w:pStyle w:val="ListBullet"/>
        <w:spacing w:after="60"/>
      </w:pPr>
      <w:r>
        <w:rPr>
          <w:rFonts w:ascii="Calibri" w:hAnsi="Calibri"/>
          <w:color w:val="252525"/>
          <w:sz w:val="22"/>
        </w:rPr>
        <w:t>Usuários são colaboradores da BT Blue (triagem, originação e análise), não o público externo.</w:t>
      </w:r>
    </w:p>
    <w:p>
      <w:pPr>
        <w:pStyle w:val="ListBullet"/>
        <w:spacing w:after="60"/>
      </w:pPr>
      <w:r>
        <w:rPr>
          <w:rFonts w:ascii="Calibri" w:hAnsi="Calibri"/>
          <w:color w:val="252525"/>
          <w:sz w:val="22"/>
        </w:rPr>
        <w:t>O volume de trabalho é em lote — dezenas a centenas de números por rodada — e não consulta unitária esporádica.</w:t>
      </w:r>
    </w:p>
    <w:p>
      <w:pPr>
        <w:pStyle w:val="ListBullet"/>
        <w:spacing w:after="60"/>
      </w:pPr>
      <w:r>
        <w:rPr>
          <w:rFonts w:ascii="Calibri" w:hAnsi="Calibri"/>
          <w:color w:val="252525"/>
          <w:sz w:val="22"/>
        </w:rPr>
        <w:t>O dado relevante para o negócio é o estágio processual e a proximidade de liquidez (execução, trânsito em julgado, expedição de alvará), não a mera identificação do tribunal.</w:t>
      </w:r>
    </w:p>
    <w:p>
      <w:pPr>
        <w:pStyle w:val="ListBullet"/>
        <w:spacing w:after="60"/>
      </w:pPr>
      <w:r>
        <w:rPr>
          <w:rFonts w:ascii="Calibri" w:hAnsi="Calibri"/>
          <w:color w:val="252525"/>
          <w:sz w:val="22"/>
        </w:rPr>
        <w:t>O DataJud público continua sendo a única fonte automatizada disponível: não retorna partes, advogados nem valores, e a atualização depende de cada tribunal.</w:t>
      </w:r>
    </w:p>
    <w:p>
      <w:pPr>
        <w:pStyle w:val="ListBullet"/>
        <w:spacing w:after="60"/>
      </w:pPr>
      <w:r>
        <w:rPr>
          <w:rFonts w:ascii="Calibri" w:hAnsi="Calibri"/>
          <w:color w:val="252525"/>
          <w:sz w:val="22"/>
        </w:rPr>
        <w:t>Não há hoje banco de dados, autenticação ou pipeline de CI associados ao projeto.</w:t>
      </w:r>
    </w:p>
    <w:p>
      <w:pPr>
        <w:pStyle w:val="Heading1"/>
        <w:spacing w:before="320" w:after="120"/>
      </w:pPr>
      <w:r>
        <w:t>3. Princípios a preservar</w:t>
      </w:r>
    </w:p>
    <w:p>
      <w:pPr>
        <w:pStyle w:val="ListBullet"/>
        <w:spacing w:after="60"/>
      </w:pPr>
      <w:r>
        <w:rPr>
          <w:rFonts w:ascii="Calibri" w:hAnsi="Calibri"/>
          <w:b/>
          <w:color w:val="17365D"/>
          <w:sz w:val="22"/>
        </w:rPr>
        <w:t xml:space="preserve">Lógica pura separada do DOM: </w:t>
      </w:r>
      <w:r>
        <w:rPr>
          <w:rFonts w:ascii="Calibri" w:hAnsi="Calibri"/>
          <w:color w:val="252525"/>
          <w:sz w:val="22"/>
        </w:rPr>
        <w:t>js/cnj.js e js/tables.js não conhecem interface. Toda evolução deve manter essa fronteira — é o que torna o núcleo testável e reaproveitável por um serviço backend.</w:t>
      </w:r>
    </w:p>
    <w:p>
      <w:pPr>
        <w:pStyle w:val="ListBullet"/>
        <w:spacing w:after="60"/>
      </w:pPr>
      <w:r>
        <w:rPr>
          <w:rFonts w:ascii="Calibri" w:hAnsi="Calibri"/>
          <w:b/>
          <w:color w:val="17365D"/>
          <w:sz w:val="22"/>
        </w:rPr>
        <w:t xml:space="preserve">Decodificação offline: </w:t>
      </w:r>
      <w:r>
        <w:rPr>
          <w:rFonts w:ascii="Calibri" w:hAnsi="Calibri"/>
          <w:color w:val="252525"/>
          <w:sz w:val="22"/>
        </w:rPr>
        <w:t>a leitura do número não deve passar a depender de rede. A rede é opcional e só entra no enriquecimento.</w:t>
      </w:r>
    </w:p>
    <w:p>
      <w:pPr>
        <w:pStyle w:val="ListBullet"/>
        <w:spacing w:after="60"/>
      </w:pPr>
      <w:r>
        <w:rPr>
          <w:rFonts w:ascii="Calibri" w:hAnsi="Calibri"/>
          <w:b/>
          <w:color w:val="17365D"/>
          <w:sz w:val="22"/>
        </w:rPr>
        <w:t xml:space="preserve">Simplicidade de operação: </w:t>
      </w:r>
      <w:r>
        <w:rPr>
          <w:rFonts w:ascii="Calibri" w:hAnsi="Calibri"/>
          <w:color w:val="252525"/>
          <w:sz w:val="22"/>
        </w:rPr>
        <w:t>site estático mais função serverless é barato e sem manutenção de infraestrutura. Adicionar banco e autenticação é necessário; adicionar framework não é.</w:t>
      </w:r>
    </w:p>
    <w:p>
      <w:pPr>
        <w:pStyle w:val="ListBullet"/>
        <w:spacing w:after="60"/>
      </w:pPr>
      <w:r>
        <w:rPr>
          <w:rFonts w:ascii="Calibri" w:hAnsi="Calibri"/>
          <w:b/>
          <w:color w:val="17365D"/>
          <w:sz w:val="22"/>
        </w:rPr>
        <w:t xml:space="preserve">Fonte pública é indício, não certidão: </w:t>
      </w:r>
      <w:r>
        <w:rPr>
          <w:rFonts w:ascii="Calibri" w:hAnsi="Calibri"/>
          <w:color w:val="252525"/>
          <w:sz w:val="22"/>
        </w:rPr>
        <w:t>nenhuma decisão de crédito deve tratar retorno do DataJud como prova. A interface precisa carregar essa ressalva de forma explícita.</w:t>
      </w:r>
    </w:p>
    <w:p>
      <w:pPr>
        <w:pStyle w:val="ListBullet"/>
        <w:spacing w:after="60"/>
      </w:pPr>
      <w:r>
        <w:rPr>
          <w:rFonts w:ascii="Calibri" w:hAnsi="Calibri"/>
          <w:b/>
          <w:color w:val="17365D"/>
          <w:sz w:val="22"/>
        </w:rPr>
        <w:t xml:space="preserve">Custo previsível: </w:t>
      </w:r>
      <w:r>
        <w:rPr>
          <w:rFonts w:ascii="Calibri" w:hAnsi="Calibri"/>
          <w:color w:val="252525"/>
          <w:sz w:val="22"/>
        </w:rPr>
        <w:t>cada feature deve considerar o limite de uso da API do CNJ e o risco de bloqueio da chave.</w:t>
      </w:r>
    </w:p>
    <w:p>
      <w:pPr>
        <w:pStyle w:val="Heading1"/>
        <w:spacing w:before="320" w:after="120"/>
      </w:pPr>
      <w:r>
        <w:t>4. Achados críticos — corrigir antes de evoluir</w:t>
      </w:r>
    </w:p>
    <w:p>
      <w:pPr>
        <w:spacing w:after="120"/>
      </w:pPr>
      <w:r>
        <w:rPr>
          <w:rFonts w:ascii="Calibri" w:hAnsi="Calibri"/>
          <w:b w:val="0"/>
          <w:color w:val="252525"/>
          <w:sz w:val="22"/>
        </w:rPr>
        <w:t>Os cinco itens abaixo não são features: são condições para que o serviço continue funcionando quando o uso interno crescer. Recomenda-se tratá-los na primeira fase.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17365D"/>
                <w:sz w:val="20"/>
              </w:rPr>
              <w:t>#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b/>
                <w:color w:val="17365D"/>
                <w:sz w:val="20"/>
              </w:rPr>
              <w:t>Achado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7365D"/>
                <w:sz w:val="20"/>
              </w:rPr>
              <w:t>Evidência no código</w:t>
            </w:r>
          </w:p>
        </w:tc>
        <w:tc>
          <w:tcPr>
            <w:tcW w:type="dxa" w:w="3816"/>
          </w:tcPr>
          <w:p>
            <w:r/>
            <w:r>
              <w:rPr>
                <w:rFonts w:ascii="Calibri" w:hAnsi="Calibri"/>
                <w:b/>
                <w:color w:val="17365D"/>
                <w:sz w:val="20"/>
              </w:rPr>
              <w:t>Consequência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color w:val="17365D"/>
                <w:sz w:val="20"/>
              </w:rPr>
              <w:t>Sev.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A1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Chave do DataJud hardcoded e versionada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FALLBACK_KEY em api/datajud.js, linha ~13</w:t>
            </w:r>
          </w:p>
        </w:tc>
        <w:tc>
          <w:tcPr>
            <w:tcW w:type="dxa" w:w="381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Chave pública exposta no repositório; rotação pelo CNJ derruba a consulta sem aviso; risco de uso por terceiros que clonem o código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Crítico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A2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Proxy aberto, sem autenticação nem rate limit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handler em api/datajud.js aceita qualquer POST de qualquer origem</w:t>
            </w:r>
          </w:p>
        </w:tc>
        <w:tc>
          <w:tcPr>
            <w:tcW w:type="dxa" w:w="381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Endpoint utilizável como proxy gratuito por terceiros; consumo da cota do CNJ; risco de bloqueio da chave institucional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Crítico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A3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Apenas o primeiro hit é considerado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hits.hits[0]._source em api/datajud.js</w:t>
            </w:r>
          </w:p>
        </w:tc>
        <w:tc>
          <w:tcPr>
            <w:tcW w:type="dxa" w:w="381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O mesmo número pode existir em mais de um grau ou índice; a interface mostra um recorte e omite silenciosamente o restante — inclusive a instância mais recente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Alto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A4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Renderização por innerHTML com dado externo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render, renderOnline e card em js/app.js</w:t>
            </w:r>
          </w:p>
        </w:tc>
        <w:tc>
          <w:tcPr>
            <w:tcW w:type="dxa" w:w="381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escapeHtml não trata apóstrofo e o dado do DataJud é interpolado em HTML; superfície de injeção dependente de fonte externa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Alto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A5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Ausência total de observabilidade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nenhum log estruturado no handler; erros colapsam em network/timeout</w:t>
            </w:r>
          </w:p>
        </w:tc>
        <w:tc>
          <w:tcPr>
            <w:tcW w:type="dxa" w:w="381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Falha do DataJud por alias é indistinguível de erro de rede; impossível medir taxa de sucesso ou diagnosticar reclamação de usuário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Alto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/>
          <w:color w:val="17365D"/>
          <w:sz w:val="22"/>
        </w:rPr>
        <w:t xml:space="preserve">Correção recomendada para A1 e A2. </w:t>
      </w:r>
      <w:r>
        <w:rPr>
          <w:rFonts w:ascii="Calibri" w:hAnsi="Calibri"/>
          <w:b w:val="0"/>
          <w:color w:val="252525"/>
          <w:sz w:val="22"/>
        </w:rPr>
        <w:t>Remover o fallback e exigir DATAJUD_API_KEY do ambiente, falhando explicitamente na ausência; exigir autenticação no proxy (sessão interna ou SSO da Vercel); aplicar rate limit por usuário e global, com contador em armazenamento compartilhado; restringir origem via CORS e responder 403 fora dela.</w:t>
      </w:r>
    </w:p>
    <w:p>
      <w:pPr>
        <w:spacing w:after="120"/>
      </w:pPr>
      <w:r>
        <w:rPr>
          <w:rFonts w:ascii="Calibri" w:hAnsi="Calibri"/>
          <w:b/>
          <w:color w:val="17365D"/>
          <w:sz w:val="22"/>
        </w:rPr>
        <w:t xml:space="preserve">Correção recomendada para A3. </w:t>
      </w:r>
      <w:r>
        <w:rPr>
          <w:rFonts w:ascii="Calibri" w:hAnsi="Calibri"/>
          <w:b w:val="0"/>
          <w:color w:val="252525"/>
          <w:sz w:val="22"/>
        </w:rPr>
        <w:t>Retornar a lista completa de hits, ordenada por grau e por dataHoraUltimaAtualizacao, e exibir na interface um seletor de instância. A regra de negócio da BT Blue depende de saber em que grau o processo está.</w:t>
      </w:r>
    </w:p>
    <w:p>
      <w:pPr>
        <w:spacing w:after="120"/>
      </w:pPr>
      <w:r>
        <w:rPr>
          <w:rFonts w:ascii="Calibri" w:hAnsi="Calibri"/>
          <w:b/>
          <w:color w:val="17365D"/>
          <w:sz w:val="22"/>
        </w:rPr>
        <w:t xml:space="preserve">Correção recomendada para A4. </w:t>
      </w:r>
      <w:r>
        <w:rPr>
          <w:rFonts w:ascii="Calibri" w:hAnsi="Calibri"/>
          <w:b w:val="0"/>
          <w:color w:val="252525"/>
          <w:sz w:val="22"/>
        </w:rPr>
        <w:t>Substituir a montagem por string por criação de nós com textContent nos pontos que recebem dado do DataJud, mantendo HTML apenas para estrutura estática.</w:t>
      </w:r>
    </w:p>
    <w:p>
      <w:pPr>
        <w:spacing w:after="120"/>
      </w:pPr>
      <w:r>
        <w:rPr>
          <w:rFonts w:ascii="Calibri" w:hAnsi="Calibri"/>
          <w:b/>
          <w:color w:val="17365D"/>
          <w:sz w:val="22"/>
        </w:rPr>
        <w:t xml:space="preserve">Complemento de configuração. </w:t>
      </w:r>
      <w:r>
        <w:rPr>
          <w:rFonts w:ascii="Calibri" w:hAnsi="Calibri"/>
          <w:b w:val="0"/>
          <w:color w:val="252525"/>
          <w:sz w:val="22"/>
        </w:rPr>
        <w:t>vercel.json define apenas X-Content-Type-Options e Referrer-Policy. Adicionar Content-Security-Policy restritiva, Strict-Transport-Security, frame-ancestors e Permissions-Policy; hoje a página é enquadrável por qualquer site.</w:t>
      </w:r>
    </w:p>
    <w:p>
      <w:pPr>
        <w:pStyle w:val="Heading1"/>
        <w:spacing w:before="320" w:after="120"/>
      </w:pPr>
      <w:r>
        <w:t>5. Visão de prioridade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</w:tcPr>
          <w:p>
            <w:r/>
            <w:r>
              <w:rPr>
                <w:rFonts w:ascii="Calibri" w:hAnsi="Calibri"/>
                <w:b/>
                <w:color w:val="17365D"/>
                <w:sz w:val="20"/>
              </w:rPr>
              <w:t>Prioridade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/>
                <w:color w:val="17365D"/>
                <w:sz w:val="20"/>
              </w:rPr>
              <w:t>Item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/>
                <w:color w:val="17365D"/>
                <w:sz w:val="20"/>
              </w:rPr>
              <w:t>Resultado esperado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/>
                <w:color w:val="17365D"/>
                <w:sz w:val="20"/>
              </w:rPr>
              <w:t>Fase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P0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Achados A1–A5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Serviço confiável e defensável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P0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Autenticação e acesso interno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Uso restrito e rastreável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P0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Persistência das consultas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Nada mais se perde na aba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P0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Consulta em lote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Trabalho real da operação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P0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Classificação de estágio processual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Triagem automatizada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P0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Exportação estruturada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Integra ao fluxo atual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P1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Monitoramento de carteira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Movimentação detectada sem esforço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P1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Dicionário de movimentos TPU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Leitura sem interpretação manual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P1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Cache e fila server-side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Custo e cota sob controle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P1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Testes em CI e build mínimo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Regressão detectada antes do deploy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P1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Painel de saúde por tribunal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Cobertura real conhecida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P1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Correção assistida de número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Menos retrabalho de digitação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P2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API interna para outros sistemas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Reuso pela plataforma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P2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Score de elegibilidade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Apoio explícito à decisão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P2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Trilha de auditoria e LGPD formalizada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Conformidade demonstrável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4</w:t>
            </w:r>
          </w:p>
        </w:tc>
      </w:tr>
    </w:tbl>
    <w:p>
      <w:pPr>
        <w:spacing w:after="40"/>
      </w:pPr>
    </w:p>
    <w:p>
      <w:pPr>
        <w:pStyle w:val="Heading1"/>
        <w:spacing w:before="320" w:after="120"/>
      </w:pPr>
      <w:r>
        <w:t>6. Features essenciais — prioridade P0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>1. Autenticação e controle de acesso interno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Objetivo: </w:t>
      </w:r>
      <w:r>
        <w:rPr>
          <w:rFonts w:ascii="Calibri" w:hAnsi="Calibri"/>
          <w:b w:val="0"/>
          <w:color w:val="252525"/>
          <w:sz w:val="22"/>
        </w:rPr>
        <w:t>Restringir a ferramenta a colaboradores da BT Blue e vincular cada consulta a uma identidade.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Entrega mínima: </w:t>
      </w:r>
      <w:r>
        <w:rPr>
          <w:rFonts w:ascii="Calibri" w:hAnsi="Calibri"/>
          <w:b w:val="0"/>
          <w:color w:val="252525"/>
          <w:sz w:val="22"/>
        </w:rPr>
        <w:t>SSO da Vercel ou provedor de identidade corporativo com allowlist do domínio btblue.com.br; sessão assinada validada também no proxy /api/datajud, que passa a rejeitar chamada sem sessão.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Valor: </w:t>
      </w:r>
      <w:r>
        <w:rPr>
          <w:rFonts w:ascii="Calibri" w:hAnsi="Calibri"/>
          <w:b w:val="0"/>
          <w:color w:val="252525"/>
          <w:sz w:val="22"/>
        </w:rPr>
        <w:t>Habilita rate limit por pessoa, auditoria e qualquer feature que dependa de histórico. É pré-requisito de tudo o que vem depois.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Dependência técnica: </w:t>
      </w:r>
      <w:r>
        <w:rPr>
          <w:rFonts w:ascii="Calibri" w:hAnsi="Calibri"/>
          <w:b w:val="0"/>
          <w:color w:val="252525"/>
          <w:sz w:val="22"/>
        </w:rPr>
        <w:t>Definição do provedor de identidade e middleware de sessão na função serverless.</w:t>
      </w:r>
    </w:p>
    <w:p>
      <w:pPr>
        <w:spacing w:after="200"/>
      </w:pPr>
      <w:r>
        <w:rPr>
          <w:rFonts w:ascii="Calibri" w:hAnsi="Calibri"/>
          <w:b/>
          <w:color w:val="17365D"/>
          <w:sz w:val="22"/>
        </w:rPr>
        <w:t xml:space="preserve">Esforço estimado: </w:t>
      </w:r>
      <w:r>
        <w:rPr>
          <w:rFonts w:ascii="Calibri" w:hAnsi="Calibri"/>
          <w:b w:val="0"/>
          <w:color w:val="252525"/>
          <w:sz w:val="22"/>
        </w:rPr>
        <w:t>Baixo — 1 a 2 dias, majoritariamente configuração.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>2. Persistência das consultas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Objetivo: </w:t>
      </w:r>
      <w:r>
        <w:rPr>
          <w:rFonts w:ascii="Calibri" w:hAnsi="Calibri"/>
          <w:b w:val="0"/>
          <w:color w:val="252525"/>
          <w:sz w:val="22"/>
        </w:rPr>
        <w:t>Guardar servidor-side todo número consultado e o retorno do DataJud, substituindo o cache em localStorage.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Entrega mínima: </w:t>
      </w:r>
      <w:r>
        <w:rPr>
          <w:rFonts w:ascii="Calibri" w:hAnsi="Calibri"/>
          <w:b w:val="0"/>
          <w:color w:val="252525"/>
          <w:sz w:val="22"/>
        </w:rPr>
        <w:t>Banco relacional gerenciado (Postgres na Vercel ou equivalente) com tabelas de processo, snapshot de consulta e movimentos; cache lido do banco antes de chamar o DataJud, com TTL configurável por estágio.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Valor: </w:t>
      </w:r>
      <w:r>
        <w:rPr>
          <w:rFonts w:ascii="Calibri" w:hAnsi="Calibri"/>
          <w:b w:val="0"/>
          <w:color w:val="252525"/>
          <w:sz w:val="22"/>
        </w:rPr>
        <w:t>Elimina consulta repetida da mesma carteira, reduz consumo da cota do CNJ, permite comparar estados no tempo e sustenta lote, monitoramento e indicadores.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Dependência técnica: </w:t>
      </w:r>
      <w:r>
        <w:rPr>
          <w:rFonts w:ascii="Calibri" w:hAnsi="Calibri"/>
          <w:b w:val="0"/>
          <w:color w:val="252525"/>
          <w:sz w:val="22"/>
        </w:rPr>
        <w:t>Provisionamento do banco, camada de acesso na função serverless e migração do cache atual. Recomenda-se ADR registrando a decisão e a política de retenção.</w:t>
      </w:r>
    </w:p>
    <w:p>
      <w:pPr>
        <w:spacing w:after="200"/>
      </w:pPr>
      <w:r>
        <w:rPr>
          <w:rFonts w:ascii="Calibri" w:hAnsi="Calibri"/>
          <w:b/>
          <w:color w:val="17365D"/>
          <w:sz w:val="22"/>
        </w:rPr>
        <w:t xml:space="preserve">Esforço estimado: </w:t>
      </w:r>
      <w:r>
        <w:rPr>
          <w:rFonts w:ascii="Calibri" w:hAnsi="Calibri"/>
          <w:b w:val="0"/>
          <w:color w:val="252525"/>
          <w:sz w:val="22"/>
        </w:rPr>
        <w:t>Médio — 3 a 5 dias.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>3. Consulta em lote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Objetivo: </w:t>
      </w:r>
      <w:r>
        <w:rPr>
          <w:rFonts w:ascii="Calibri" w:hAnsi="Calibri"/>
          <w:b w:val="0"/>
          <w:color w:val="252525"/>
          <w:sz w:val="22"/>
        </w:rPr>
        <w:t>Permitir processar dezenas a centenas de números em uma rodada, que é como a operação de fato trabalha.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Entrega mínima: </w:t>
      </w:r>
      <w:r>
        <w:rPr>
          <w:rFonts w:ascii="Calibri" w:hAnsi="Calibri"/>
          <w:b w:val="0"/>
          <w:color w:val="252525"/>
          <w:sz w:val="22"/>
        </w:rPr>
        <w:t>Entrada por colagem de lista ou upload de CSV/XLSX; validação de DV e derivação de alias antes de qualquer chamada; execução com concorrência limitada e retentativa com backoff; tela de progresso com resultado parcial e linha de erro por número.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Valor: </w:t>
      </w:r>
      <w:r>
        <w:rPr>
          <w:rFonts w:ascii="Calibri" w:hAnsi="Calibri"/>
          <w:b w:val="0"/>
          <w:color w:val="252525"/>
          <w:sz w:val="22"/>
        </w:rPr>
        <w:t>Substitui o trabalho manual de colar número por número. É a feature que muda a percepção da ferramenta de utilitário para instrumento de produção.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Dependência técnica: </w:t>
      </w:r>
      <w:r>
        <w:rPr>
          <w:rFonts w:ascii="Calibri" w:hAnsi="Calibri"/>
          <w:b w:val="0"/>
          <w:color w:val="252525"/>
          <w:sz w:val="22"/>
        </w:rPr>
        <w:t>Depende de persistência (2) para não repetir consultas e de fila ou execução assíncrona para não estourar o tempo limite da função serverless.</w:t>
      </w:r>
    </w:p>
    <w:p>
      <w:pPr>
        <w:spacing w:after="200"/>
      </w:pPr>
      <w:r>
        <w:rPr>
          <w:rFonts w:ascii="Calibri" w:hAnsi="Calibri"/>
          <w:b/>
          <w:color w:val="17365D"/>
          <w:sz w:val="22"/>
        </w:rPr>
        <w:t xml:space="preserve">Esforço estimado: </w:t>
      </w:r>
      <w:r>
        <w:rPr>
          <w:rFonts w:ascii="Calibri" w:hAnsi="Calibri"/>
          <w:b w:val="0"/>
          <w:color w:val="252525"/>
          <w:sz w:val="22"/>
        </w:rPr>
        <w:t>Médio-alto — 5 a 8 dias.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>4. Classificação automática de estágio processual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Objetivo: </w:t>
      </w:r>
      <w:r>
        <w:rPr>
          <w:rFonts w:ascii="Calibri" w:hAnsi="Calibri"/>
          <w:b w:val="0"/>
          <w:color w:val="252525"/>
          <w:sz w:val="22"/>
        </w:rPr>
        <w:t>Traduzir a lista de movimentos em um estágio legível e acionável para a triagem de antecipação.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Entrega mínima: </w:t>
      </w:r>
      <w:r>
        <w:rPr>
          <w:rFonts w:ascii="Calibri" w:hAnsi="Calibri"/>
          <w:b w:val="0"/>
          <w:color w:val="252525"/>
          <w:sz w:val="22"/>
        </w:rPr>
        <w:t>Mapa dos códigos da Tabela Processual Unificada do CNJ para estágios de interesse (conhecimento, sentença, recurso, trânsito em julgado, execução, penhora, expedição de alvará, arquivamento); derivar do movimento mais recente relevante um rótulo, a data correspondente e a idade em dias; sinalizar explicitamente quando nenhum movimento reconhecido existir.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Valor: </w:t>
      </w:r>
      <w:r>
        <w:rPr>
          <w:rFonts w:ascii="Calibri" w:hAnsi="Calibri"/>
          <w:b w:val="0"/>
          <w:color w:val="252525"/>
          <w:sz w:val="22"/>
        </w:rPr>
        <w:t>É o núcleo do valor de negócio: separa, sem leitura humana, o processo distante da liquidez do processo próximo dela.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Dependência técnica: </w:t>
      </w:r>
      <w:r>
        <w:rPr>
          <w:rFonts w:ascii="Calibri" w:hAnsi="Calibri"/>
          <w:b w:val="0"/>
          <w:color w:val="252525"/>
          <w:sz w:val="22"/>
        </w:rPr>
        <w:t>Curadoria da tabela de códigos com validação jurídica interna, versionada no repositório. Nenhuma classificação deve ser tratada como certidão — a interface precisa dizê-lo.</w:t>
      </w:r>
    </w:p>
    <w:p>
      <w:pPr>
        <w:spacing w:after="200"/>
      </w:pPr>
      <w:r>
        <w:rPr>
          <w:rFonts w:ascii="Calibri" w:hAnsi="Calibri"/>
          <w:b/>
          <w:color w:val="17365D"/>
          <w:sz w:val="22"/>
        </w:rPr>
        <w:t xml:space="preserve">Esforço estimado: </w:t>
      </w:r>
      <w:r>
        <w:rPr>
          <w:rFonts w:ascii="Calibri" w:hAnsi="Calibri"/>
          <w:b w:val="0"/>
          <w:color w:val="252525"/>
          <w:sz w:val="22"/>
        </w:rPr>
        <w:t>Médio — 4 a 6 dias, mais o tempo de curadoria jurídica.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>5. Exportação estruturada do resultado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Objetivo: </w:t>
      </w:r>
      <w:r>
        <w:rPr>
          <w:rFonts w:ascii="Calibri" w:hAnsi="Calibri"/>
          <w:b w:val="0"/>
          <w:color w:val="252525"/>
          <w:sz w:val="22"/>
        </w:rPr>
        <w:t>Devolver o resultado no formato em que a operação já trabalha.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Entrega mínima: </w:t>
      </w:r>
      <w:r>
        <w:rPr>
          <w:rFonts w:ascii="Calibri" w:hAnsi="Calibri"/>
          <w:b w:val="0"/>
          <w:color w:val="252525"/>
          <w:sz w:val="22"/>
        </w:rPr>
        <w:t>Exportação em CSV e XLSX com uma linha por processo, colunas de decodificação, metadados do DataJud, estágio classificado e data da consulta; opção de incluir movimentos em aba separada.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Valor: </w:t>
      </w:r>
      <w:r>
        <w:rPr>
          <w:rFonts w:ascii="Calibri" w:hAnsi="Calibri"/>
          <w:b w:val="0"/>
          <w:color w:val="252525"/>
          <w:sz w:val="22"/>
        </w:rPr>
        <w:t>Fecha o ciclo do lote e evita transcrição manual, que é a principal fonte de erro na triagem.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Dependência técnica: </w:t>
      </w:r>
      <w:r>
        <w:rPr>
          <w:rFonts w:ascii="Calibri" w:hAnsi="Calibri"/>
          <w:b w:val="0"/>
          <w:color w:val="252525"/>
          <w:sz w:val="22"/>
        </w:rPr>
        <w:t>Depende de (3) e (4); geração no cliente é suficiente no volume previsto.</w:t>
      </w:r>
    </w:p>
    <w:p>
      <w:pPr>
        <w:spacing w:after="200"/>
      </w:pPr>
      <w:r>
        <w:rPr>
          <w:rFonts w:ascii="Calibri" w:hAnsi="Calibri"/>
          <w:b/>
          <w:color w:val="17365D"/>
          <w:sz w:val="22"/>
        </w:rPr>
        <w:t xml:space="preserve">Esforço estimado: </w:t>
      </w:r>
      <w:r>
        <w:rPr>
          <w:rFonts w:ascii="Calibri" w:hAnsi="Calibri"/>
          <w:b w:val="0"/>
          <w:color w:val="252525"/>
          <w:sz w:val="22"/>
        </w:rPr>
        <w:t>Baixo — 1 a 2 dias.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>6. Testes automatizados e build mínimo em CI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Objetivo: </w:t>
      </w:r>
      <w:r>
        <w:rPr>
          <w:rFonts w:ascii="Calibri" w:hAnsi="Calibri"/>
          <w:b w:val="0"/>
          <w:color w:val="252525"/>
          <w:sz w:val="22"/>
        </w:rPr>
        <w:t>Fazer o teste existente rodar sem intervenção humana, antes do deploy.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Entrega mínima: </w:t>
      </w:r>
      <w:r>
        <w:rPr>
          <w:rFonts w:ascii="Calibri" w:hAnsi="Calibri"/>
          <w:b w:val="0"/>
          <w:color w:val="252525"/>
          <w:sz w:val="22"/>
        </w:rPr>
        <w:t>package.json com Vitest ou Node test runner; extração da lógica pura para módulos importáveis mantendo o carregamento clássico no navegador; workflow no GitHub Actions executando testes em pull request e bloqueando merge vermelho.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Valor: </w:t>
      </w:r>
      <w:r>
        <w:rPr>
          <w:rFonts w:ascii="Calibri" w:hAnsi="Calibri"/>
          <w:b w:val="0"/>
          <w:color w:val="252525"/>
          <w:sz w:val="22"/>
        </w:rPr>
        <w:t>A lógica de DV, alias e classificação de estágio é exatamente o tipo de código em que regressão silenciosa é caríssima — um alias errado devolve "não encontrado" e a operação descarta um processo bom.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Dependência técnica: </w:t>
      </w:r>
      <w:r>
        <w:rPr>
          <w:rFonts w:ascii="Calibri" w:hAnsi="Calibri"/>
          <w:b w:val="0"/>
          <w:color w:val="252525"/>
          <w:sz w:val="22"/>
        </w:rPr>
        <w:t>Nenhuma além da decisão de manter ou não bundler. Recomenda-se não introduzir framework nesta etapa.</w:t>
      </w:r>
    </w:p>
    <w:p>
      <w:pPr>
        <w:spacing w:after="200"/>
      </w:pPr>
      <w:r>
        <w:rPr>
          <w:rFonts w:ascii="Calibri" w:hAnsi="Calibri"/>
          <w:b/>
          <w:color w:val="17365D"/>
          <w:sz w:val="22"/>
        </w:rPr>
        <w:t xml:space="preserve">Esforço estimado: </w:t>
      </w:r>
      <w:r>
        <w:rPr>
          <w:rFonts w:ascii="Calibri" w:hAnsi="Calibri"/>
          <w:b w:val="0"/>
          <w:color w:val="252525"/>
          <w:sz w:val="22"/>
        </w:rPr>
        <w:t>Baixo — 2 dias.</w:t>
      </w:r>
    </w:p>
    <w:p>
      <w:pPr>
        <w:pStyle w:val="Heading1"/>
        <w:spacing w:before="320" w:after="120"/>
      </w:pPr>
      <w:r>
        <w:t>7. Features de consolidação — prioridade P1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>7. Monitoramento de carteira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Objetivo: </w:t>
      </w:r>
      <w:r>
        <w:rPr>
          <w:rFonts w:ascii="Calibri" w:hAnsi="Calibri"/>
          <w:b w:val="0"/>
          <w:color w:val="252525"/>
          <w:sz w:val="22"/>
        </w:rPr>
        <w:t>Detectar movimentação relevante em processos já consultados, sem reconsulta manual.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Entrega mínima: </w:t>
      </w:r>
      <w:r>
        <w:rPr>
          <w:rFonts w:ascii="Calibri" w:hAnsi="Calibri"/>
          <w:b w:val="0"/>
          <w:color w:val="252525"/>
          <w:sz w:val="22"/>
        </w:rPr>
        <w:t>Lista de acompanhamento por usuário ou por carteira; job agendado revisitando os processos em janelas escalonadas conforme o estágio; comparação com o último snapshot e notificação por e-mail ou Teams apenas quando houver mudança de estágio relevante.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Valor: </w:t>
      </w:r>
      <w:r>
        <w:rPr>
          <w:rFonts w:ascii="Calibri" w:hAnsi="Calibri"/>
          <w:b w:val="0"/>
          <w:color w:val="252525"/>
          <w:sz w:val="22"/>
        </w:rPr>
        <w:t>Converte a ferramenta de consulta pontual em vigilância contínua. Para uma carteira de ativos judiciais, saber no dia da penhora e não trinta dias depois tem valor direto.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Dependência técnica: </w:t>
      </w:r>
      <w:r>
        <w:rPr>
          <w:rFonts w:ascii="Calibri" w:hAnsi="Calibri"/>
          <w:b w:val="0"/>
          <w:color w:val="252525"/>
          <w:sz w:val="22"/>
        </w:rPr>
        <w:t>Depende de persistência (2) e de agendamento (cron da Vercel ou serviço externo). Requer política de reconsulta que respeite a cota do CNJ.</w:t>
      </w:r>
    </w:p>
    <w:p>
      <w:pPr>
        <w:spacing w:after="200"/>
      </w:pPr>
      <w:r>
        <w:rPr>
          <w:rFonts w:ascii="Calibri" w:hAnsi="Calibri"/>
          <w:b/>
          <w:color w:val="17365D"/>
          <w:sz w:val="22"/>
        </w:rPr>
        <w:t xml:space="preserve">Esforço estimado: </w:t>
      </w:r>
      <w:r>
        <w:rPr>
          <w:rFonts w:ascii="Calibri" w:hAnsi="Calibri"/>
          <w:b w:val="0"/>
          <w:color w:val="252525"/>
          <w:sz w:val="22"/>
        </w:rPr>
        <w:t>Médio-alto — 5 a 8 dias.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>8. Dicionário de movimentos e glossário na interface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Objetivo: </w:t>
      </w:r>
      <w:r>
        <w:rPr>
          <w:rFonts w:ascii="Calibri" w:hAnsi="Calibri"/>
          <w:b w:val="0"/>
          <w:color w:val="252525"/>
          <w:sz w:val="22"/>
        </w:rPr>
        <w:t>Reduzir a dependência de interpretação humana da linguagem processual.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Entrega mínima: </w:t>
      </w:r>
      <w:r>
        <w:rPr>
          <w:rFonts w:ascii="Calibri" w:hAnsi="Calibri"/>
          <w:b w:val="0"/>
          <w:color w:val="252525"/>
          <w:sz w:val="22"/>
        </w:rPr>
        <w:t>Descrição curta em linguagem clara para cada código de movimento exibido, com destaque visual para os movimentos de interesse; glossário consultável fora do fluxo de consulta.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Valor: </w:t>
      </w:r>
      <w:r>
        <w:rPr>
          <w:rFonts w:ascii="Calibri" w:hAnsi="Calibri"/>
          <w:b w:val="0"/>
          <w:color w:val="252525"/>
          <w:sz w:val="22"/>
        </w:rPr>
        <w:t>Permite que analistas menos experientes trabalhem a triagem com autonomia e padroniza o entendimento entre pessoas.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Dependência técnica: </w:t>
      </w:r>
      <w:r>
        <w:rPr>
          <w:rFonts w:ascii="Calibri" w:hAnsi="Calibri"/>
          <w:b w:val="0"/>
          <w:color w:val="252525"/>
          <w:sz w:val="22"/>
        </w:rPr>
        <w:t>Compartilha a curadoria de (4); conteúdo versionado, com responsável por revisão.</w:t>
      </w:r>
    </w:p>
    <w:p>
      <w:pPr>
        <w:spacing w:after="200"/>
      </w:pPr>
      <w:r>
        <w:rPr>
          <w:rFonts w:ascii="Calibri" w:hAnsi="Calibri"/>
          <w:b/>
          <w:color w:val="17365D"/>
          <w:sz w:val="22"/>
        </w:rPr>
        <w:t xml:space="preserve">Esforço estimado: </w:t>
      </w:r>
      <w:r>
        <w:rPr>
          <w:rFonts w:ascii="Calibri" w:hAnsi="Calibri"/>
          <w:b w:val="0"/>
          <w:color w:val="252525"/>
          <w:sz w:val="22"/>
        </w:rPr>
        <w:t>Baixo-médio — 2 a 4 dias após a curadoria.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>9. Cache e fila server-side com controle de cota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Objetivo: </w:t>
      </w:r>
      <w:r>
        <w:rPr>
          <w:rFonts w:ascii="Calibri" w:hAnsi="Calibri"/>
          <w:b w:val="0"/>
          <w:color w:val="252525"/>
          <w:sz w:val="22"/>
        </w:rPr>
        <w:t>Manter o consumo do DataJud previsível quando o uso em lote se consolidar.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Entrega mínima: </w:t>
      </w:r>
      <w:r>
        <w:rPr>
          <w:rFonts w:ascii="Calibri" w:hAnsi="Calibri"/>
          <w:b w:val="0"/>
          <w:color w:val="252525"/>
          <w:sz w:val="22"/>
        </w:rPr>
        <w:t>Cache de leitura no banco com TTL por estágio; fila de consultas com concorrência configurável; retentativa com backoff exponencial para 429 e 5xx; circuito aberto por alias quando um tribunal está indisponível, com aviso na interface em vez de erro genérico.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Valor: </w:t>
      </w:r>
      <w:r>
        <w:rPr>
          <w:rFonts w:ascii="Calibri" w:hAnsi="Calibri"/>
          <w:b w:val="0"/>
          <w:color w:val="252525"/>
          <w:sz w:val="22"/>
        </w:rPr>
        <w:t>Evita o cenário em que uma rodada grande de lote derruba a consulta para todo mundo ou provoca bloqueio da chave institucional.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Dependência técnica: </w:t>
      </w:r>
      <w:r>
        <w:rPr>
          <w:rFonts w:ascii="Calibri" w:hAnsi="Calibri"/>
          <w:b w:val="0"/>
          <w:color w:val="252525"/>
          <w:sz w:val="22"/>
        </w:rPr>
        <w:t>Depende de (2) e (3). O timeout fixo de 12 segundos do handler deve passar a ser configurável por tribunal.</w:t>
      </w:r>
    </w:p>
    <w:p>
      <w:pPr>
        <w:spacing w:after="200"/>
      </w:pPr>
      <w:r>
        <w:rPr>
          <w:rFonts w:ascii="Calibri" w:hAnsi="Calibri"/>
          <w:b/>
          <w:color w:val="17365D"/>
          <w:sz w:val="22"/>
        </w:rPr>
        <w:t xml:space="preserve">Esforço estimado: </w:t>
      </w:r>
      <w:r>
        <w:rPr>
          <w:rFonts w:ascii="Calibri" w:hAnsi="Calibri"/>
          <w:b w:val="0"/>
          <w:color w:val="252525"/>
          <w:sz w:val="22"/>
        </w:rPr>
        <w:t>Médio — 3 a 5 dias.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>10. Painel de saúde e cobertura por tribunal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Objetivo: </w:t>
      </w:r>
      <w:r>
        <w:rPr>
          <w:rFonts w:ascii="Calibri" w:hAnsi="Calibri"/>
          <w:b w:val="0"/>
          <w:color w:val="252525"/>
          <w:sz w:val="22"/>
        </w:rPr>
        <w:t>Conhecer a cobertura real, em vez de presumir que todo alias derivado funciona.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Entrega mínima: </w:t>
      </w:r>
      <w:r>
        <w:rPr>
          <w:rFonts w:ascii="Calibri" w:hAnsi="Calibri"/>
          <w:b w:val="0"/>
          <w:color w:val="252525"/>
          <w:sz w:val="22"/>
        </w:rPr>
        <w:t>Verificação periódica por alias com número de teste; painel interno com taxa de sucesso, latência e último erro por tribunal; sinalização na interface quando o tribunal do número consultado está degradado.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Valor: </w:t>
      </w:r>
      <w:r>
        <w:rPr>
          <w:rFonts w:ascii="Calibri" w:hAnsi="Calibri"/>
          <w:b w:val="0"/>
          <w:color w:val="252525"/>
          <w:sz w:val="22"/>
        </w:rPr>
        <w:t>Hoje, alias inexistente ou índice vazio no CNJ chega ao usuário como "não encontrado" — indistinguível de processo que realmente não existe. A confusão custa processos descartados por engano.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Dependência técnica: </w:t>
      </w:r>
      <w:r>
        <w:rPr>
          <w:rFonts w:ascii="Calibri" w:hAnsi="Calibri"/>
          <w:b w:val="0"/>
          <w:color w:val="252525"/>
          <w:sz w:val="22"/>
        </w:rPr>
        <w:t>Depende de observabilidade (A5) e de armazenamento das medições.</w:t>
      </w:r>
    </w:p>
    <w:p>
      <w:pPr>
        <w:spacing w:after="200"/>
      </w:pPr>
      <w:r>
        <w:rPr>
          <w:rFonts w:ascii="Calibri" w:hAnsi="Calibri"/>
          <w:b/>
          <w:color w:val="17365D"/>
          <w:sz w:val="22"/>
        </w:rPr>
        <w:t xml:space="preserve">Esforço estimado: </w:t>
      </w:r>
      <w:r>
        <w:rPr>
          <w:rFonts w:ascii="Calibri" w:hAnsi="Calibri"/>
          <w:b w:val="0"/>
          <w:color w:val="252525"/>
          <w:sz w:val="22"/>
        </w:rPr>
        <w:t>Médio — 3 a 4 dias.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>11. Correção assistida de número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Objetivo: </w:t>
      </w:r>
      <w:r>
        <w:rPr>
          <w:rFonts w:ascii="Calibri" w:hAnsi="Calibri"/>
          <w:b w:val="0"/>
          <w:color w:val="252525"/>
          <w:sz w:val="22"/>
        </w:rPr>
        <w:t>Recuperar números digitados ou transcritos com erro, em vez de apenas recusá-los.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Entrega mínima: </w:t>
      </w:r>
      <w:r>
        <w:rPr>
          <w:rFonts w:ascii="Calibri" w:hAnsi="Calibri"/>
          <w:b w:val="0"/>
          <w:color w:val="252525"/>
          <w:sz w:val="22"/>
        </w:rPr>
        <w:t>Quando o DV não fecha, testar variações de dígito único e transposição de adjacentes e sugerir os candidatos válidos; no lote, marcar a linha como corrigível e registrar a sugestão sem aplicá-la automaticamente.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Valor: </w:t>
      </w:r>
      <w:r>
        <w:rPr>
          <w:rFonts w:ascii="Calibri" w:hAnsi="Calibri"/>
          <w:b w:val="0"/>
          <w:color w:val="252525"/>
          <w:sz w:val="22"/>
        </w:rPr>
        <w:t>Em triagem de listas vindas de planilhas e PDFs, erro de transcrição é rotina. Cada número recuperado é um ativo que não se perde.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Dependência técnica: </w:t>
      </w:r>
      <w:r>
        <w:rPr>
          <w:rFonts w:ascii="Calibri" w:hAnsi="Calibri"/>
          <w:b w:val="0"/>
          <w:color w:val="252525"/>
          <w:sz w:val="22"/>
        </w:rPr>
        <w:t>Extensão de js/cnj.js; a lógica de DV já existe e é determinística. Correção nunca deve ser silenciosa.</w:t>
      </w:r>
    </w:p>
    <w:p>
      <w:pPr>
        <w:spacing w:after="200"/>
      </w:pPr>
      <w:r>
        <w:rPr>
          <w:rFonts w:ascii="Calibri" w:hAnsi="Calibri"/>
          <w:b/>
          <w:color w:val="17365D"/>
          <w:sz w:val="22"/>
        </w:rPr>
        <w:t xml:space="preserve">Esforço estimado: </w:t>
      </w:r>
      <w:r>
        <w:rPr>
          <w:rFonts w:ascii="Calibri" w:hAnsi="Calibri"/>
          <w:b w:val="0"/>
          <w:color w:val="252525"/>
          <w:sz w:val="22"/>
        </w:rPr>
        <w:t>Baixo — 1 a 2 dias.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>12. Histórico e comparação temporal do processo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Objetivo: </w:t>
      </w:r>
      <w:r>
        <w:rPr>
          <w:rFonts w:ascii="Calibri" w:hAnsi="Calibri"/>
          <w:b w:val="0"/>
          <w:color w:val="252525"/>
          <w:sz w:val="22"/>
        </w:rPr>
        <w:t>Mostrar o que mudou entre consultas do mesmo processo.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Entrega mínima: </w:t>
      </w:r>
      <w:r>
        <w:rPr>
          <w:rFonts w:ascii="Calibri" w:hAnsi="Calibri"/>
          <w:b w:val="0"/>
          <w:color w:val="252525"/>
          <w:sz w:val="22"/>
        </w:rPr>
        <w:t>Visão de snapshots com data, estágio na época e movimentos acrescentados; destaque das mudanças desde a última visita.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Valor: </w:t>
      </w:r>
      <w:r>
        <w:rPr>
          <w:rFonts w:ascii="Calibri" w:hAnsi="Calibri"/>
          <w:b w:val="0"/>
          <w:color w:val="252525"/>
          <w:sz w:val="22"/>
        </w:rPr>
        <w:t>Sustenta análise de velocidade processual por vara e por tribunal — insumo relevante para precificar prazo.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Dependência técnica: </w:t>
      </w:r>
      <w:r>
        <w:rPr>
          <w:rFonts w:ascii="Calibri" w:hAnsi="Calibri"/>
          <w:b w:val="0"/>
          <w:color w:val="252525"/>
          <w:sz w:val="22"/>
        </w:rPr>
        <w:t>Depende de (2) e (7).</w:t>
      </w:r>
    </w:p>
    <w:p>
      <w:pPr>
        <w:spacing w:after="200"/>
      </w:pPr>
      <w:r>
        <w:rPr>
          <w:rFonts w:ascii="Calibri" w:hAnsi="Calibri"/>
          <w:b/>
          <w:color w:val="17365D"/>
          <w:sz w:val="22"/>
        </w:rPr>
        <w:t xml:space="preserve">Esforço estimado: </w:t>
      </w:r>
      <w:r>
        <w:rPr>
          <w:rFonts w:ascii="Calibri" w:hAnsi="Calibri"/>
          <w:b w:val="0"/>
          <w:color w:val="252525"/>
          <w:sz w:val="22"/>
        </w:rPr>
        <w:t>Baixo-médio — 2 a 3 dias.</w:t>
      </w:r>
    </w:p>
    <w:p>
      <w:pPr>
        <w:pStyle w:val="Heading1"/>
        <w:spacing w:before="320" w:after="120"/>
      </w:pPr>
      <w:r>
        <w:t>8. Evoluções de médio prazo — prioridade P2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>13. API interna para consumo por outros sistemas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Objetivo: </w:t>
      </w:r>
      <w:r>
        <w:rPr>
          <w:rFonts w:ascii="Calibri" w:hAnsi="Calibri"/>
          <w:b w:val="0"/>
          <w:color w:val="252525"/>
          <w:sz w:val="22"/>
        </w:rPr>
        <w:t>Permitir que o restante da plataforma da BT Blue use a decodificação e o enriquecimento sem replicar a lógica.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Entrega mínima: </w:t>
      </w:r>
      <w:r>
        <w:rPr>
          <w:rFonts w:ascii="Calibri" w:hAnsi="Calibri"/>
          <w:b w:val="0"/>
          <w:color w:val="252525"/>
          <w:sz w:val="22"/>
        </w:rPr>
        <w:t>Endpoints autenticados por token de serviço para decodificar, consultar e classificar, com versionamento explícito e contrato documentado.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Valor: </w:t>
      </w:r>
      <w:r>
        <w:rPr>
          <w:rFonts w:ascii="Calibri" w:hAnsi="Calibri"/>
          <w:b w:val="0"/>
          <w:color w:val="252525"/>
          <w:sz w:val="22"/>
        </w:rPr>
        <w:t>Evita que a mesma regra de DV e de alias seja reimplementada em cada sistema, com divergências.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Dependência técnica: </w:t>
      </w:r>
      <w:r>
        <w:rPr>
          <w:rFonts w:ascii="Calibri" w:hAnsi="Calibri"/>
          <w:b w:val="0"/>
          <w:color w:val="252525"/>
          <w:sz w:val="22"/>
        </w:rPr>
        <w:t>Depende de (1), (2) e (9), e de uma decisão sobre onde a ferramenta vive na arquitetura interna.</w:t>
      </w:r>
    </w:p>
    <w:p>
      <w:pPr>
        <w:spacing w:after="200"/>
      </w:pPr>
      <w:r>
        <w:rPr>
          <w:rFonts w:ascii="Calibri" w:hAnsi="Calibri"/>
          <w:b/>
          <w:color w:val="17365D"/>
          <w:sz w:val="22"/>
        </w:rPr>
        <w:t xml:space="preserve">Esforço estimado: </w:t>
      </w:r>
      <w:r>
        <w:rPr>
          <w:rFonts w:ascii="Calibri" w:hAnsi="Calibri"/>
          <w:b w:val="0"/>
          <w:color w:val="252525"/>
          <w:sz w:val="22"/>
        </w:rPr>
        <w:t>Médio — 4 a 6 dias após as bases.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>14. Score de elegibilidade para antecipação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Objetivo: </w:t>
      </w:r>
      <w:r>
        <w:rPr>
          <w:rFonts w:ascii="Calibri" w:hAnsi="Calibri"/>
          <w:b w:val="0"/>
          <w:color w:val="252525"/>
          <w:sz w:val="22"/>
        </w:rPr>
        <w:t>Ordenar a fila de análise a partir dos sinais já disponíveis.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Entrega mínima: </w:t>
      </w:r>
      <w:r>
        <w:rPr>
          <w:rFonts w:ascii="Calibri" w:hAnsi="Calibri"/>
          <w:b w:val="0"/>
          <w:color w:val="252525"/>
          <w:sz w:val="22"/>
        </w:rPr>
        <w:t>Regras explícitas e auditáveis combinando estágio, idade do processo, tribunal, grau e cadência de movimentos, produzindo faixa de prioridade — nunca decisão automática de crédito.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Valor: </w:t>
      </w:r>
      <w:r>
        <w:rPr>
          <w:rFonts w:ascii="Calibri" w:hAnsi="Calibri"/>
          <w:b w:val="0"/>
          <w:color w:val="252525"/>
          <w:sz w:val="22"/>
        </w:rPr>
        <w:t>Substitui ordenação por intuição em listas grandes. O ganho é de foco, não de decisão.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Dependência técnica: </w:t>
      </w:r>
      <w:r>
        <w:rPr>
          <w:rFonts w:ascii="Calibri" w:hAnsi="Calibri"/>
          <w:b w:val="0"/>
          <w:color w:val="252525"/>
          <w:sz w:val="22"/>
        </w:rPr>
        <w:t>Depende de (4) e de histórico suficiente para calibrar; regras precisam de aprovação da área de risco e devem ser versionadas.</w:t>
      </w:r>
    </w:p>
    <w:p>
      <w:pPr>
        <w:spacing w:after="200"/>
      </w:pPr>
      <w:r>
        <w:rPr>
          <w:rFonts w:ascii="Calibri" w:hAnsi="Calibri"/>
          <w:b/>
          <w:color w:val="17365D"/>
          <w:sz w:val="22"/>
        </w:rPr>
        <w:t xml:space="preserve">Esforço estimado: </w:t>
      </w:r>
      <w:r>
        <w:rPr>
          <w:rFonts w:ascii="Calibri" w:hAnsi="Calibri"/>
          <w:b w:val="0"/>
          <w:color w:val="252525"/>
          <w:sz w:val="22"/>
        </w:rPr>
        <w:t>Médio — a estimar depois de haver baseline de dados.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>15. Trilha de auditoria e política de dados formalizada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Objetivo: </w:t>
      </w:r>
      <w:r>
        <w:rPr>
          <w:rFonts w:ascii="Calibri" w:hAnsi="Calibri"/>
          <w:b w:val="0"/>
          <w:color w:val="252525"/>
          <w:sz w:val="22"/>
        </w:rPr>
        <w:t>Registrar quem consultou o quê e por quanto tempo o dado é retido.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Entrega mínima: </w:t>
      </w:r>
      <w:r>
        <w:rPr>
          <w:rFonts w:ascii="Calibri" w:hAnsi="Calibri"/>
          <w:b w:val="0"/>
          <w:color w:val="252525"/>
          <w:sz w:val="22"/>
        </w:rPr>
        <w:t>Log de consulta por usuário, retenção declarada por tipo de dado, expurgo automático e documento de tratamento cobrindo o dado processual armazenado.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Valor: </w:t>
      </w:r>
      <w:r>
        <w:rPr>
          <w:rFonts w:ascii="Calibri" w:hAnsi="Calibri"/>
          <w:b w:val="0"/>
          <w:color w:val="252525"/>
          <w:sz w:val="22"/>
        </w:rPr>
        <w:t>Dado processual público não é dado sem consequência: há vinculação a pessoa identificável. Ter a política escrita antes do volume crescer é mais barato que remediar depois.</w:t>
      </w:r>
    </w:p>
    <w:p>
      <w:pPr>
        <w:spacing w:after="40"/>
      </w:pPr>
      <w:r>
        <w:rPr>
          <w:rFonts w:ascii="Calibri" w:hAnsi="Calibri"/>
          <w:b/>
          <w:color w:val="17365D"/>
          <w:sz w:val="22"/>
        </w:rPr>
        <w:t xml:space="preserve">Dependência técnica: </w:t>
      </w:r>
      <w:r>
        <w:rPr>
          <w:rFonts w:ascii="Calibri" w:hAnsi="Calibri"/>
          <w:b w:val="0"/>
          <w:color w:val="252525"/>
          <w:sz w:val="22"/>
        </w:rPr>
        <w:t>Depende de (1) e (2); requer alinhamento com o jurídico interno.</w:t>
      </w:r>
    </w:p>
    <w:p>
      <w:pPr>
        <w:spacing w:after="200"/>
      </w:pPr>
      <w:r>
        <w:rPr>
          <w:rFonts w:ascii="Calibri" w:hAnsi="Calibri"/>
          <w:b/>
          <w:color w:val="17365D"/>
          <w:sz w:val="22"/>
        </w:rPr>
        <w:t xml:space="preserve">Esforço estimado: </w:t>
      </w:r>
      <w:r>
        <w:rPr>
          <w:rFonts w:ascii="Calibri" w:hAnsi="Calibri"/>
          <w:b w:val="0"/>
          <w:color w:val="252525"/>
          <w:sz w:val="22"/>
        </w:rPr>
        <w:t>Baixo-médio — 2 a 3 dias de implementação, mais alinhamento.</w:t>
      </w:r>
    </w:p>
    <w:p>
      <w:pPr>
        <w:pStyle w:val="Heading1"/>
        <w:spacing w:before="320" w:after="120"/>
      </w:pPr>
      <w:r>
        <w:t>9. Arquitetura e engenharia — recomendações transversais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color w:val="17365D"/>
                <w:sz w:val="20"/>
              </w:rPr>
              <w:t>Tema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/>
                <w:color w:val="17365D"/>
                <w:sz w:val="20"/>
              </w:rPr>
              <w:t>Situação atual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/>
                <w:color w:val="17365D"/>
                <w:sz w:val="20"/>
              </w:rPr>
              <w:t>Recomendação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Empacotamento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Scripts clássicos com globais em window; sem package.json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Manter simplicidade no navegador, mas expor a lógica pura como módulo importável em Node para teste e reuso pelo backend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Testes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Runner HTML executado manualmente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Vitest ou node:test em CI, com casos de DV, alias por segmento e classificação de estágio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Erros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Taxonomia colapsada em network, timeout e datajud_http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Distinguir alias inexistente, índice vazio, cota excedida, indisponibilidade do tribunal e falha interna, com mensagem específica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Resiliência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Timeout fixo de 12s, sem retentativa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Backoff exponencial, timeout por tribunal e circuito aberto por alias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Datas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new Date sobre ISO sem fuso em js/app.js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Normalizar fuso explicitamente para America/Sao_Paulo — hoje há risco de deslocamento de um 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Segurança de cabeçalhos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Dois cabeçalhos em vercel.json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CSP, HSTS, frame-ancestors e Permissions-Policy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Segredos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FALLBACK_KEY no código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Somente variável de ambiente, com falha explícita na ausência e rotação documentada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Documentação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README descreve o projeto como totalmente offline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Atualizar: a consulta online já contradiz o texto atual; registrar ADRs de persistência, autenticação e retenção</w:t>
            </w:r>
          </w:p>
        </w:tc>
      </w:tr>
    </w:tbl>
    <w:p>
      <w:pPr>
        <w:spacing w:after="40"/>
      </w:pPr>
    </w:p>
    <w:p>
      <w:pPr>
        <w:pStyle w:val="Heading1"/>
        <w:spacing w:before="320" w:after="120"/>
      </w:pPr>
      <w:r>
        <w:t>10. Operação e qualidade dos dados</w:t>
      </w:r>
    </w:p>
    <w:p>
      <w:pPr>
        <w:pStyle w:val="ListBullet"/>
        <w:spacing w:after="60"/>
      </w:pPr>
      <w:r>
        <w:rPr>
          <w:rFonts w:ascii="Calibri" w:hAnsi="Calibri"/>
          <w:b/>
          <w:color w:val="17365D"/>
          <w:sz w:val="22"/>
        </w:rPr>
        <w:t xml:space="preserve">Tabelas de domínio sem data de referência: </w:t>
      </w:r>
      <w:r>
        <w:rPr>
          <w:rFonts w:ascii="Calibri" w:hAnsi="Calibri"/>
          <w:color w:val="252525"/>
          <w:sz w:val="22"/>
        </w:rPr>
        <w:t>SEGMENTOS, TRF, TRT, TRE, TJ e TJM estão corretas para a configuração atual, mas mudam por resolução do CNJ. Recomenda-se versionar cada tabela com data de vigência e fonte, e criar rotina de revisão anual.</w:t>
      </w:r>
    </w:p>
    <w:p>
      <w:pPr>
        <w:pStyle w:val="ListBullet"/>
        <w:spacing w:after="60"/>
      </w:pPr>
      <w:r>
        <w:rPr>
          <w:rFonts w:ascii="Calibri" w:hAnsi="Calibri"/>
          <w:b/>
          <w:color w:val="17365D"/>
          <w:sz w:val="22"/>
        </w:rPr>
        <w:t xml:space="preserve">Unidade de origem sem nome: </w:t>
      </w:r>
      <w:r>
        <w:rPr>
          <w:rFonts w:ascii="Calibri" w:hAnsi="Calibri"/>
          <w:color w:val="252525"/>
          <w:sz w:val="22"/>
        </w:rPr>
        <w:t>o código da vara é exibido cru. O órgão julgador vem no retorno do DataJud e pode preencher essa lacuna quando a consulta online é feita; para uso offline, avaliar a base de unidades do CNJ com atualização periódica.</w:t>
      </w:r>
    </w:p>
    <w:p>
      <w:pPr>
        <w:pStyle w:val="ListBullet"/>
        <w:spacing w:after="60"/>
      </w:pPr>
      <w:r>
        <w:rPr>
          <w:rFonts w:ascii="Calibri" w:hAnsi="Calibri"/>
          <w:b/>
          <w:color w:val="17365D"/>
          <w:sz w:val="22"/>
        </w:rPr>
        <w:t xml:space="preserve">Aliases presumidos: </w:t>
      </w:r>
      <w:r>
        <w:rPr>
          <w:rFonts w:ascii="Calibri" w:hAnsi="Calibri"/>
          <w:color w:val="252525"/>
          <w:sz w:val="22"/>
        </w:rPr>
        <w:t>deriveAlias monta o índice por convenção. É preciso confirmar contra a lista oficial de índices públicos e tratar exceções como o TJDFT já tratado — cada exceção não mapeada é um tribunal inteiro invisível para a operação.</w:t>
      </w:r>
    </w:p>
    <w:p>
      <w:pPr>
        <w:pStyle w:val="ListBullet"/>
        <w:spacing w:after="60"/>
      </w:pPr>
      <w:r>
        <w:rPr>
          <w:rFonts w:ascii="Calibri" w:hAnsi="Calibri"/>
          <w:b/>
          <w:color w:val="17365D"/>
          <w:sz w:val="22"/>
        </w:rPr>
        <w:t xml:space="preserve">Defasagem por tribunal: </w:t>
      </w:r>
      <w:r>
        <w:rPr>
          <w:rFonts w:ascii="Calibri" w:hAnsi="Calibri"/>
          <w:color w:val="252525"/>
          <w:sz w:val="22"/>
        </w:rPr>
        <w:t>o DataJud replica com atrasos diferentes por tribunal. Exibir a data da última atualização com destaque, já disponível no retorno, e registrar a defasagem típica observada por tribunal no painel de saúde.</w:t>
      </w:r>
    </w:p>
    <w:p>
      <w:pPr>
        <w:pStyle w:val="ListBullet"/>
        <w:spacing w:after="60"/>
      </w:pPr>
      <w:r>
        <w:rPr>
          <w:rFonts w:ascii="Calibri" w:hAnsi="Calibri"/>
          <w:b/>
          <w:color w:val="17365D"/>
          <w:sz w:val="22"/>
        </w:rPr>
        <w:t xml:space="preserve">Limite da fonte: </w:t>
      </w:r>
      <w:r>
        <w:rPr>
          <w:rFonts w:ascii="Calibri" w:hAnsi="Calibri"/>
          <w:color w:val="252525"/>
          <w:sz w:val="22"/>
        </w:rPr>
        <w:t>a API pública não traz partes, advogados nem valores. Qualquer expectativa da operação nesse sentido precisa ser endereçada por outra fonte, com decisão consciente sobre custo e conformidade.</w:t>
      </w:r>
    </w:p>
    <w:p>
      <w:pPr>
        <w:pStyle w:val="Heading1"/>
        <w:spacing w:before="320" w:after="120"/>
      </w:pPr>
      <w:r>
        <w:t>11. Roadmap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</w:tcPr>
          <w:p>
            <w:r/>
            <w:r>
              <w:rPr>
                <w:rFonts w:ascii="Calibri" w:hAnsi="Calibri"/>
                <w:b/>
                <w:color w:val="17365D"/>
                <w:sz w:val="20"/>
              </w:rPr>
              <w:t>Fase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7365D"/>
                <w:sz w:val="20"/>
              </w:rPr>
              <w:t>Objetivo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/>
                <w:color w:val="17365D"/>
                <w:sz w:val="20"/>
              </w:rPr>
              <w:t>Entregas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/>
                <w:color w:val="17365D"/>
                <w:sz w:val="20"/>
              </w:rPr>
              <w:t>Critério de saída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Fase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Tornar o serviço defensável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Achados A1–A5; autenticação interna; persistência das consultas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Proxy só responde a colaborador autenticado, sem chave no código, e nenhuma consulta se perde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Fase 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Servir o trabalho real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Consulta em lote; classificação de estágio; exportação; testes em CI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Uma carteira de centenas de números é processada e exportada em uma rodada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Fase 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Sustentar o uso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Monitoramento de carteira; dicionário de movimentos; cache e fila; painel de saúde; correção assistida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Movimentação relevante chega ao analista sem consulta manual e a cota fica sob controle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Fase 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Integrar e apoiar decisão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API interna; score de elegibilidade; auditoria e política de dados formalizadas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Outros sistemas consomem a ferramenta e a fila de análise é priorizada por critério explícito</w:t>
            </w:r>
          </w:p>
        </w:tc>
      </w:tr>
    </w:tbl>
    <w:p>
      <w:pPr>
        <w:spacing w:after="40"/>
      </w:pPr>
    </w:p>
    <w:p>
      <w:pPr>
        <w:pStyle w:val="Heading1"/>
        <w:spacing w:before="320" w:after="120"/>
      </w:pPr>
      <w:r>
        <w:t>12. Itens não prioritários agora</w:t>
      </w:r>
    </w:p>
    <w:p>
      <w:pPr>
        <w:pStyle w:val="ListBullet"/>
        <w:spacing w:after="60"/>
      </w:pPr>
      <w:r>
        <w:rPr>
          <w:rFonts w:ascii="Calibri" w:hAnsi="Calibri"/>
          <w:color w:val="252525"/>
          <w:sz w:val="22"/>
        </w:rPr>
        <w:t>Raspagem de sistemas de tribunal (PJe, e-SAJ, Projudi): ganho de dado real, mas custo de manutenção alto, fragilidade permanente e risco jurídico e de bloqueio. Só com decisão consciente da liderança.</w:t>
      </w:r>
    </w:p>
    <w:p>
      <w:pPr>
        <w:pStyle w:val="ListBullet"/>
        <w:spacing w:after="60"/>
      </w:pPr>
      <w:r>
        <w:rPr>
          <w:rFonts w:ascii="Calibri" w:hAnsi="Calibri"/>
          <w:color w:val="252525"/>
          <w:sz w:val="22"/>
        </w:rPr>
        <w:t>Reescrita em framework de SPA: o problema atual não é a camada de interface. Reescrever agora consome a capacidade que as fases 1 e 2 precisam.</w:t>
      </w:r>
    </w:p>
    <w:p>
      <w:pPr>
        <w:pStyle w:val="ListBullet"/>
        <w:spacing w:after="60"/>
      </w:pPr>
      <w:r>
        <w:rPr>
          <w:rFonts w:ascii="Calibri" w:hAnsi="Calibri"/>
          <w:color w:val="252525"/>
          <w:sz w:val="22"/>
        </w:rPr>
        <w:t>Aplicativo móvel nativo: o uso é de mesa, em lote, com planilha ao lado.</w:t>
      </w:r>
    </w:p>
    <w:p>
      <w:pPr>
        <w:pStyle w:val="ListBullet"/>
        <w:spacing w:after="60"/>
      </w:pPr>
      <w:r>
        <w:rPr>
          <w:rFonts w:ascii="Calibri" w:hAnsi="Calibri"/>
          <w:color w:val="252525"/>
          <w:sz w:val="22"/>
        </w:rPr>
        <w:t>Consulta de partes e advogados: indisponível na fonte pública. Prometer isso na interface gera expectativa que a ferramenta não pode cumprir.</w:t>
      </w:r>
    </w:p>
    <w:p>
      <w:pPr>
        <w:pStyle w:val="ListBullet"/>
        <w:spacing w:after="60"/>
      </w:pPr>
      <w:r>
        <w:rPr>
          <w:rFonts w:ascii="Calibri" w:hAnsi="Calibri"/>
          <w:color w:val="252525"/>
          <w:sz w:val="22"/>
        </w:rPr>
        <w:t>Modelo preditivo de desfecho ou de valor: sem histórico próprio consolidado, produz número sem lastro. Reavaliar depois da Fase 3.</w:t>
      </w:r>
    </w:p>
    <w:p>
      <w:pPr>
        <w:pStyle w:val="ListBullet"/>
        <w:spacing w:after="60"/>
      </w:pPr>
      <w:r>
        <w:rPr>
          <w:rFonts w:ascii="Calibri" w:hAnsi="Calibri"/>
          <w:color w:val="252525"/>
          <w:sz w:val="22"/>
        </w:rPr>
        <w:t>Portal externo para reclamantes ou escritórios: escopo de produto distinto, com exigências de conformidade próprias.</w:t>
      </w:r>
    </w:p>
    <w:p>
      <w:pPr>
        <w:pStyle w:val="Heading1"/>
        <w:spacing w:before="320" w:after="120"/>
      </w:pPr>
      <w:r>
        <w:t>13. Indicadores para validar a evolução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3168"/>
          </w:tcPr>
          <w:p>
            <w:r/>
            <w:r>
              <w:rPr>
                <w:rFonts w:ascii="Calibri" w:hAnsi="Calibri"/>
                <w:b/>
                <w:color w:val="17365D"/>
                <w:sz w:val="20"/>
              </w:rPr>
              <w:t>Indicador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/>
                <w:color w:val="17365D"/>
                <w:sz w:val="20"/>
              </w:rPr>
              <w:t>Por que importa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/>
                <w:color w:val="17365D"/>
                <w:sz w:val="20"/>
              </w:rPr>
              <w:t>Sinal desejado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Números triados por hora e por analista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Mede o ganho real do lote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Crescimento acentuado na Fase 2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Taxa de consulta atendida por cache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Mede economia de cota do CNJ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Alta e crescente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Erros por tribunal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Distingue falha de cobertura de processo inexistente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Conhecido e decrescente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Processos descartados por engano e depois recuperados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Mede custo do falso negativo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Tendência a zero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Tempo entre movimentação relevante e ciência do analista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Mede o valor do monitoramento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Redução de semanas para dias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Cobertura de movimentos classificados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Mede maturidade da curadoria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Acima de 90% dos movimentos exibidos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Consultas sem identidade associada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Mede rastreabilidade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color w:val="252525"/>
                <w:sz w:val="20"/>
              </w:rPr>
              <w:t>Zero após a Fase 1</w:t>
            </w:r>
          </w:p>
        </w:tc>
      </w:tr>
    </w:tbl>
    <w:p>
      <w:pPr>
        <w:spacing w:after="40"/>
      </w:pPr>
    </w:p>
    <w:p>
      <w:pPr>
        <w:pStyle w:val="Heading1"/>
        <w:spacing w:before="320" w:after="120"/>
      </w:pPr>
      <w:r>
        <w:t>14. Riscos a acompanhar</w:t>
      </w:r>
    </w:p>
    <w:p>
      <w:pPr>
        <w:pStyle w:val="ListBullet"/>
        <w:spacing w:after="60"/>
      </w:pPr>
      <w:r>
        <w:rPr>
          <w:rFonts w:ascii="Calibri" w:hAnsi="Calibri"/>
          <w:b/>
          <w:color w:val="17365D"/>
          <w:sz w:val="22"/>
        </w:rPr>
        <w:t xml:space="preserve">Rotação ou bloqueio da chave do DataJud: </w:t>
      </w:r>
      <w:r>
        <w:rPr>
          <w:rFonts w:ascii="Calibri" w:hAnsi="Calibri"/>
          <w:color w:val="252525"/>
          <w:sz w:val="22"/>
        </w:rPr>
        <w:t>interrompe a consulta por completo. Mitigação: chave em ambiente, alerta automático de falha de autenticação e procedimento documentado de troca.</w:t>
      </w:r>
    </w:p>
    <w:p>
      <w:pPr>
        <w:pStyle w:val="ListBullet"/>
        <w:spacing w:after="60"/>
      </w:pPr>
      <w:r>
        <w:rPr>
          <w:rFonts w:ascii="Calibri" w:hAnsi="Calibri"/>
          <w:b/>
          <w:color w:val="17365D"/>
          <w:sz w:val="22"/>
        </w:rPr>
        <w:t xml:space="preserve">Dependência de fonte única: </w:t>
      </w:r>
      <w:r>
        <w:rPr>
          <w:rFonts w:ascii="Calibri" w:hAnsi="Calibri"/>
          <w:color w:val="252525"/>
          <w:sz w:val="22"/>
        </w:rPr>
        <w:t>o CNJ pode alterar índices, contratos ou política de acesso. Mitigação: camada de acesso isolada, para que a troca de fonte não atinja a interface.</w:t>
      </w:r>
    </w:p>
    <w:p>
      <w:pPr>
        <w:pStyle w:val="ListBullet"/>
        <w:spacing w:after="60"/>
      </w:pPr>
      <w:r>
        <w:rPr>
          <w:rFonts w:ascii="Calibri" w:hAnsi="Calibri"/>
          <w:b/>
          <w:color w:val="17365D"/>
          <w:sz w:val="22"/>
        </w:rPr>
        <w:t xml:space="preserve">Classificação de estágio interpretada como certeza: </w:t>
      </w:r>
      <w:r>
        <w:rPr>
          <w:rFonts w:ascii="Calibri" w:hAnsi="Calibri"/>
          <w:color w:val="252525"/>
          <w:sz w:val="22"/>
        </w:rPr>
        <w:t>o maior risco de negócio. Mitigação: rótulo sempre acompanhado do movimento e da data que o originaram, com ressalva visível de que não substitui análise.</w:t>
      </w:r>
    </w:p>
    <w:p>
      <w:pPr>
        <w:pStyle w:val="ListBullet"/>
        <w:spacing w:after="60"/>
      </w:pPr>
      <w:r>
        <w:rPr>
          <w:rFonts w:ascii="Calibri" w:hAnsi="Calibri"/>
          <w:b/>
          <w:color w:val="17365D"/>
          <w:sz w:val="22"/>
        </w:rPr>
        <w:t xml:space="preserve">Crescimento do banco sem política de expurgo: </w:t>
      </w:r>
      <w:r>
        <w:rPr>
          <w:rFonts w:ascii="Calibri" w:hAnsi="Calibri"/>
          <w:color w:val="252525"/>
          <w:sz w:val="22"/>
        </w:rPr>
        <w:t>custo e exposição crescentes. Mitigação: retenção definida antes de ligar a persistência, não depois.</w:t>
      </w:r>
    </w:p>
    <w:p>
      <w:pPr>
        <w:pStyle w:val="ListBullet"/>
        <w:spacing w:after="60"/>
      </w:pPr>
      <w:r>
        <w:rPr>
          <w:rFonts w:ascii="Calibri" w:hAnsi="Calibri"/>
          <w:b/>
          <w:color w:val="17365D"/>
          <w:sz w:val="22"/>
        </w:rPr>
        <w:t xml:space="preserve">Concentração de conhecimento: </w:t>
      </w:r>
      <w:r>
        <w:rPr>
          <w:rFonts w:ascii="Calibri" w:hAnsi="Calibri"/>
          <w:color w:val="252525"/>
          <w:sz w:val="22"/>
        </w:rPr>
        <w:t>o projeto tem três commits e um autor. Mitigação: ADRs, README atualizado e revisão por pares obrigatória a partir da Fase 1.</w:t>
      </w:r>
    </w:p>
    <w:p>
      <w:pPr>
        <w:pStyle w:val="Heading1"/>
        <w:spacing w:before="320" w:after="120"/>
      </w:pPr>
      <w:r>
        <w:t>15. Preparação da Fase 1</w:t>
      </w:r>
    </w:p>
    <w:p>
      <w:pPr>
        <w:pStyle w:val="ListBullet"/>
        <w:spacing w:after="60"/>
      </w:pPr>
      <w:r>
        <w:rPr>
          <w:rFonts w:ascii="Calibri" w:hAnsi="Calibri"/>
          <w:color w:val="252525"/>
          <w:sz w:val="22"/>
        </w:rPr>
        <w:t>Confirmar ou corrigir as premissas da seção 2 com a operação, especialmente volume por rodada e quem são os usuários.</w:t>
      </w:r>
    </w:p>
    <w:p>
      <w:pPr>
        <w:pStyle w:val="ListBullet"/>
        <w:spacing w:after="60"/>
      </w:pPr>
      <w:r>
        <w:rPr>
          <w:rFonts w:ascii="Calibri" w:hAnsi="Calibri"/>
          <w:color w:val="252525"/>
          <w:sz w:val="22"/>
        </w:rPr>
        <w:t>Definir o provedor de identidade e se o acesso será por SSO da Vercel ou por provedor corporativo.</w:t>
      </w:r>
    </w:p>
    <w:p>
      <w:pPr>
        <w:pStyle w:val="ListBullet"/>
        <w:spacing w:after="60"/>
      </w:pPr>
      <w:r>
        <w:rPr>
          <w:rFonts w:ascii="Calibri" w:hAnsi="Calibri"/>
          <w:color w:val="252525"/>
          <w:sz w:val="22"/>
        </w:rPr>
        <w:t>Escolher o banco gerenciado e registrar a decisão em ADR, com política de retenção declarada.</w:t>
      </w:r>
    </w:p>
    <w:p>
      <w:pPr>
        <w:pStyle w:val="ListBullet"/>
        <w:spacing w:after="60"/>
      </w:pPr>
      <w:r>
        <w:rPr>
          <w:rFonts w:ascii="Calibri" w:hAnsi="Calibri"/>
          <w:color w:val="252525"/>
          <w:sz w:val="22"/>
        </w:rPr>
        <w:t>Rotacionar a chave do DataJud e remover o fallback do repositório, considerando que a chave atual já está exposta no histórico do Git.</w:t>
      </w:r>
    </w:p>
    <w:p>
      <w:pPr>
        <w:pStyle w:val="ListBullet"/>
        <w:spacing w:after="60"/>
      </w:pPr>
      <w:r>
        <w:rPr>
          <w:rFonts w:ascii="Calibri" w:hAnsi="Calibri"/>
          <w:color w:val="252525"/>
          <w:sz w:val="22"/>
        </w:rPr>
        <w:t>Levantar a lista oficial de índices públicos do DataJud e confrontá-la com deriveAlias.</w:t>
      </w:r>
    </w:p>
    <w:p>
      <w:pPr>
        <w:pStyle w:val="ListBullet"/>
        <w:spacing w:after="60"/>
      </w:pPr>
      <w:r>
        <w:rPr>
          <w:rFonts w:ascii="Calibri" w:hAnsi="Calibri"/>
          <w:color w:val="252525"/>
          <w:sz w:val="22"/>
        </w:rPr>
        <w:t>Iniciar a curadoria jurídica dos códigos de movimento relevantes — é o caminho crítico da Fase 2 e não depende de código.</w:t>
      </w:r>
    </w:p>
    <w:p>
      <w:pPr>
        <w:pStyle w:val="ListBullet"/>
        <w:spacing w:after="60"/>
      </w:pPr>
      <w:r>
        <w:rPr>
          <w:rFonts w:ascii="Calibri" w:hAnsi="Calibri"/>
          <w:color w:val="252525"/>
          <w:sz w:val="22"/>
        </w:rPr>
        <w:t>Atualizar o README, que ainda descreve o projeto como exclusivamente offline.</w:t>
      </w:r>
    </w:p>
    <w:p>
      <w:pPr>
        <w:spacing w:after="80"/>
      </w:pPr>
      <w:r>
        <w:rPr>
          <w:rFonts w:ascii="Calibri" w:hAnsi="Calibri"/>
          <w:b/>
          <w:color w:val="17365D"/>
          <w:sz w:val="22"/>
        </w:rPr>
        <w:t xml:space="preserve">Próximo passo. </w:t>
      </w:r>
      <w:r>
        <w:rPr>
          <w:rFonts w:ascii="Calibri" w:hAnsi="Calibri"/>
          <w:b w:val="0"/>
          <w:color w:val="252525"/>
          <w:sz w:val="22"/>
        </w:rPr>
        <w:t>Converter a Fase 1 em escopo implementável: histórias com critérios de aceite, modelo de dados da persistência, contrato do proxy autenticado, plano de rotação da chave e ADRs de autenticação, persistência e retenção.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5252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