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0" w:after="80"/>
        <w:jc w:val="center"/>
      </w:pPr>
      <w:r>
        <w:rPr>
          <w:rFonts w:ascii="Arial" w:cs="Arial" w:eastAsia="Arial" w:hAnsi="Arial"/>
          <w:b/>
          <w:bCs/>
          <w:color w:val="1A1A2E"/>
          <w:sz w:val="56"/>
          <w:szCs w:val="56"/>
        </w:rPr>
        <w:t xml:space="preserve">ANÁLISIS DE PRIMER NIVEL</w:t>
      </w:r>
    </w:p>
    <w:p>
      <w:pPr>
        <w:spacing w:before="80" w:after="80"/>
        <w:jc w:val="center"/>
      </w:pPr>
      <w:r>
        <w:rPr>
          <w:rFonts w:ascii="Arial" w:cs="Arial" w:eastAsia="Arial" w:hAnsi="Arial"/>
          <w:b/>
          <w:bCs/>
          <w:color w:val="E94560"/>
          <w:sz w:val="44"/>
          <w:szCs w:val="44"/>
        </w:rPr>
        <w:t xml:space="preserve">rappibellion.com</w:t>
      </w:r>
    </w:p>
    <w:p>
      <w:pPr>
        <w:pBdr>
          <w:bottom w:val="single" w:color="E94560" w:sz="6" w:space="8"/>
        </w:pBdr>
        <w:spacing w:before="80" w:after="240"/>
        <w:jc w:val="center"/>
      </w:pPr>
      <w:r>
        <w:rPr>
          <w:rFonts w:ascii="Arial" w:cs="Arial" w:eastAsia="Arial" w:hAnsi="Arial"/>
          <w:i/>
          <w:iCs/>
          <w:color w:val="888888"/>
          <w:sz w:val="24"/>
          <w:szCs w:val="24"/>
        </w:rPr>
        <w:t xml:space="preserve">Bits Lab — Biointeligencia Artificial Technologies Lab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Tipo de Documento</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Análisis de Primer Nivel (First-Pass Review)</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Proyecto</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Rappibellion — Juego T2E (Think-to-Earn)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URL Analizada</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https://rappibellion.com</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Blockchain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Optimism (OP Mainnet) — Token $RPPI</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Empresa Desarrolladora</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Bits Lab / Biointeligencia Artificial Technologies Lab</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Fase Actual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Beta Abierta Web — Q4 2025 / Q1 2026</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Fecha del Análisis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Marzo 2026</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Clasificación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Confidencial — Uso Interno</w:t>
            </w:r>
          </w:p>
        </w:tc>
      </w:tr>
    </w:tbl>
    <w:p>
      <w:pPr>
        <w:spacing w:before="80" w:after="80"/>
      </w:pPr>
      <w:r>
        <w:t xml:space="preserve"/>
      </w:r>
    </w:p>
    <w:p>
      <w:pPr>
        <w:spacing w:before="200" w:after="80"/>
        <w:jc w:val="center"/>
      </w:pPr>
      <w:r>
        <w:rPr>
          <w:rFonts w:ascii="Arial" w:cs="Arial" w:eastAsia="Arial" w:hAnsi="Arial"/>
          <w:b/>
          <w:bCs/>
          <w:color w:val="1A1A2E"/>
          <w:sz w:val="24"/>
          <w:szCs w:val="24"/>
        </w:rPr>
        <w:t xml:space="preserve">PUNTAJE GLOBAL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200"/>
              <w:left w:type="dxa" w:w="200"/>
              <w:bottom w:type="dxa" w:w="200"/>
              <w:right w:type="dxa" w:w="200"/>
            </w:tcMar>
          </w:tcPr>
          <w:p>
            <w:pPr>
              <w:jc w:val="center"/>
            </w:pPr>
            <w:r>
              <w:rPr>
                <w:rFonts w:ascii="Arial" w:cs="Arial" w:eastAsia="Arial" w:hAnsi="Arial"/>
                <w:b/>
                <w:bCs/>
                <w:color w:val="FFFFFF"/>
                <w:sz w:val="72"/>
                <w:szCs w:val="72"/>
              </w:rPr>
              <w:t xml:space="preserve">5.8 / 10</w:t>
            </w:r>
          </w:p>
          <w:p>
            <w:pPr>
              <w:jc w:val="center"/>
            </w:pPr>
            <w:r>
              <w:rPr>
                <w:rFonts w:ascii="Arial" w:cs="Arial" w:eastAsia="Arial" w:hAnsi="Arial"/>
                <w:color w:val="AAAAAA"/>
                <w:sz w:val="22"/>
                <w:szCs w:val="22"/>
              </w:rPr>
              <w:t xml:space="preserve">POTENCIAL DETECTADO — EJECUCIÓN EN DESARROLLO</w:t>
            </w:r>
          </w:p>
        </w:tc>
      </w:tr>
    </w:tbl>
    <w:p>
      <w:r>
        <w:br w:type="page"/>
      </w:r>
    </w:p>
    <w:p>
      <w:pPr>
        <w:pStyle w:val="Heading1"/>
        <w:pBdr>
          <w:bottom w:val="single" w:color="E94560" w:sz="4" w:space="4"/>
        </w:pBdr>
        <w:spacing w:before="360" w:after="160"/>
      </w:pPr>
      <w:r>
        <w:rPr>
          <w:rFonts w:ascii="Arial" w:cs="Arial" w:eastAsia="Arial" w:hAnsi="Arial"/>
          <w:b/>
          <w:bCs/>
          <w:color w:val="1A1A2E"/>
          <w:sz w:val="36"/>
          <w:szCs w:val="36"/>
        </w:rPr>
        <w:t xml:space="preserve">1. RESUMEN EJECUTIVO</w:t>
      </w:r>
    </w:p>
    <w:p>
      <w:pPr>
        <w:spacing w:before="80" w:after="120"/>
        <w:jc w:val="both"/>
      </w:pPr>
      <w:r>
        <w:rPr>
          <w:rFonts w:ascii="Arial" w:cs="Arial" w:eastAsia="Arial" w:hAnsi="Arial"/>
          <w:color w:val="2D2D2D"/>
          <w:sz w:val="22"/>
          <w:szCs w:val="22"/>
        </w:rPr>
        <w:t xml:space="preserve">Rappibellion es un proyecto de videojuego indie con modelo Think-to-Earn (T2E) desarrollado por Bits Lab, un estudio de pequeña escala con sede en Argentina. El proyecto propone una propuesta de valor diferenciada dentro del ecosistema Play-to-Earn: en lugar de recompensar el tiempo de juego repetitivo, premia la habilidad, la estrategia y el pensamiento táctico en minijuegos arcade clásicos recontextualizados bajo una narrativa cyberpunk.</w:t>
      </w:r>
    </w:p>
    <w:p>
      <w:pPr>
        <w:spacing w:before="80" w:after="120"/>
        <w:jc w:val="both"/>
      </w:pPr>
      <w:r>
        <w:rPr>
          <w:rFonts w:ascii="Arial" w:cs="Arial" w:eastAsia="Arial" w:hAnsi="Arial"/>
          <w:color w:val="2D2D2D"/>
          <w:sz w:val="22"/>
          <w:szCs w:val="22"/>
        </w:rPr>
        <w:t xml:space="preserve">Al momento del análisis, el producto se encuentra en beta web funcional con un prototipo jugable (PAC-HACK: DEATH basado en Pac-Man) integrado a la red Optimism mediante el token $RPPI. La narrativa multi-capítulo y el roadmap publicado sitúan al proyecto en una fase temprana pero activa, con ambición de escalar hacia Android en Q1 2026.</w:t>
      </w:r>
    </w:p>
    <w:p>
      <w:pPr>
        <w:spacing w:before="80" w:after="120"/>
        <w:jc w:val="both"/>
      </w:pPr>
      <w:r>
        <w:rPr>
          <w:rFonts w:ascii="Arial" w:cs="Arial" w:eastAsia="Arial" w:hAnsi="Arial"/>
          <w:color w:val="2D2D2D"/>
          <w:sz w:val="22"/>
          <w:szCs w:val="22"/>
        </w:rPr>
        <w:t xml:space="preserve">El análisis identifica una combinación de fortalezas conceptuales notables y brechas críticas de ejecución que deberán ser atendidas para que el proyecto alcance viabilidad comercial y sostenibilidad económica.</w:t>
      </w:r>
    </w:p>
    <w:p>
      <w:pPr>
        <w:spacing w:before="80" w:after="80"/>
      </w:pPr>
      <w:r>
        <w:t xml:space="preserve"/>
      </w:r>
    </w:p>
    <w:p>
      <w:pPr>
        <w:pStyle w:val="Heading1"/>
        <w:pBdr>
          <w:bottom w:val="single" w:color="E94560" w:sz="4" w:space="4"/>
        </w:pBdr>
        <w:spacing w:before="360" w:after="160"/>
      </w:pPr>
      <w:r>
        <w:rPr>
          <w:rFonts w:ascii="Arial" w:cs="Arial" w:eastAsia="Arial" w:hAnsi="Arial"/>
          <w:b/>
          <w:bCs/>
          <w:color w:val="1A1A2E"/>
          <w:sz w:val="36"/>
          <w:szCs w:val="36"/>
        </w:rPr>
        <w:t xml:space="preserve">2. CONCEPTO Y PROPUESTA DE VALOR</w:t>
      </w:r>
    </w:p>
    <w:p>
      <w:pPr>
        <w:pStyle w:val="Heading2"/>
        <w:spacing w:before="280" w:after="120"/>
      </w:pPr>
      <w:r>
        <w:rPr>
          <w:rFonts w:ascii="Arial" w:cs="Arial" w:eastAsia="Arial" w:hAnsi="Arial"/>
          <w:b/>
          <w:bCs/>
          <w:color w:val="1A1A2E"/>
          <w:sz w:val="28"/>
          <w:szCs w:val="28"/>
        </w:rPr>
        <w:t xml:space="preserve">2.1 Diferenciación del Modelo T2E</w:t>
      </w:r>
    </w:p>
    <w:p>
      <w:pPr>
        <w:spacing w:before="80" w:after="120"/>
        <w:jc w:val="both"/>
      </w:pPr>
      <w:r>
        <w:rPr>
          <w:rFonts w:ascii="Arial" w:cs="Arial" w:eastAsia="Arial" w:hAnsi="Arial"/>
          <w:color w:val="2D2D2D"/>
          <w:sz w:val="22"/>
          <w:szCs w:val="22"/>
        </w:rPr>
        <w:t xml:space="preserve">El modelo Think-to-Earn constituye el eje central de la propuesta. A diferencia del Play-to-Earn clásico, donde el progreso económico dependía del tiempo invertido (grinding), el T2E de Rappibellion vincula las recompensas a la performance cognitiva en partidas PvP de corta duración. Este enfoque es conceptualmente sólido y responde a una crítica legítima del mercado blockchain gaming.</w:t>
      </w:r>
    </w:p>
    <w:p>
      <w:pPr>
        <w:spacing w:before="80" w:after="120"/>
        <w:jc w:val="both"/>
      </w:pPr>
      <w:r>
        <w:rPr>
          <w:rFonts w:ascii="Arial" w:cs="Arial" w:eastAsia="Arial" w:hAnsi="Arial"/>
          <w:color w:val="2D2D2D"/>
          <w:sz w:val="22"/>
          <w:szCs w:val="22"/>
        </w:rPr>
        <w:t xml:space="preserve">La mecánica de duelos 1v1 en minijuegos arcade (Pac-Man, Space Invaders, Tetris, Arkanoid, etc.) con apuesta en $RPPI como bote, combinada con power-ups limitados que añaden capa estratégica sin garantizar victoria, es una propuesta coherente y diferenciada.</w:t>
      </w:r>
    </w:p>
    <w:p>
      <w:pPr>
        <w:pStyle w:val="Heading2"/>
        <w:spacing w:before="280" w:after="120"/>
      </w:pPr>
      <w:r>
        <w:rPr>
          <w:rFonts w:ascii="Arial" w:cs="Arial" w:eastAsia="Arial" w:hAnsi="Arial"/>
          <w:b/>
          <w:bCs/>
          <w:color w:val="1A1A2E"/>
          <w:sz w:val="28"/>
          <w:szCs w:val="28"/>
        </w:rPr>
        <w:t xml:space="preserve">2.2 Narrativa y World-Building</w:t>
      </w:r>
    </w:p>
    <w:p>
      <w:pPr>
        <w:spacing w:before="80" w:after="120"/>
        <w:jc w:val="both"/>
      </w:pPr>
      <w:r>
        <w:rPr>
          <w:rFonts w:ascii="Arial" w:cs="Arial" w:eastAsia="Arial" w:hAnsi="Arial"/>
          <w:color w:val="2D2D2D"/>
          <w:sz w:val="22"/>
          <w:szCs w:val="22"/>
        </w:rPr>
        <w:t xml:space="preserve">El universo narrativo de Rappibellion combina elementos de ciencia ficción distópica (drones repartidores, hackeo de androides, resistencia cyberpunk) con una estética visual consistente. La trama multi-capítulo (TESLA_DRONES / Who is Rappia? / Más allá de los 5 sentidos) sugiere ambición narrativa que excede lo habitual en proyectos P2E, acercándose más a los estándares de producción de un estudio como Kevuru Games en términos de vision artística.</w:t>
      </w:r>
    </w:p>
    <w:p>
      <w:pPr>
        <w:spacing w:before="80" w:after="120"/>
        <w:jc w:val="both"/>
      </w:pPr>
      <w:r>
        <w:rPr>
          <w:rFonts w:ascii="Arial" w:cs="Arial" w:eastAsia="Arial" w:hAnsi="Arial"/>
          <w:color w:val="2D2D2D"/>
          <w:sz w:val="22"/>
          <w:szCs w:val="22"/>
        </w:rPr>
        <w:t xml:space="preserve">El concept art disponible muestra una dirección visual definida, con personajes reconocibles y escenarios urbanos distópicos. Esta coherencia estética es una ventaja competitiva real para el segmento objetivo.</w:t>
      </w:r>
    </w:p>
    <w:p>
      <w:pPr>
        <w:pStyle w:val="Heading2"/>
        <w:spacing w:before="280" w:after="120"/>
      </w:pPr>
      <w:r>
        <w:rPr>
          <w:rFonts w:ascii="Arial" w:cs="Arial" w:eastAsia="Arial" w:hAnsi="Arial"/>
          <w:b/>
          <w:bCs/>
          <w:color w:val="1A1A2E"/>
          <w:sz w:val="28"/>
          <w:szCs w:val="28"/>
        </w:rPr>
        <w:t xml:space="preserve">2.3 Fortalezas del Concepto</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Propuesta T2E genuinamente diferenciada del P2E convencional</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Narrativa con profundidad inusual para un proyecto indie blockchain</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Modelo Free-to-Play accesible sin barrera económica de entrada</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Identidad visual cyberpunk consistente y con personalidad propia</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Filosofía anti-inflacionaria en el diseño tokenómico (supply fijo)</w:t>
      </w:r>
    </w:p>
    <w:p>
      <w:pPr>
        <w:spacing w:before="80" w:after="80"/>
      </w:pPr>
      <w:r>
        <w:t xml:space="preserve"/>
      </w:r>
    </w:p>
    <w:p>
      <w:pPr>
        <w:pStyle w:val="Heading1"/>
        <w:pBdr>
          <w:bottom w:val="single" w:color="E94560" w:sz="4" w:space="4"/>
        </w:pBdr>
        <w:spacing w:before="360" w:after="160"/>
      </w:pPr>
      <w:r>
        <w:rPr>
          <w:rFonts w:ascii="Arial" w:cs="Arial" w:eastAsia="Arial" w:hAnsi="Arial"/>
          <w:b/>
          <w:bCs/>
          <w:color w:val="1A1A2E"/>
          <w:sz w:val="36"/>
          <w:szCs w:val="36"/>
        </w:rPr>
        <w:t xml:space="preserve">3. ANÁLISIS TÉCNICO</w:t>
      </w:r>
    </w:p>
    <w:p>
      <w:pPr>
        <w:pStyle w:val="Heading2"/>
        <w:spacing w:before="280" w:after="120"/>
      </w:pPr>
      <w:r>
        <w:rPr>
          <w:rFonts w:ascii="Arial" w:cs="Arial" w:eastAsia="Arial" w:hAnsi="Arial"/>
          <w:b/>
          <w:bCs/>
          <w:color w:val="1A1A2E"/>
          <w:sz w:val="28"/>
          <w:szCs w:val="28"/>
        </w:rPr>
        <w:t xml:space="preserve">3.1 Arquitectura Web y Stack Tecnológico</w:t>
      </w:r>
    </w:p>
    <w:p>
      <w:pPr>
        <w:spacing w:before="80" w:after="120"/>
        <w:jc w:val="both"/>
      </w:pPr>
      <w:r>
        <w:rPr>
          <w:rFonts w:ascii="Arial" w:cs="Arial" w:eastAsia="Arial" w:hAnsi="Arial"/>
          <w:color w:val="2D2D2D"/>
          <w:sz w:val="22"/>
          <w:szCs w:val="22"/>
        </w:rPr>
        <w:t xml:space="preserve">El sitio web funciona como landing page + prototipo jugable integrado. La implementación técnica detectada incluye componentes de juego en JavaScript puro (PAC-HACK: DEATH), integración con MetaMask/billeteras Web3, backend en tiempo real mediante Firebase (ranking, lobby de desafíos), y contrato ERC-20 en Optimism Mainnet.</w:t>
      </w:r>
    </w:p>
    <w:p>
      <w:pPr>
        <w:pStyle w:val="Heading2"/>
        <w:spacing w:before="280" w:after="120"/>
      </w:pPr>
      <w:r>
        <w:rPr>
          <w:rFonts w:ascii="Arial" w:cs="Arial" w:eastAsia="Arial" w:hAnsi="Arial"/>
          <w:b/>
          <w:bCs/>
          <w:color w:val="1A1A2E"/>
          <w:sz w:val="28"/>
          <w:szCs w:val="28"/>
        </w:rPr>
        <w:t xml:space="preserve">3.2 Inventario de Funcionalidades Detectadas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80"/>
        <w:gridCol w:w="2280"/>
      </w:tblGrid>
      <w:tr>
        <w:tc>
          <w:tcPr>
            <w:tcW w:type="dxa" w:w="4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FUNCIONALIDAD</w:t>
            </w:r>
          </w:p>
        </w:tc>
        <w:tc>
          <w:tcPr>
            <w:tcW w:type="dxa" w:w="288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ESTADO</w:t>
            </w:r>
          </w:p>
        </w:tc>
        <w:tc>
          <w:tcPr>
            <w:tcW w:type="dxa" w:w="228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OBSERVACIÓN</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Juego PAC-HACK: DEATH (Free Play)</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55724"/>
                <w:sz w:val="20"/>
                <w:szCs w:val="20"/>
              </w:rPr>
              <w:t xml:space="preserve">Funcional</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Beta jugable</w:t>
            </w:r>
          </w:p>
        </w:tc>
      </w:tr>
      <w:tr>
        <w:tc>
          <w:tcPr>
            <w:tcW w:type="dxa" w:w="4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Modo T2E con apuesta $RPPI</w:t>
            </w:r>
          </w:p>
        </w:tc>
        <w:tc>
          <w:tcPr>
            <w:tcW w:type="dxa" w:w="28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56404"/>
                <w:sz w:val="20"/>
                <w:szCs w:val="20"/>
              </w:rPr>
              <w:t xml:space="preserve">Parcial</w:t>
            </w:r>
          </w:p>
        </w:tc>
        <w:tc>
          <w:tcPr>
            <w:tcW w:type="dxa" w:w="22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Requiere wallet</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Ranking en tiempo real (Firebase)</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55724"/>
                <w:sz w:val="20"/>
                <w:szCs w:val="20"/>
              </w:rPr>
              <w:t xml:space="preserve">Funcional</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Conectado</w:t>
            </w:r>
          </w:p>
        </w:tc>
      </w:tr>
      <w:tr>
        <w:tc>
          <w:tcPr>
            <w:tcW w:type="dxa" w:w="4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Sistema de duelos PvP</w:t>
            </w:r>
          </w:p>
        </w:tc>
        <w:tc>
          <w:tcPr>
            <w:tcW w:type="dxa" w:w="28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56404"/>
                <w:sz w:val="20"/>
                <w:szCs w:val="20"/>
              </w:rPr>
              <w:t xml:space="preserve">Parcial</w:t>
            </w:r>
          </w:p>
        </w:tc>
        <w:tc>
          <w:tcPr>
            <w:tcW w:type="dxa" w:w="22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UI lista, lógica en desarrollo</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Lobby de desafíos abiertos</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856404"/>
                <w:sz w:val="20"/>
                <w:szCs w:val="20"/>
              </w:rPr>
              <w:t xml:space="preserve">UI lista</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Backend pendiente</w:t>
            </w:r>
          </w:p>
        </w:tc>
      </w:tr>
      <w:tr>
        <w:tc>
          <w:tcPr>
            <w:tcW w:type="dxa" w:w="4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Integración MetaMask / Web3</w:t>
            </w:r>
          </w:p>
        </w:tc>
        <w:tc>
          <w:tcPr>
            <w:tcW w:type="dxa" w:w="28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56404"/>
                <w:sz w:val="20"/>
                <w:szCs w:val="20"/>
              </w:rPr>
              <w:t xml:space="preserve">Parcial</w:t>
            </w:r>
          </w:p>
        </w:tc>
        <w:tc>
          <w:tcPr>
            <w:tcW w:type="dxa" w:w="22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Flujo básico presente</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Compra directa $RPPI (modal)</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21C24"/>
                <w:sz w:val="20"/>
                <w:szCs w:val="20"/>
              </w:rPr>
              <w:t xml:space="preserve">UI solamente</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Sin backend activo</w:t>
            </w:r>
          </w:p>
        </w:tc>
      </w:tr>
      <w:tr>
        <w:tc>
          <w:tcPr>
            <w:tcW w:type="dxa" w:w="4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Tablón de honor / reclutamiento</w:t>
            </w:r>
          </w:p>
        </w:tc>
        <w:tc>
          <w:tcPr>
            <w:tcW w:type="dxa" w:w="28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55724"/>
                <w:sz w:val="20"/>
                <w:szCs w:val="20"/>
              </w:rPr>
              <w:t xml:space="preserve">Funcional</w:t>
            </w:r>
          </w:p>
        </w:tc>
        <w:tc>
          <w:tcPr>
            <w:tcW w:type="dxa" w:w="22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Firebase activo</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Whitepaper y Tokenomics PDF</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55724"/>
                <w:sz w:val="20"/>
                <w:szCs w:val="20"/>
              </w:rPr>
              <w:t xml:space="preserve">Disponible</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Publicados</w:t>
            </w:r>
          </w:p>
        </w:tc>
      </w:tr>
      <w:tr>
        <w:tc>
          <w:tcPr>
            <w:tcW w:type="dxa" w:w="4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Modo Android (Unity)</w:t>
            </w:r>
          </w:p>
        </w:tc>
        <w:tc>
          <w:tcPr>
            <w:tcW w:type="dxa" w:w="28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721C24"/>
                <w:sz w:val="20"/>
                <w:szCs w:val="20"/>
              </w:rPr>
              <w:t xml:space="preserve">Pendiente</w:t>
            </w:r>
          </w:p>
        </w:tc>
        <w:tc>
          <w:tcPr>
            <w:tcW w:type="dxa" w:w="22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Q1 2026 en roadmap</w:t>
            </w:r>
          </w:p>
        </w:tc>
      </w:tr>
    </w:tbl>
    <w:p>
      <w:pPr>
        <w:spacing w:before="80" w:after="80"/>
      </w:pPr>
      <w:r>
        <w:t xml:space="preserve"/>
      </w:r>
    </w:p>
    <w:p>
      <w:pPr>
        <w:pStyle w:val="Heading2"/>
        <w:spacing w:before="280" w:after="120"/>
      </w:pPr>
      <w:r>
        <w:rPr>
          <w:rFonts w:ascii="Arial" w:cs="Arial" w:eastAsia="Arial" w:hAnsi="Arial"/>
          <w:b/>
          <w:bCs/>
          <w:color w:val="1A1A2E"/>
          <w:sz w:val="28"/>
          <w:szCs w:val="28"/>
        </w:rPr>
        <w:t xml:space="preserve">3.3 Hallazgos Técnicos Críticos</w:t>
      </w:r>
    </w:p>
    <w:p>
      <w:pPr>
        <w:pStyle w:val="ListParagraph"/>
        <w:numPr>
          <w:ilvl w:val="0"/>
          <w:numId w:val="2"/>
        </w:numPr>
        <w:spacing w:before="40" w:after="60"/>
      </w:pPr>
      <w:r>
        <w:rPr>
          <w:rFonts w:ascii="Arial" w:cs="Arial" w:eastAsia="Arial" w:hAnsi="Arial"/>
          <w:b/>
          <w:bCs/>
          <w:color w:val="2D2D2D"/>
          <w:sz w:val="22"/>
          <w:szCs w:val="22"/>
        </w:rPr>
        <w:t xml:space="preserve">POSITIVO: </w:t>
      </w:r>
      <w:r>
        <w:rPr>
          <w:rFonts w:ascii="Arial" w:cs="Arial" w:eastAsia="Arial" w:hAnsi="Arial"/>
          <w:color w:val="2D2D2D"/>
          <w:sz w:val="22"/>
          <w:szCs w:val="22"/>
        </w:rPr>
        <w:t xml:space="preserve">El juego PAC-HACK: DEATH presenta mecánicas avanzadas (CHAOS LEVEL progresivo, sistema de boosts con costo del 10% de la apuesta, modo landscape obligatorio en mobile) que demuestran trabajo de diseño de juego real.</w:t>
      </w:r>
    </w:p>
    <w:p>
      <w:pPr>
        <w:pStyle w:val="ListParagraph"/>
        <w:numPr>
          <w:ilvl w:val="0"/>
          <w:numId w:val="2"/>
        </w:numPr>
        <w:spacing w:before="40" w:after="60"/>
      </w:pPr>
      <w:r>
        <w:rPr>
          <w:rFonts w:ascii="Arial" w:cs="Arial" w:eastAsia="Arial" w:hAnsi="Arial"/>
          <w:b/>
          <w:bCs/>
          <w:color w:val="2D2D2D"/>
          <w:sz w:val="22"/>
          <w:szCs w:val="22"/>
        </w:rPr>
        <w:t xml:space="preserve">CRÍTICO: </w:t>
      </w:r>
      <w:r>
        <w:rPr>
          <w:rFonts w:ascii="Arial" w:cs="Arial" w:eastAsia="Arial" w:hAnsi="Arial"/>
          <w:color w:val="2D2D2D"/>
          <w:sz w:val="22"/>
          <w:szCs w:val="22"/>
        </w:rPr>
        <w:t xml:space="preserve">El modal de compra directa ($RPPI por tarjeta de crédito, transferencia bancaria) presenta opciones de UI sin implementación backend verificable. Esto representa un riesgo reputacional y regulatorio significativo.</w:t>
      </w:r>
    </w:p>
    <w:p>
      <w:pPr>
        <w:pStyle w:val="ListParagraph"/>
        <w:numPr>
          <w:ilvl w:val="0"/>
          <w:numId w:val="2"/>
        </w:numPr>
        <w:spacing w:before="40" w:after="60"/>
      </w:pPr>
      <w:r>
        <w:rPr>
          <w:rFonts w:ascii="Arial" w:cs="Arial" w:eastAsia="Arial" w:hAnsi="Arial"/>
          <w:b/>
          <w:bCs/>
          <w:color w:val="2D2D2D"/>
          <w:sz w:val="22"/>
          <w:szCs w:val="22"/>
        </w:rPr>
        <w:t xml:space="preserve">ATENCIÓN: </w:t>
      </w:r>
      <w:r>
        <w:rPr>
          <w:rFonts w:ascii="Arial" w:cs="Arial" w:eastAsia="Arial" w:hAnsi="Arial"/>
          <w:color w:val="2D2D2D"/>
          <w:sz w:val="22"/>
          <w:szCs w:val="22"/>
        </w:rPr>
        <w:t xml:space="preserve">La arquitectura Firebase para el ranking en tiempo real es apropiada para la etapa, aunque deberá ser reemplazada por lógica on-chain para garantizar la integridad de los resultados T2E en producción.</w:t>
      </w:r>
    </w:p>
    <w:p>
      <w:pPr>
        <w:pStyle w:val="ListParagraph"/>
        <w:numPr>
          <w:ilvl w:val="0"/>
          <w:numId w:val="2"/>
        </w:numPr>
        <w:spacing w:before="40" w:after="60"/>
      </w:pPr>
      <w:r>
        <w:rPr>
          <w:rFonts w:ascii="Arial" w:cs="Arial" w:eastAsia="Arial" w:hAnsi="Arial"/>
          <w:b/>
          <w:bCs/>
          <w:color w:val="2D2D2D"/>
          <w:sz w:val="22"/>
          <w:szCs w:val="22"/>
        </w:rPr>
        <w:t xml:space="preserve">MEJORA: </w:t>
      </w:r>
      <w:r>
        <w:rPr>
          <w:rFonts w:ascii="Arial" w:cs="Arial" w:eastAsia="Arial" w:hAnsi="Arial"/>
          <w:color w:val="2D2D2D"/>
          <w:sz w:val="22"/>
          <w:szCs w:val="22"/>
        </w:rPr>
        <w:t xml:space="preserve">El modo landscape obligatorio en mobile limita significativamente la experiencia de usuario en dispositivos sin soporte de rotación automática.</w:t>
      </w:r>
    </w:p>
    <w:p>
      <w:pPr>
        <w:pStyle w:val="ListParagraph"/>
        <w:numPr>
          <w:ilvl w:val="0"/>
          <w:numId w:val="2"/>
        </w:numPr>
        <w:spacing w:before="40" w:after="60"/>
      </w:pPr>
      <w:r>
        <w:rPr>
          <w:rFonts w:ascii="Arial" w:cs="Arial" w:eastAsia="Arial" w:hAnsi="Arial"/>
          <w:b/>
          <w:bCs/>
          <w:color w:val="2D2D2D"/>
          <w:sz w:val="22"/>
          <w:szCs w:val="22"/>
        </w:rPr>
        <w:t xml:space="preserve">POSITIVO: </w:t>
      </w:r>
      <w:r>
        <w:rPr>
          <w:rFonts w:ascii="Arial" w:cs="Arial" w:eastAsia="Arial" w:hAnsi="Arial"/>
          <w:color w:val="2D2D2D"/>
          <w:sz w:val="22"/>
          <w:szCs w:val="22"/>
        </w:rPr>
        <w:t xml:space="preserve">La versión del juego (VER 2.1.9) sugiere iteración activa y versionado sistemático, lo cual es una señal positiva de proceso de desarrollo.</w:t>
      </w:r>
    </w:p>
    <w:p>
      <w:pPr>
        <w:spacing w:before="80" w:after="80"/>
      </w:pPr>
      <w:r>
        <w:t xml:space="preserve"/>
      </w:r>
    </w:p>
    <w:p>
      <w:pPr>
        <w:pStyle w:val="Heading1"/>
        <w:pBdr>
          <w:bottom w:val="single" w:color="E94560" w:sz="4" w:space="4"/>
        </w:pBdr>
        <w:spacing w:before="360" w:after="160"/>
      </w:pPr>
      <w:r>
        <w:rPr>
          <w:rFonts w:ascii="Arial" w:cs="Arial" w:eastAsia="Arial" w:hAnsi="Arial"/>
          <w:b/>
          <w:bCs/>
          <w:color w:val="1A1A2E"/>
          <w:sz w:val="36"/>
          <w:szCs w:val="36"/>
        </w:rPr>
        <w:t xml:space="preserve">4. DISEÑO DE JUEGO Y EXPERIENCIA DE USUARIO</w:t>
      </w:r>
    </w:p>
    <w:p>
      <w:pPr>
        <w:pStyle w:val="Heading2"/>
        <w:spacing w:before="280" w:after="120"/>
      </w:pPr>
      <w:r>
        <w:rPr>
          <w:rFonts w:ascii="Arial" w:cs="Arial" w:eastAsia="Arial" w:hAnsi="Arial"/>
          <w:b/>
          <w:bCs/>
          <w:color w:val="1A1A2E"/>
          <w:sz w:val="28"/>
          <w:szCs w:val="28"/>
        </w:rPr>
        <w:t xml:space="preserve">4.1 Diseño de Mecánicas</w:t>
      </w:r>
    </w:p>
    <w:p>
      <w:pPr>
        <w:spacing w:before="80" w:after="120"/>
        <w:jc w:val="both"/>
      </w:pPr>
      <w:r>
        <w:rPr>
          <w:rFonts w:ascii="Arial" w:cs="Arial" w:eastAsia="Arial" w:hAnsi="Arial"/>
          <w:color w:val="2D2D2D"/>
          <w:sz w:val="22"/>
          <w:szCs w:val="22"/>
        </w:rPr>
        <w:t xml:space="preserve">El diseño de mecánicas de El Circuito (casino T2E) demuestra comprensión de los principios de game design aplicados a dinámicas de apuesta. La decisión de no dejar ganar a quien apuesta más (power-ups limitados, victoria por score), el sistema de CHAOS LEVEL que escala la dificultad en tiempo real, y la posibilidad de 'plantarse' con un score parcial son mecánicas que añaden profundidad táctica al loop de juego.</w:t>
      </w:r>
    </w:p>
    <w:p>
      <w:pPr>
        <w:spacing w:before="80" w:after="120"/>
        <w:jc w:val="both"/>
      </w:pPr>
      <w:r>
        <w:rPr>
          <w:rFonts w:ascii="Arial" w:cs="Arial" w:eastAsia="Arial" w:hAnsi="Arial"/>
          <w:color w:val="2D2D2D"/>
          <w:sz w:val="22"/>
          <w:szCs w:val="22"/>
        </w:rPr>
        <w:t xml:space="preserve">Sin embargo, la dependencia exclusiva en minijuegos arcade clásicos (Pac-Man, Tetris, etc.) sin mecánicas propias significativas representa una limitación desde el punto de vista de originalidad y propiedad intelectual.</w:t>
      </w:r>
    </w:p>
    <w:p>
      <w:pPr>
        <w:pStyle w:val="Heading2"/>
        <w:spacing w:before="280" w:after="120"/>
      </w:pPr>
      <w:r>
        <w:rPr>
          <w:rFonts w:ascii="Arial" w:cs="Arial" w:eastAsia="Arial" w:hAnsi="Arial"/>
          <w:b/>
          <w:bCs/>
          <w:color w:val="1A1A2E"/>
          <w:sz w:val="28"/>
          <w:szCs w:val="28"/>
        </w:rPr>
        <w:t xml:space="preserve">4.2 Análisis de UX / UI</w:t>
      </w:r>
    </w:p>
    <w:p>
      <w:pPr>
        <w:pStyle w:val="ListParagraph"/>
        <w:numPr>
          <w:ilvl w:val="0"/>
          <w:numId w:val="2"/>
        </w:numPr>
        <w:spacing w:before="40" w:after="60"/>
      </w:pPr>
      <w:r>
        <w:rPr>
          <w:rFonts w:ascii="Arial" w:cs="Arial" w:eastAsia="Arial" w:hAnsi="Arial"/>
          <w:b/>
          <w:bCs/>
          <w:color w:val="2D2D2D"/>
          <w:sz w:val="22"/>
          <w:szCs w:val="22"/>
        </w:rPr>
        <w:t xml:space="preserve">FORTALEZA: </w:t>
      </w:r>
      <w:r>
        <w:rPr>
          <w:rFonts w:ascii="Arial" w:cs="Arial" w:eastAsia="Arial" w:hAnsi="Arial"/>
          <w:color w:val="2D2D2D"/>
          <w:sz w:val="22"/>
          <w:szCs w:val="22"/>
        </w:rPr>
        <w:t xml:space="preserve">La identidad visual cyberpunk es consistente en todo el sitio y genera una experiencia inmersiva diferenciada.</w:t>
      </w:r>
    </w:p>
    <w:p>
      <w:pPr>
        <w:pStyle w:val="ListParagraph"/>
        <w:numPr>
          <w:ilvl w:val="0"/>
          <w:numId w:val="2"/>
        </w:numPr>
        <w:spacing w:before="40" w:after="60"/>
      </w:pPr>
      <w:r>
        <w:rPr>
          <w:rFonts w:ascii="Arial" w:cs="Arial" w:eastAsia="Arial" w:hAnsi="Arial"/>
          <w:b/>
          <w:bCs/>
          <w:color w:val="2D2D2D"/>
          <w:sz w:val="22"/>
          <w:szCs w:val="22"/>
        </w:rPr>
        <w:t xml:space="preserve">FORTALEZA: </w:t>
      </w:r>
      <w:r>
        <w:rPr>
          <w:rFonts w:ascii="Arial" w:cs="Arial" w:eastAsia="Arial" w:hAnsi="Arial"/>
          <w:color w:val="2D2D2D"/>
          <w:sz w:val="22"/>
          <w:szCs w:val="22"/>
        </w:rPr>
        <w:t xml:space="preserve">La combinación de elementos narrativos (mensajes del equipo, transmisiones entrantes, terminología de hacking) dentro de la interfaz crea un meta-juego de inmersión efectivo.</w:t>
      </w:r>
    </w:p>
    <w:p>
      <w:pPr>
        <w:pStyle w:val="ListParagraph"/>
        <w:numPr>
          <w:ilvl w:val="0"/>
          <w:numId w:val="2"/>
        </w:numPr>
        <w:spacing w:before="40" w:after="60"/>
      </w:pPr>
      <w:r>
        <w:rPr>
          <w:rFonts w:ascii="Arial" w:cs="Arial" w:eastAsia="Arial" w:hAnsi="Arial"/>
          <w:b/>
          <w:bCs/>
          <w:color w:val="2D2D2D"/>
          <w:sz w:val="22"/>
          <w:szCs w:val="22"/>
        </w:rPr>
        <w:t xml:space="preserve">DEBILIDAD CRÍTICA: </w:t>
      </w:r>
      <w:r>
        <w:rPr>
          <w:rFonts w:ascii="Arial" w:cs="Arial" w:eastAsia="Arial" w:hAnsi="Arial"/>
          <w:color w:val="2D2D2D"/>
          <w:sz w:val="22"/>
          <w:szCs w:val="22"/>
        </w:rPr>
        <w:t xml:space="preserve">El flujo de onboarding para usuarios no-crypto es inexistente. No hay guía de cómo instalar MetaMask, crear una wallet, o comprar Optimism ETH para pagar gas fees.</w:t>
      </w:r>
    </w:p>
    <w:p>
      <w:pPr>
        <w:pStyle w:val="ListParagraph"/>
        <w:numPr>
          <w:ilvl w:val="0"/>
          <w:numId w:val="2"/>
        </w:numPr>
        <w:spacing w:before="40" w:after="60"/>
      </w:pPr>
      <w:r>
        <w:rPr>
          <w:rFonts w:ascii="Arial" w:cs="Arial" w:eastAsia="Arial" w:hAnsi="Arial"/>
          <w:b/>
          <w:bCs/>
          <w:color w:val="2D2D2D"/>
          <w:sz w:val="22"/>
          <w:szCs w:val="22"/>
        </w:rPr>
        <w:t xml:space="preserve">DEBILIDAD: </w:t>
      </w:r>
      <w:r>
        <w:rPr>
          <w:rFonts w:ascii="Arial" w:cs="Arial" w:eastAsia="Arial" w:hAnsi="Arial"/>
          <w:color w:val="2D2D2D"/>
          <w:sz w:val="22"/>
          <w:szCs w:val="22"/>
        </w:rPr>
        <w:t xml:space="preserve">El disclaimer de riesgos está presente pero su flujo de aceptación (modal) puede ser saltado fácilmente. No cumple estándares mínimos de gambling responsable.</w:t>
      </w:r>
    </w:p>
    <w:p>
      <w:pPr>
        <w:pStyle w:val="ListParagraph"/>
        <w:numPr>
          <w:ilvl w:val="0"/>
          <w:numId w:val="2"/>
        </w:numPr>
        <w:spacing w:before="40" w:after="60"/>
      </w:pPr>
      <w:r>
        <w:rPr>
          <w:rFonts w:ascii="Arial" w:cs="Arial" w:eastAsia="Arial" w:hAnsi="Arial"/>
          <w:b/>
          <w:bCs/>
          <w:color w:val="2D2D2D"/>
          <w:sz w:val="22"/>
          <w:szCs w:val="22"/>
        </w:rPr>
        <w:t xml:space="preserve">MEJORA: </w:t>
      </w:r>
      <w:r>
        <w:rPr>
          <w:rFonts w:ascii="Arial" w:cs="Arial" w:eastAsia="Arial" w:hAnsi="Arial"/>
          <w:color w:val="2D2D2D"/>
          <w:sz w:val="22"/>
          <w:szCs w:val="22"/>
        </w:rPr>
        <w:t xml:space="preserve">El copy mezcla español e inglés (MAKE YOUR BET!, FREE PLAY, WALLET) de forma inconsistente, lo cual puede generar fricción en usuarios hispanohablantes que no son el target tech-native.</w:t>
      </w:r>
    </w:p>
    <w:p>
      <w:pPr>
        <w:pStyle w:val="ListParagraph"/>
        <w:numPr>
          <w:ilvl w:val="0"/>
          <w:numId w:val="2"/>
        </w:numPr>
        <w:spacing w:before="40" w:after="60"/>
      </w:pPr>
      <w:r>
        <w:rPr>
          <w:rFonts w:ascii="Arial" w:cs="Arial" w:eastAsia="Arial" w:hAnsi="Arial"/>
          <w:b/>
          <w:bCs/>
          <w:color w:val="2D2D2D"/>
          <w:sz w:val="22"/>
          <w:szCs w:val="22"/>
        </w:rPr>
        <w:t xml:space="preserve">ATENCIÓN: </w:t>
      </w:r>
      <w:r>
        <w:rPr>
          <w:rFonts w:ascii="Arial" w:cs="Arial" w:eastAsia="Arial" w:hAnsi="Arial"/>
          <w:color w:val="2D2D2D"/>
          <w:sz w:val="22"/>
          <w:szCs w:val="22"/>
        </w:rPr>
        <w:t xml:space="preserve">Los botones de acción secundaria (VOTAR, DEJAR FEEDBACK) usan URLs placeholder (#URL_DEL_FORMULARIO_DE_VOTO) visibles en el código fuente, lo que revela estado de desarrollo beta.</w:t>
      </w:r>
    </w:p>
    <w:p>
      <w:pPr>
        <w:pStyle w:val="Heading2"/>
        <w:spacing w:before="280" w:after="120"/>
      </w:pPr>
      <w:r>
        <w:rPr>
          <w:rFonts w:ascii="Arial" w:cs="Arial" w:eastAsia="Arial" w:hAnsi="Arial"/>
          <w:b/>
          <w:bCs/>
          <w:color w:val="1A1A2E"/>
          <w:sz w:val="28"/>
          <w:szCs w:val="28"/>
        </w:rPr>
        <w:t xml:space="preserve">4.3 Compatibilidad y Rendimiento</w:t>
      </w:r>
    </w:p>
    <w:p>
      <w:pPr>
        <w:pStyle w:val="ListParagraph"/>
        <w:numPr>
          <w:ilvl w:val="0"/>
          <w:numId w:val="2"/>
        </w:numPr>
        <w:spacing w:before="40" w:after="60"/>
      </w:pPr>
      <w:r>
        <w:rPr>
          <w:rFonts w:ascii="Arial" w:cs="Arial" w:eastAsia="Arial" w:hAnsi="Arial"/>
          <w:b/>
          <w:bCs/>
          <w:color w:val="2D2D2D"/>
          <w:sz w:val="22"/>
          <w:szCs w:val="22"/>
        </w:rPr>
        <w:t xml:space="preserve">RIESGO MOBILE: </w:t>
      </w:r>
      <w:r>
        <w:rPr>
          <w:rFonts w:ascii="Arial" w:cs="Arial" w:eastAsia="Arial" w:hAnsi="Arial"/>
          <w:color w:val="2D2D2D"/>
          <w:sz w:val="22"/>
          <w:szCs w:val="22"/>
        </w:rPr>
        <w:t xml:space="preserve">El juego requiere landscape mode en dispositivos móviles. La implementación de rotación forzada no es universal y puede generar pantallas bloqueadas.</w:t>
      </w:r>
    </w:p>
    <w:p>
      <w:pPr>
        <w:pStyle w:val="ListParagraph"/>
        <w:numPr>
          <w:ilvl w:val="0"/>
          <w:numId w:val="2"/>
        </w:numPr>
        <w:spacing w:before="40" w:after="60"/>
      </w:pPr>
      <w:r>
        <w:rPr>
          <w:rFonts w:ascii="Arial" w:cs="Arial" w:eastAsia="Arial" w:hAnsi="Arial"/>
          <w:b/>
          <w:bCs/>
          <w:color w:val="2D2D2D"/>
          <w:sz w:val="22"/>
          <w:szCs w:val="22"/>
        </w:rPr>
        <w:t xml:space="preserve">RENDIMIENTO: </w:t>
      </w:r>
      <w:r>
        <w:rPr>
          <w:rFonts w:ascii="Arial" w:cs="Arial" w:eastAsia="Arial" w:hAnsi="Arial"/>
          <w:color w:val="2D2D2D"/>
          <w:sz w:val="22"/>
          <w:szCs w:val="22"/>
        </w:rPr>
        <w:t xml:space="preserve">No se detecta optimización de imágenes sistematizada (.jpg, .jfif, .PNG, .webp mezclados sin estándar), lo que puede impactar tiempos de carga.</w:t>
      </w:r>
    </w:p>
    <w:p>
      <w:pPr>
        <w:pStyle w:val="ListParagraph"/>
        <w:numPr>
          <w:ilvl w:val="0"/>
          <w:numId w:val="2"/>
        </w:numPr>
        <w:spacing w:before="40" w:after="60"/>
      </w:pPr>
      <w:r>
        <w:rPr>
          <w:rFonts w:ascii="Arial" w:cs="Arial" w:eastAsia="Arial" w:hAnsi="Arial"/>
          <w:b/>
          <w:bCs/>
          <w:color w:val="2D2D2D"/>
          <w:sz w:val="22"/>
          <w:szCs w:val="22"/>
        </w:rPr>
        <w:t xml:space="preserve">COMPATIBILIDAD: </w:t>
      </w:r>
      <w:r>
        <w:rPr>
          <w:rFonts w:ascii="Arial" w:cs="Arial" w:eastAsia="Arial" w:hAnsi="Arial"/>
          <w:color w:val="2D2D2D"/>
          <w:sz w:val="22"/>
          <w:szCs w:val="22"/>
        </w:rPr>
        <w:t xml:space="preserve">La dependencia de MetaMask browser extension puede bloquear completamente la funcionalidad T2E en navegadores móviles nativos.</w:t>
      </w:r>
    </w:p>
    <w:p>
      <w:pPr>
        <w:spacing w:before="80" w:after="80"/>
      </w:pPr>
      <w:r>
        <w:t xml:space="preserve"/>
      </w:r>
    </w:p>
    <w:p>
      <w:pPr>
        <w:pStyle w:val="Heading1"/>
        <w:pBdr>
          <w:bottom w:val="single" w:color="E94560" w:sz="4" w:space="4"/>
        </w:pBdr>
        <w:spacing w:before="360" w:after="160"/>
      </w:pPr>
      <w:r>
        <w:rPr>
          <w:rFonts w:ascii="Arial" w:cs="Arial" w:eastAsia="Arial" w:hAnsi="Arial"/>
          <w:b/>
          <w:bCs/>
          <w:color w:val="1A1A2E"/>
          <w:sz w:val="36"/>
          <w:szCs w:val="36"/>
        </w:rPr>
        <w:t xml:space="preserve">5. TOKENOMICS Y ECONOMÍA DEL ECOSISTEMA</w:t>
      </w:r>
    </w:p>
    <w:p>
      <w:pPr>
        <w:pStyle w:val="Heading2"/>
        <w:spacing w:before="280" w:after="120"/>
      </w:pPr>
      <w:r>
        <w:rPr>
          <w:rFonts w:ascii="Arial" w:cs="Arial" w:eastAsia="Arial" w:hAnsi="Arial"/>
          <w:b/>
          <w:bCs/>
          <w:color w:val="1A1A2E"/>
          <w:sz w:val="28"/>
          <w:szCs w:val="28"/>
        </w:rPr>
        <w:t xml:space="preserve">5.1 Estructura del Token $RPPI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CATEGORÍA</w:t>
            </w:r>
          </w:p>
        </w:tc>
        <w:tc>
          <w:tcPr>
            <w:tcW w:type="dxa" w:w="21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 / CANTIDAD</w:t>
            </w:r>
          </w:p>
        </w:tc>
        <w:tc>
          <w:tcPr>
            <w:tcW w:type="dxa" w:w="42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DESTINO Y CONDICIONES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Recompensas T2E</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45% — 67.5M</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Motor económico del juego. Pagos por misiones y premios de El Circuito</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Tesorería del Ecosistema</w:t>
            </w:r>
          </w:p>
        </w:tc>
        <w:tc>
          <w:tcPr>
            <w:tcW w:type="dxa" w:w="2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20% — 30M</w:t>
            </w:r>
          </w:p>
        </w:tc>
        <w:tc>
          <w:tcPr>
            <w:tcW w:type="dxa" w:w="4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Marketing, recompensas comunitarias y alianzas estratégicas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Equipo y Fundadores</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20% — 30M</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Bloqueados con vesting de 2-3 años. Señal positiva de compromiso.</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Venta Estratégica</w:t>
            </w:r>
          </w:p>
        </w:tc>
        <w:tc>
          <w:tcPr>
            <w:tcW w:type="dxa" w:w="2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10% — 15M</w:t>
            </w:r>
          </w:p>
        </w:tc>
        <w:tc>
          <w:tcPr>
            <w:tcW w:type="dxa" w:w="4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Fondos para acelerar desarrollo y crecimiento del equipo</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Liquidez Inicial (Uniswap)</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5% — 7.5M</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Pool inicial en Optimism. Porcentaje mínimo que genera riesgo de baja liquidez.</w:t>
            </w:r>
          </w:p>
        </w:tc>
      </w:tr>
    </w:tbl>
    <w:p>
      <w:pPr>
        <w:spacing w:before="80" w:after="80"/>
      </w:pPr>
      <w:r>
        <w:t xml:space="preserve"/>
      </w:r>
    </w:p>
    <w:p>
      <w:pPr>
        <w:pStyle w:val="Heading2"/>
        <w:spacing w:before="280" w:after="120"/>
      </w:pPr>
      <w:r>
        <w:rPr>
          <w:rFonts w:ascii="Arial" w:cs="Arial" w:eastAsia="Arial" w:hAnsi="Arial"/>
          <w:b/>
          <w:bCs/>
          <w:color w:val="1A1A2E"/>
          <w:sz w:val="28"/>
          <w:szCs w:val="28"/>
        </w:rPr>
        <w:t xml:space="preserve">5.2 Evaluación del Modelo Económico</w:t>
      </w:r>
    </w:p>
    <w:p>
      <w:pPr>
        <w:spacing w:before="80" w:after="120"/>
        <w:jc w:val="both"/>
      </w:pPr>
      <w:r>
        <w:rPr>
          <w:rFonts w:ascii="Arial" w:cs="Arial" w:eastAsia="Arial" w:hAnsi="Arial"/>
          <w:color w:val="2D2D2D"/>
          <w:sz w:val="22"/>
          <w:szCs w:val="22"/>
        </w:rPr>
        <w:t xml:space="preserve">La propuesta de Staking Soberano vinculado al rendimiento del bono del Tesoro de EE.UU. (US02Y) es conceptualmente interesante como mecanismo anti-inflacionario, aunque su implementación técnica no está documentada en el material público analizado. Este mecanismo requiere verificación de implementación antes de ser comunicado como feature confirmado.</w:t>
      </w:r>
    </w:p>
    <w:p>
      <w:pPr>
        <w:spacing w:before="80" w:after="120"/>
        <w:jc w:val="both"/>
      </w:pPr>
      <w:r>
        <w:rPr>
          <w:rFonts w:ascii="Arial" w:cs="Arial" w:eastAsia="Arial" w:hAnsi="Arial"/>
          <w:color w:val="2D2D2D"/>
          <w:sz w:val="22"/>
          <w:szCs w:val="22"/>
        </w:rPr>
        <w:t xml:space="preserve">El suministro fijo de 150 millones de tokens sin posibilidad de minteo adicional es una decisión correcta para la sostenibilidad a largo plazo. Sin embargo, el 5% de liquidez inicial (7.5M tokens) es un porcentaje bajo que puede generar alta volatilidad y slippage significativo en Uniswap, especialmente en las primeras semanas post-lanzamiento.</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Supply fijo: POSITIVO — elimina el riesgo de dilución inflacionaria clásica del P2E</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Vesting del equipo 2-3 años: POSITIVO — señal de compromiso a largo plazo</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5% de liquidez inicial: RIESGO — insuficiente para absorber volatilidad de mercado</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Staking vinculado a US02Y: CONCEPTO INTERESANTE — requiere auditoría técnica de implementación</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El 45% en recompensas T2E asume volumen de jugadores activos que aún no existe</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Ausencia de mecanismos de quema (burn) documentados limita la deflación activa del token</w:t>
      </w:r>
    </w:p>
    <w:p>
      <w:pPr>
        <w:spacing w:before="80" w:after="80"/>
      </w:pPr>
      <w:r>
        <w:t xml:space="preserve"/>
      </w:r>
    </w:p>
    <w:p>
      <w:pPr>
        <w:pStyle w:val="Heading1"/>
        <w:pBdr>
          <w:bottom w:val="single" w:color="E94560" w:sz="4" w:space="4"/>
        </w:pBdr>
        <w:spacing w:before="360" w:after="160"/>
      </w:pPr>
      <w:r>
        <w:rPr>
          <w:rFonts w:ascii="Arial" w:cs="Arial" w:eastAsia="Arial" w:hAnsi="Arial"/>
          <w:b/>
          <w:bCs/>
          <w:color w:val="1A1A2E"/>
          <w:sz w:val="36"/>
          <w:szCs w:val="36"/>
        </w:rPr>
        <w:t xml:space="preserve">6. EQUIPO Y ROADMAP</w:t>
      </w:r>
    </w:p>
    <w:p>
      <w:pPr>
        <w:pStyle w:val="Heading2"/>
        <w:spacing w:before="280" w:after="120"/>
      </w:pPr>
      <w:r>
        <w:rPr>
          <w:rFonts w:ascii="Arial" w:cs="Arial" w:eastAsia="Arial" w:hAnsi="Arial"/>
          <w:b/>
          <w:bCs/>
          <w:color w:val="1A1A2E"/>
          <w:sz w:val="28"/>
          <w:szCs w:val="28"/>
        </w:rPr>
        <w:t xml:space="preserve">6.1 Evaluación del Equipo</w:t>
      </w:r>
    </w:p>
    <w:p>
      <w:pPr>
        <w:spacing w:before="80" w:after="120"/>
        <w:jc w:val="both"/>
      </w:pPr>
      <w:r>
        <w:rPr>
          <w:rFonts w:ascii="Arial" w:cs="Arial" w:eastAsia="Arial" w:hAnsi="Arial"/>
          <w:color w:val="2D2D2D"/>
          <w:sz w:val="22"/>
          <w:szCs w:val="22"/>
        </w:rPr>
        <w:t xml:space="preserve">El equipo publicado en la sección 'La Resistencia' presenta una estructura de 5 miembros con roles diferenciados: Director Estratégico / Diseño Gráfico (Gabriel C. Dominguez), Programador Jefe Unity (Gargamel), Estrategia de Marketing / IA (Sagai Rebelbet), Analista de Proyectos (Mama Cora) y Ministro de Economía (legion_beta). La presentación mantiene la estética cyberpunk del proyecto usando pseudónimos para algunos roles.</w:t>
      </w:r>
    </w:p>
    <w:p>
      <w:pPr>
        <w:spacing w:before="80" w:after="120"/>
        <w:jc w:val="both"/>
      </w:pPr>
      <w:r>
        <w:rPr>
          <w:rFonts w:ascii="Arial" w:cs="Arial" w:eastAsia="Arial" w:hAnsi="Arial"/>
          <w:color w:val="2D2D2D"/>
          <w:sz w:val="22"/>
          <w:szCs w:val="22"/>
        </w:rPr>
        <w:t xml:space="preserve">La transparencia del equipo es parcial: el director estratégico es identificado por nombre real, mientras que otros roles operan bajo alias. Para un proyecto con componente financiero (token negociable, apuestas reales), este nivel de anonimato representa un vector de riesgo reputacional y de confianza.</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Cobertura de roles clave (desarrollo, diseño, marketing, economía): POSITIVO</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Motor Unity para Android confirma capacidad técnica de desarrollo de juego real: POSITIVO</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Anonimato parcial del equipo en proyecto financiero: RIESGO REPUTACIONAL</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Equipo pequeño (5 personas) para el scope ambicioso del roadmap: RIESGO DE EJECUCIÓN</w:t>
      </w:r>
    </w:p>
    <w:p>
      <w:pPr>
        <w:pStyle w:val="ListParagraph"/>
        <w:numPr>
          <w:ilvl w:val="0"/>
          <w:numId w:val="2"/>
        </w:numPr>
        <w:spacing w:before="40" w:after="60"/>
      </w:pPr>
      <w:r>
        <w:rPr>
          <w:rFonts w:ascii="Arial" w:cs="Arial" w:eastAsia="Arial" w:hAnsi="Arial"/>
          <w:b/>
          <w:bCs/>
          <w:color w:val="2D2D2D"/>
          <w:sz w:val="22"/>
          <w:szCs w:val="22"/>
        </w:rPr>
        <w:t xml:space="preserve">⚠ </w:t>
      </w:r>
      <w:r>
        <w:rPr>
          <w:rFonts w:ascii="Arial" w:cs="Arial" w:eastAsia="Arial" w:hAnsi="Arial"/>
          <w:color w:val="2D2D2D"/>
          <w:sz w:val="22"/>
          <w:szCs w:val="22"/>
        </w:rPr>
        <w:t xml:space="preserve">Ausencia de advisors o backing institucional documentado: DEBILIDAD</w:t>
      </w:r>
    </w:p>
    <w:p>
      <w:pPr>
        <w:pStyle w:val="Heading2"/>
        <w:spacing w:before="280" w:after="120"/>
      </w:pPr>
      <w:r>
        <w:rPr>
          <w:rFonts w:ascii="Arial" w:cs="Arial" w:eastAsia="Arial" w:hAnsi="Arial"/>
          <w:b/>
          <w:bCs/>
          <w:color w:val="1A1A2E"/>
          <w:sz w:val="28"/>
          <w:szCs w:val="28"/>
        </w:rPr>
        <w:t xml:space="preserve">6.2 Evaluación del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FASE</w:t>
            </w:r>
          </w:p>
        </w:tc>
        <w:tc>
          <w:tcPr>
            <w:tcW w:type="dxa" w:w="45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OBJETIVOS</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ESTADO REAL</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55724"/>
                <w:sz w:val="20"/>
                <w:szCs w:val="20"/>
              </w:rPr>
              <w:t xml:space="preserve">Q4 2025</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Lanzamiento web, Discord, Whitepaper. Beta de El Circuito. Venta inicial $RPPI.</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55724"/>
                <w:sz w:val="20"/>
                <w:szCs w:val="20"/>
              </w:rPr>
              <w:t xml:space="preserve">COMPLETADO ✓</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56404"/>
                <w:sz w:val="20"/>
                <w:szCs w:val="20"/>
              </w:rPr>
              <w:t xml:space="preserve">Q1 2026</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Beta Abierta Capítulo I: TESLA_DRONES para Android.</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56404"/>
                <w:sz w:val="20"/>
                <w:szCs w:val="20"/>
              </w:rPr>
              <w:t xml:space="preserve">EN PROGRESO ●</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Q2 2026</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Capítulo II: 'Who is Rappia?' + Economía T2E completa.</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PENDIENTE ○</w:t>
            </w:r>
          </w:p>
        </w:tc>
      </w:tr>
    </w:tbl>
    <w:p>
      <w:pPr>
        <w:spacing w:before="80" w:after="80"/>
      </w:pPr>
      <w:r>
        <w:t xml:space="preserve"/>
      </w:r>
    </w:p>
    <w:p>
      <w:pPr>
        <w:spacing w:before="80" w:after="120"/>
        <w:jc w:val="both"/>
      </w:pPr>
      <w:r>
        <w:rPr>
          <w:rFonts w:ascii="Arial" w:cs="Arial" w:eastAsia="Arial" w:hAnsi="Arial"/>
          <w:color w:val="2D2D2D"/>
          <w:sz w:val="22"/>
          <w:szCs w:val="22"/>
        </w:rPr>
        <w:t xml:space="preserve">El roadmap es realista en sus primeras dos fases pero el salto de Q1 a Q2 2026 implica un incremento masivo en complejidad técnica (economía T2E completa on-chain) que el equipo actual difícilmente podrá ejecutar sin crecimiento del equipo o financiamiento externo.</w:t>
      </w:r>
    </w:p>
    <w:p>
      <w:pPr>
        <w:spacing w:before="80" w:after="80"/>
      </w:pPr>
      <w:r>
        <w:t xml:space="preserve"/>
      </w:r>
    </w:p>
    <w:p>
      <w:pPr>
        <w:pStyle w:val="Heading1"/>
        <w:pBdr>
          <w:bottom w:val="single" w:color="E94560" w:sz="4" w:space="4"/>
        </w:pBdr>
        <w:spacing w:before="360" w:after="160"/>
      </w:pPr>
      <w:r>
        <w:rPr>
          <w:rFonts w:ascii="Arial" w:cs="Arial" w:eastAsia="Arial" w:hAnsi="Arial"/>
          <w:b/>
          <w:bCs/>
          <w:color w:val="1A1A2E"/>
          <w:sz w:val="36"/>
          <w:szCs w:val="36"/>
        </w:rPr>
        <w:t xml:space="preserve">7. ANÁLISIS DE RIESGOS</w:t>
      </w:r>
    </w:p>
    <w:p>
      <w:pPr>
        <w:pStyle w:val="Heading2"/>
        <w:spacing w:before="280" w:after="120"/>
      </w:pPr>
      <w:r>
        <w:rPr>
          <w:rFonts w:ascii="Arial" w:cs="Arial" w:eastAsia="Arial" w:hAnsi="Arial"/>
          <w:b/>
          <w:bCs/>
          <w:color w:val="1A1A2E"/>
          <w:sz w:val="28"/>
          <w:szCs w:val="28"/>
        </w:rPr>
        <w:t xml:space="preserve">7.1 Matriz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2000"/>
        <w:gridCol w:w="1560"/>
      </w:tblGrid>
      <w:tr>
        <w:tc>
          <w:tcPr>
            <w:tcW w:type="dxa" w:w="3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RIESGO</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PROBABILIDAD</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IMPACTO</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NIVEL</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Baja liquidez inicial en Uniswap genera dump del token</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21C24"/>
                <w:sz w:val="20"/>
                <w:szCs w:val="20"/>
              </w:rPr>
              <w:t xml:space="preserve">Alta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21C24"/>
                <w:sz w:val="20"/>
                <w:szCs w:val="20"/>
              </w:rPr>
              <w:t xml:space="preserve">Crítico</w:t>
            </w:r>
          </w:p>
        </w:tc>
        <w:tc>
          <w:tcPr>
            <w:tcW w:type="dxa" w:w="1560"/>
            <w:tcBorders>
              <w:top w:val="single" w:color="DDDDDD" w:sz="1"/>
              <w:left w:val="single" w:color="DDDDDD" w:sz="1"/>
              <w:bottom w:val="single" w:color="DDDDDD" w:sz="1"/>
              <w:right w:val="single" w:color="DDDDDD" w:sz="1"/>
            </w:tcBorders>
            <w:shd w:fill="F8D7DA" w:val="clear"/>
            <w:tcMar>
              <w:top w:type="dxa" w:w="100"/>
              <w:left w:type="dxa" w:w="140"/>
              <w:bottom w:type="dxa" w:w="100"/>
              <w:right w:type="dxa" w:w="140"/>
            </w:tcMar>
            <w:vAlign w:val="center"/>
          </w:tcPr>
          <w:p>
            <w:pPr>
              <w:jc w:val="center"/>
            </w:pPr>
            <w:r>
              <w:rPr>
                <w:rFonts w:ascii="Arial" w:cs="Arial" w:eastAsia="Arial" w:hAnsi="Arial"/>
                <w:b/>
                <w:bCs/>
                <w:color w:val="721C24"/>
                <w:sz w:val="20"/>
                <w:szCs w:val="20"/>
              </w:rPr>
              <w:t xml:space="preserve">CRÍTICO</w:t>
            </w:r>
          </w:p>
        </w:tc>
      </w:tr>
      <w:tr>
        <w:tc>
          <w:tcPr>
            <w:tcW w:type="dxa" w:w="3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Regulación de apuestas blockchain en LATAM/ARG</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56404"/>
                <w:sz w:val="20"/>
                <w:szCs w:val="20"/>
              </w:rPr>
              <w:t xml:space="preserve">Media</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56404"/>
                <w:sz w:val="20"/>
                <w:szCs w:val="20"/>
              </w:rPr>
              <w:t xml:space="preserve">Alto</w:t>
            </w:r>
          </w:p>
        </w:tc>
        <w:tc>
          <w:tcPr>
            <w:tcW w:type="dxa" w:w="156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56404"/>
                <w:sz w:val="20"/>
                <w:szCs w:val="20"/>
              </w:rPr>
              <w:t xml:space="preserve">ALTO</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Modal de compra directa sin backend: riesgo legal y reputacional</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21C24"/>
                <w:sz w:val="20"/>
                <w:szCs w:val="20"/>
              </w:rPr>
              <w:t xml:space="preserve">Alta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21C24"/>
                <w:sz w:val="20"/>
                <w:szCs w:val="20"/>
              </w:rPr>
              <w:t xml:space="preserve">Alto</w:t>
            </w:r>
          </w:p>
        </w:tc>
        <w:tc>
          <w:tcPr>
            <w:tcW w:type="dxa" w:w="1560"/>
            <w:tcBorders>
              <w:top w:val="single" w:color="DDDDDD" w:sz="1"/>
              <w:left w:val="single" w:color="DDDDDD" w:sz="1"/>
              <w:bottom w:val="single" w:color="DDDDDD" w:sz="1"/>
              <w:right w:val="single" w:color="DDDDDD" w:sz="1"/>
            </w:tcBorders>
            <w:shd w:fill="F8D7DA" w:val="clear"/>
            <w:tcMar>
              <w:top w:type="dxa" w:w="100"/>
              <w:left w:type="dxa" w:w="140"/>
              <w:bottom w:type="dxa" w:w="100"/>
              <w:right w:type="dxa" w:w="140"/>
            </w:tcMar>
            <w:vAlign w:val="center"/>
          </w:tcPr>
          <w:p>
            <w:pPr>
              <w:jc w:val="center"/>
            </w:pPr>
            <w:r>
              <w:rPr>
                <w:rFonts w:ascii="Arial" w:cs="Arial" w:eastAsia="Arial" w:hAnsi="Arial"/>
                <w:b/>
                <w:bCs/>
                <w:color w:val="721C24"/>
                <w:sz w:val="20"/>
                <w:szCs w:val="20"/>
              </w:rPr>
              <w:t xml:space="preserve">CRÍTICO</w:t>
            </w:r>
          </w:p>
        </w:tc>
      </w:tr>
      <w:tr>
        <w:tc>
          <w:tcPr>
            <w:tcW w:type="dxa" w:w="3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Equipo reducido ante roadmap ambicioso</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721C24"/>
                <w:sz w:val="20"/>
                <w:szCs w:val="20"/>
              </w:rPr>
              <w:t xml:space="preserve">Alta</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721C24"/>
                <w:sz w:val="20"/>
                <w:szCs w:val="20"/>
              </w:rPr>
              <w:t xml:space="preserve">Alto</w:t>
            </w:r>
          </w:p>
        </w:tc>
        <w:tc>
          <w:tcPr>
            <w:tcW w:type="dxa" w:w="156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56404"/>
                <w:sz w:val="20"/>
                <w:szCs w:val="20"/>
              </w:rPr>
              <w:t xml:space="preserve">ALTO</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Derechos de propiedad intelectual sobre juegos arcade clásicos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856404"/>
                <w:sz w:val="20"/>
                <w:szCs w:val="20"/>
              </w:rPr>
              <w:t xml:space="preserve">Media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856404"/>
                <w:sz w:val="20"/>
                <w:szCs w:val="20"/>
              </w:rPr>
              <w:t xml:space="preserve">Alto</w:t>
            </w:r>
          </w:p>
        </w:tc>
        <w:tc>
          <w:tcPr>
            <w:tcW w:type="dxa" w:w="156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56404"/>
                <w:sz w:val="20"/>
                <w:szCs w:val="20"/>
              </w:rPr>
              <w:t xml:space="preserve">ALTO</w:t>
            </w:r>
          </w:p>
        </w:tc>
      </w:tr>
      <w:tr>
        <w:tc>
          <w:tcPr>
            <w:tcW w:type="dxa" w:w="3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Ausencia de auditoría de smart contract publicada</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721C24"/>
                <w:sz w:val="20"/>
                <w:szCs w:val="20"/>
              </w:rPr>
              <w:t xml:space="preserve">Alta</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721C24"/>
                <w:sz w:val="20"/>
                <w:szCs w:val="20"/>
              </w:rPr>
              <w:t xml:space="preserve">Crítico</w:t>
            </w:r>
          </w:p>
        </w:tc>
        <w:tc>
          <w:tcPr>
            <w:tcW w:type="dxa" w:w="1560"/>
            <w:tcBorders>
              <w:top w:val="single" w:color="DDDDDD" w:sz="1"/>
              <w:left w:val="single" w:color="DDDDDD" w:sz="1"/>
              <w:bottom w:val="single" w:color="DDDDDD" w:sz="1"/>
              <w:right w:val="single" w:color="DDDDDD" w:sz="1"/>
            </w:tcBorders>
            <w:shd w:fill="F8D7DA" w:val="clear"/>
            <w:tcMar>
              <w:top w:type="dxa" w:w="100"/>
              <w:left w:type="dxa" w:w="140"/>
              <w:bottom w:type="dxa" w:w="100"/>
              <w:right w:type="dxa" w:w="140"/>
            </w:tcMar>
            <w:vAlign w:val="center"/>
          </w:tcPr>
          <w:p>
            <w:pPr>
              <w:jc w:val="center"/>
            </w:pPr>
            <w:r>
              <w:rPr>
                <w:rFonts w:ascii="Arial" w:cs="Arial" w:eastAsia="Arial" w:hAnsi="Arial"/>
                <w:b/>
                <w:bCs/>
                <w:color w:val="721C24"/>
                <w:sz w:val="20"/>
                <w:szCs w:val="20"/>
              </w:rPr>
              <w:t xml:space="preserve">CRÍTICO</w:t>
            </w:r>
          </w:p>
        </w:tc>
      </w:tr>
      <w:tr>
        <w:tc>
          <w:tcPr>
            <w:tcW w:type="dxa" w:w="3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Integridad de resultados T2E (posible trampa sin on-chain logic)</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856404"/>
                <w:sz w:val="20"/>
                <w:szCs w:val="20"/>
              </w:rPr>
              <w:t xml:space="preserve">Media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21C24"/>
                <w:sz w:val="20"/>
                <w:szCs w:val="20"/>
              </w:rPr>
              <w:t xml:space="preserve">Crítico</w:t>
            </w:r>
          </w:p>
        </w:tc>
        <w:tc>
          <w:tcPr>
            <w:tcW w:type="dxa" w:w="156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56404"/>
                <w:sz w:val="20"/>
                <w:szCs w:val="20"/>
              </w:rPr>
              <w:t xml:space="preserve">ALTO</w:t>
            </w:r>
          </w:p>
        </w:tc>
      </w:tr>
      <w:tr>
        <w:tc>
          <w:tcPr>
            <w:tcW w:type="dxa" w:w="38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Fricción de onboarding para usuarios no-crypto</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721C24"/>
                <w:sz w:val="20"/>
                <w:szCs w:val="20"/>
              </w:rPr>
              <w:t xml:space="preserve">Alta</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56404"/>
                <w:sz w:val="20"/>
                <w:szCs w:val="20"/>
              </w:rPr>
              <w:t xml:space="preserve">Medio</w:t>
            </w:r>
          </w:p>
        </w:tc>
        <w:tc>
          <w:tcPr>
            <w:tcW w:type="dxa" w:w="156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56404"/>
                <w:sz w:val="20"/>
                <w:szCs w:val="20"/>
              </w:rPr>
              <w:t xml:space="preserve">MEDIO</w:t>
            </w:r>
          </w:p>
        </w:tc>
      </w:tr>
    </w:tbl>
    <w:p>
      <w:pPr>
        <w:spacing w:before="80" w:after="80"/>
      </w:pPr>
      <w:r>
        <w:t xml:space="preserve"/>
      </w:r>
    </w:p>
    <w:p>
      <w:pPr>
        <w:pStyle w:val="Heading1"/>
        <w:pBdr>
          <w:bottom w:val="single" w:color="E94560" w:sz="4" w:space="4"/>
        </w:pBdr>
        <w:spacing w:before="360" w:after="160"/>
      </w:pPr>
      <w:r>
        <w:rPr>
          <w:rFonts w:ascii="Arial" w:cs="Arial" w:eastAsia="Arial" w:hAnsi="Arial"/>
          <w:b/>
          <w:bCs/>
          <w:color w:val="1A1A2E"/>
          <w:sz w:val="36"/>
          <w:szCs w:val="36"/>
        </w:rPr>
        <w:t xml:space="preserve">8. SCORECARD MULTIDIMENSIONAL</w:t>
      </w:r>
    </w:p>
    <w:p>
      <w:pPr>
        <w:spacing w:before="80" w:after="120"/>
        <w:jc w:val="both"/>
      </w:pPr>
      <w:r>
        <w:rPr>
          <w:rFonts w:ascii="Arial" w:cs="Arial" w:eastAsia="Arial" w:hAnsi="Arial"/>
          <w:color w:val="2D2D2D"/>
          <w:sz w:val="22"/>
          <w:szCs w:val="22"/>
        </w:rPr>
        <w:t xml:space="preserve">Evaluación por dimensiones clave con escala 1-10, metodología adaptada de estándares QA de la industria de gaming blockchain.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DIMENSIÓN</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PUNTAJE</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ESTADO</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Concepto e Innovación (T2E)</w:t>
            </w:r>
          </w:p>
        </w:tc>
        <w:tc>
          <w:tcPr>
            <w:tcW w:type="dxa" w:w="25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D2D2D"/>
                <w:sz w:val="20"/>
                <w:szCs w:val="20"/>
              </w:rPr>
              <w:t xml:space="preserve">8.0 / 10</w:t>
            </w:r>
          </w:p>
        </w:tc>
        <w:tc>
          <w:tcPr>
            <w:tcW w:type="dxa" w:w="2580"/>
            <w:tcBorders>
              <w:top w:val="single" w:color="DDDDDD" w:sz="1"/>
              <w:left w:val="single" w:color="DDDDDD" w:sz="1"/>
              <w:bottom w:val="single" w:color="DDDDDD" w:sz="1"/>
              <w:right w:val="single" w:color="DDDDDD" w:sz="1"/>
            </w:tcBorders>
            <w:shd w:fill="D4EDDA" w:val="clear"/>
            <w:tcMar>
              <w:top w:type="dxa" w:w="100"/>
              <w:left w:type="dxa" w:w="140"/>
              <w:bottom w:type="dxa" w:w="100"/>
              <w:right w:type="dxa" w:w="140"/>
            </w:tcMar>
            <w:vAlign w:val="center"/>
          </w:tcPr>
          <w:p>
            <w:pPr>
              <w:jc w:val="center"/>
            </w:pPr>
            <w:r>
              <w:rPr>
                <w:rFonts w:ascii="Arial" w:cs="Arial" w:eastAsia="Arial" w:hAnsi="Arial"/>
                <w:b/>
                <w:bCs/>
                <w:color w:val="155724"/>
                <w:sz w:val="20"/>
                <w:szCs w:val="20"/>
              </w:rPr>
              <w:t xml:space="preserve">SÓLIDO</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Diseño Narrativo y Art Direction</w:t>
            </w:r>
          </w:p>
        </w:tc>
        <w:tc>
          <w:tcPr>
            <w:tcW w:type="dxa" w:w="25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D2D2D"/>
                <w:sz w:val="20"/>
                <w:szCs w:val="20"/>
              </w:rPr>
              <w:t xml:space="preserve">7.5 / 10</w:t>
            </w:r>
          </w:p>
        </w:tc>
        <w:tc>
          <w:tcPr>
            <w:tcW w:type="dxa" w:w="2580"/>
            <w:tcBorders>
              <w:top w:val="single" w:color="DDDDDD" w:sz="1"/>
              <w:left w:val="single" w:color="DDDDDD" w:sz="1"/>
              <w:bottom w:val="single" w:color="DDDDDD" w:sz="1"/>
              <w:right w:val="single" w:color="DDDDDD" w:sz="1"/>
            </w:tcBorders>
            <w:shd w:fill="D4EDDA" w:val="clear"/>
            <w:tcMar>
              <w:top w:type="dxa" w:w="100"/>
              <w:left w:type="dxa" w:w="140"/>
              <w:bottom w:type="dxa" w:w="100"/>
              <w:right w:type="dxa" w:w="140"/>
            </w:tcMar>
            <w:vAlign w:val="center"/>
          </w:tcPr>
          <w:p>
            <w:pPr>
              <w:jc w:val="center"/>
            </w:pPr>
            <w:r>
              <w:rPr>
                <w:rFonts w:ascii="Arial" w:cs="Arial" w:eastAsia="Arial" w:hAnsi="Arial"/>
                <w:b/>
                <w:bCs/>
                <w:color w:val="155724"/>
                <w:sz w:val="20"/>
                <w:szCs w:val="20"/>
              </w:rPr>
              <w:t xml:space="preserve">SÓLIDO</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Diseño de Mecánicas de Juego</w:t>
            </w:r>
          </w:p>
        </w:tc>
        <w:tc>
          <w:tcPr>
            <w:tcW w:type="dxa" w:w="25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D2D2D"/>
                <w:sz w:val="20"/>
                <w:szCs w:val="20"/>
              </w:rPr>
              <w:t xml:space="preserve">6.5 / 10</w:t>
            </w:r>
          </w:p>
        </w:tc>
        <w:tc>
          <w:tcPr>
            <w:tcW w:type="dxa" w:w="258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56404"/>
                <w:sz w:val="20"/>
                <w:szCs w:val="20"/>
              </w:rPr>
              <w:t xml:space="preserve">ACEPTABLE</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Implementación Técnica (Beta)</w:t>
            </w:r>
          </w:p>
        </w:tc>
        <w:tc>
          <w:tcPr>
            <w:tcW w:type="dxa" w:w="25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D2D2D"/>
                <w:sz w:val="20"/>
                <w:szCs w:val="20"/>
              </w:rPr>
              <w:t xml:space="preserve">5.5 / 10</w:t>
            </w:r>
          </w:p>
        </w:tc>
        <w:tc>
          <w:tcPr>
            <w:tcW w:type="dxa" w:w="258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56404"/>
                <w:sz w:val="20"/>
                <w:szCs w:val="20"/>
              </w:rPr>
              <w:t xml:space="preserve">EN PROGRESO</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UX / UI y Experiencia de Usuario</w:t>
            </w:r>
          </w:p>
        </w:tc>
        <w:tc>
          <w:tcPr>
            <w:tcW w:type="dxa" w:w="25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D2D2D"/>
                <w:sz w:val="20"/>
                <w:szCs w:val="20"/>
              </w:rPr>
              <w:t xml:space="preserve">5.0 / 10</w:t>
            </w:r>
          </w:p>
        </w:tc>
        <w:tc>
          <w:tcPr>
            <w:tcW w:type="dxa" w:w="258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56404"/>
                <w:sz w:val="20"/>
                <w:szCs w:val="20"/>
              </w:rPr>
              <w:t xml:space="preserve">REQUIERE MEJORA</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Tokenomics y Economía</w:t>
            </w:r>
          </w:p>
        </w:tc>
        <w:tc>
          <w:tcPr>
            <w:tcW w:type="dxa" w:w="25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D2D2D"/>
                <w:sz w:val="20"/>
                <w:szCs w:val="20"/>
              </w:rPr>
              <w:t xml:space="preserve">5.5 / 10</w:t>
            </w:r>
          </w:p>
        </w:tc>
        <w:tc>
          <w:tcPr>
            <w:tcW w:type="dxa" w:w="258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56404"/>
                <w:sz w:val="20"/>
                <w:szCs w:val="20"/>
              </w:rPr>
              <w:t xml:space="preserve">ATENCIÓN</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Transparencia y Confianza del Equipo</w:t>
            </w:r>
          </w:p>
        </w:tc>
        <w:tc>
          <w:tcPr>
            <w:tcW w:type="dxa" w:w="25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D2D2D"/>
                <w:sz w:val="20"/>
                <w:szCs w:val="20"/>
              </w:rPr>
              <w:t xml:space="preserve">4.0 / 10</w:t>
            </w:r>
          </w:p>
        </w:tc>
        <w:tc>
          <w:tcPr>
            <w:tcW w:type="dxa" w:w="2580"/>
            <w:tcBorders>
              <w:top w:val="single" w:color="DDDDDD" w:sz="1"/>
              <w:left w:val="single" w:color="DDDDDD" w:sz="1"/>
              <w:bottom w:val="single" w:color="DDDDDD" w:sz="1"/>
              <w:right w:val="single" w:color="DDDDDD" w:sz="1"/>
            </w:tcBorders>
            <w:shd w:fill="F8D7DA" w:val="clear"/>
            <w:tcMar>
              <w:top w:type="dxa" w:w="100"/>
              <w:left w:type="dxa" w:w="140"/>
              <w:bottom w:type="dxa" w:w="100"/>
              <w:right w:type="dxa" w:w="140"/>
            </w:tcMar>
            <w:vAlign w:val="center"/>
          </w:tcPr>
          <w:p>
            <w:pPr>
              <w:jc w:val="center"/>
            </w:pPr>
            <w:r>
              <w:rPr>
                <w:rFonts w:ascii="Arial" w:cs="Arial" w:eastAsia="Arial" w:hAnsi="Arial"/>
                <w:b/>
                <w:bCs/>
                <w:color w:val="721C24"/>
                <w:sz w:val="20"/>
                <w:szCs w:val="20"/>
              </w:rPr>
              <w:t xml:space="preserve">DÉBIL</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Compatibilidad y Rendimiento</w:t>
            </w:r>
          </w:p>
        </w:tc>
        <w:tc>
          <w:tcPr>
            <w:tcW w:type="dxa" w:w="25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D2D2D"/>
                <w:sz w:val="20"/>
                <w:szCs w:val="20"/>
              </w:rPr>
              <w:t xml:space="preserve">4.5 / 10</w:t>
            </w:r>
          </w:p>
        </w:tc>
        <w:tc>
          <w:tcPr>
            <w:tcW w:type="dxa" w:w="258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56404"/>
                <w:sz w:val="20"/>
                <w:szCs w:val="20"/>
              </w:rPr>
              <w:t xml:space="preserve">REQUIERE MEJORA</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Cumplimiento Regulatorio</w:t>
            </w:r>
          </w:p>
        </w:tc>
        <w:tc>
          <w:tcPr>
            <w:tcW w:type="dxa" w:w="25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D2D2D"/>
                <w:sz w:val="20"/>
                <w:szCs w:val="20"/>
              </w:rPr>
              <w:t xml:space="preserve">3.5 / 10</w:t>
            </w:r>
          </w:p>
        </w:tc>
        <w:tc>
          <w:tcPr>
            <w:tcW w:type="dxa" w:w="2580"/>
            <w:tcBorders>
              <w:top w:val="single" w:color="DDDDDD" w:sz="1"/>
              <w:left w:val="single" w:color="DDDDDD" w:sz="1"/>
              <w:bottom w:val="single" w:color="DDDDDD" w:sz="1"/>
              <w:right w:val="single" w:color="DDDDDD" w:sz="1"/>
            </w:tcBorders>
            <w:shd w:fill="F8D7DA" w:val="clear"/>
            <w:tcMar>
              <w:top w:type="dxa" w:w="100"/>
              <w:left w:type="dxa" w:w="140"/>
              <w:bottom w:type="dxa" w:w="100"/>
              <w:right w:type="dxa" w:w="140"/>
            </w:tcMar>
            <w:vAlign w:val="center"/>
          </w:tcPr>
          <w:p>
            <w:pPr>
              <w:jc w:val="center"/>
            </w:pPr>
            <w:r>
              <w:rPr>
                <w:rFonts w:ascii="Arial" w:cs="Arial" w:eastAsia="Arial" w:hAnsi="Arial"/>
                <w:b/>
                <w:bCs/>
                <w:color w:val="721C24"/>
                <w:sz w:val="20"/>
                <w:szCs w:val="20"/>
              </w:rPr>
              <w:t xml:space="preserve">CRÍTICO</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D2D2D"/>
                <w:sz w:val="20"/>
                <w:szCs w:val="20"/>
              </w:rPr>
              <w:t xml:space="preserve">Madurez del Roadmap</w:t>
            </w:r>
          </w:p>
        </w:tc>
        <w:tc>
          <w:tcPr>
            <w:tcW w:type="dxa" w:w="25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2D2D2D"/>
                <w:sz w:val="20"/>
                <w:szCs w:val="20"/>
              </w:rPr>
              <w:t xml:space="preserve">6.0 / 10</w:t>
            </w:r>
          </w:p>
        </w:tc>
        <w:tc>
          <w:tcPr>
            <w:tcW w:type="dxa" w:w="258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vAlign w:val="center"/>
          </w:tcPr>
          <w:p>
            <w:pPr>
              <w:jc w:val="center"/>
            </w:pPr>
            <w:r>
              <w:rPr>
                <w:rFonts w:ascii="Arial" w:cs="Arial" w:eastAsia="Arial" w:hAnsi="Arial"/>
                <w:b/>
                <w:bCs/>
                <w:color w:val="856404"/>
                <w:sz w:val="20"/>
                <w:szCs w:val="20"/>
              </w:rPr>
              <w:t xml:space="preserve">ACEPTABLE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60"/>
              <w:left w:type="dxa" w:w="200"/>
              <w:bottom w:type="dxa" w:w="160"/>
              <w:right w:type="dxa" w:w="200"/>
            </w:tcMar>
          </w:tcPr>
          <w:p>
            <w:pPr>
              <w:jc w:val="center"/>
            </w:pPr>
            <w:r>
              <w:rPr>
                <w:rFonts w:ascii="Arial" w:cs="Arial" w:eastAsia="Arial" w:hAnsi="Arial"/>
                <w:b/>
                <w:bCs/>
                <w:color w:val="FFFFFF"/>
                <w:sz w:val="40"/>
                <w:szCs w:val="40"/>
              </w:rPr>
              <w:t xml:space="preserve">PUNTAJE GLOBAL: 5.8 / 10</w:t>
            </w:r>
          </w:p>
          <w:p>
            <w:pPr>
              <w:jc w:val="center"/>
            </w:pPr>
            <w:r>
              <w:rPr>
                <w:rFonts w:ascii="Arial" w:cs="Arial" w:eastAsia="Arial" w:hAnsi="Arial"/>
                <w:i/>
                <w:iCs/>
                <w:color w:val="CCCCCC"/>
                <w:sz w:val="20"/>
                <w:szCs w:val="20"/>
              </w:rPr>
              <w:t xml:space="preserve">Proyecto con fundamentos conceptuales sólidos y ejecución técnica en etapa temprana.</w:t>
            </w:r>
          </w:p>
        </w:tc>
      </w:tr>
    </w:tbl>
    <w:p>
      <w:pPr>
        <w:spacing w:before="80" w:after="80"/>
      </w:pPr>
      <w:r>
        <w:t xml:space="preserve"/>
      </w:r>
    </w:p>
    <w:p>
      <w:pPr>
        <w:pStyle w:val="Heading1"/>
        <w:pBdr>
          <w:bottom w:val="single" w:color="E94560" w:sz="4" w:space="4"/>
        </w:pBdr>
        <w:spacing w:before="360" w:after="160"/>
      </w:pPr>
      <w:r>
        <w:rPr>
          <w:rFonts w:ascii="Arial" w:cs="Arial" w:eastAsia="Arial" w:hAnsi="Arial"/>
          <w:b/>
          <w:bCs/>
          <w:color w:val="1A1A2E"/>
          <w:sz w:val="36"/>
          <w:szCs w:val="36"/>
        </w:rPr>
        <w:t xml:space="preserve">9. RECOMENDACIONES PRIORITARIAS</w:t>
      </w:r>
    </w:p>
    <w:p>
      <w:pPr>
        <w:pStyle w:val="Heading2"/>
        <w:spacing w:before="280" w:after="120"/>
      </w:pPr>
      <w:r>
        <w:rPr>
          <w:rFonts w:ascii="Arial" w:cs="Arial" w:eastAsia="Arial" w:hAnsi="Arial"/>
          <w:b/>
          <w:bCs/>
          <w:color w:val="1A1A2E"/>
          <w:sz w:val="28"/>
          <w:szCs w:val="28"/>
        </w:rPr>
        <w:t xml:space="preserve">9.1 Acciones Críticas (Inmediatas — 0 a 30 días)</w:t>
      </w:r>
    </w:p>
    <w:p>
      <w:pPr>
        <w:pStyle w:val="ListParagraph"/>
        <w:numPr>
          <w:ilvl w:val="0"/>
          <w:numId w:val="2"/>
        </w:numPr>
        <w:spacing w:before="40" w:after="60"/>
      </w:pPr>
      <w:r>
        <w:rPr>
          <w:rFonts w:ascii="Arial" w:cs="Arial" w:eastAsia="Arial" w:hAnsi="Arial"/>
          <w:b/>
          <w:bCs/>
          <w:color w:val="2D2D2D"/>
          <w:sz w:val="22"/>
          <w:szCs w:val="22"/>
        </w:rPr>
        <w:t xml:space="preserve">R-01: </w:t>
      </w:r>
      <w:r>
        <w:rPr>
          <w:rFonts w:ascii="Arial" w:cs="Arial" w:eastAsia="Arial" w:hAnsi="Arial"/>
          <w:color w:val="2D2D2D"/>
          <w:sz w:val="22"/>
          <w:szCs w:val="22"/>
        </w:rPr>
        <w:t xml:space="preserve">Eliminar o deshabilitar el modal de compra directa ($RPPI por tarjeta/transferencia) hasta tener backend real implementado y cumplimiento legal verificado. El riesgo reputacional actual es severo.</w:t>
      </w:r>
    </w:p>
    <w:p>
      <w:pPr>
        <w:pStyle w:val="ListParagraph"/>
        <w:numPr>
          <w:ilvl w:val="0"/>
          <w:numId w:val="2"/>
        </w:numPr>
        <w:spacing w:before="40" w:after="60"/>
      </w:pPr>
      <w:r>
        <w:rPr>
          <w:rFonts w:ascii="Arial" w:cs="Arial" w:eastAsia="Arial" w:hAnsi="Arial"/>
          <w:b/>
          <w:bCs/>
          <w:color w:val="2D2D2D"/>
          <w:sz w:val="22"/>
          <w:szCs w:val="22"/>
        </w:rPr>
        <w:t xml:space="preserve">R-02: </w:t>
      </w:r>
      <w:r>
        <w:rPr>
          <w:rFonts w:ascii="Arial" w:cs="Arial" w:eastAsia="Arial" w:hAnsi="Arial"/>
          <w:color w:val="2D2D2D"/>
          <w:sz w:val="22"/>
          <w:szCs w:val="22"/>
        </w:rPr>
        <w:t xml:space="preserve">Publicar auditoría del smart contract $RPPI por parte de una firma reconocida (Certik, Hacken, OpenZeppelin). Sin esto, ningún inversor o jugador serio considerará el proyecto.</w:t>
      </w:r>
    </w:p>
    <w:p>
      <w:pPr>
        <w:pStyle w:val="ListParagraph"/>
        <w:numPr>
          <w:ilvl w:val="0"/>
          <w:numId w:val="2"/>
        </w:numPr>
        <w:spacing w:before="40" w:after="60"/>
      </w:pPr>
      <w:r>
        <w:rPr>
          <w:rFonts w:ascii="Arial" w:cs="Arial" w:eastAsia="Arial" w:hAnsi="Arial"/>
          <w:b/>
          <w:bCs/>
          <w:color w:val="2D2D2D"/>
          <w:sz w:val="22"/>
          <w:szCs w:val="22"/>
        </w:rPr>
        <w:t xml:space="preserve">R-03: </w:t>
      </w:r>
      <w:r>
        <w:rPr>
          <w:rFonts w:ascii="Arial" w:cs="Arial" w:eastAsia="Arial" w:hAnsi="Arial"/>
          <w:color w:val="2D2D2D"/>
          <w:sz w:val="22"/>
          <w:szCs w:val="22"/>
        </w:rPr>
        <w:t xml:space="preserve">Implementar flujo de onboarding para usuarios no-crypto: tutorial paso a paso para instalar MetaMask, obtener OP ETH para gas, y comprar $RPPI en Uniswap.</w:t>
      </w:r>
    </w:p>
    <w:p>
      <w:pPr>
        <w:pStyle w:val="Heading2"/>
        <w:spacing w:before="280" w:after="120"/>
      </w:pPr>
      <w:r>
        <w:rPr>
          <w:rFonts w:ascii="Arial" w:cs="Arial" w:eastAsia="Arial" w:hAnsi="Arial"/>
          <w:b/>
          <w:bCs/>
          <w:color w:val="1A1A2E"/>
          <w:sz w:val="28"/>
          <w:szCs w:val="28"/>
        </w:rPr>
        <w:t xml:space="preserve">9.2 Acciones de Alta Prioridad (30 a 90 días)</w:t>
      </w:r>
    </w:p>
    <w:p>
      <w:pPr>
        <w:pStyle w:val="ListParagraph"/>
        <w:numPr>
          <w:ilvl w:val="0"/>
          <w:numId w:val="2"/>
        </w:numPr>
        <w:spacing w:before="40" w:after="60"/>
      </w:pPr>
      <w:r>
        <w:rPr>
          <w:rFonts w:ascii="Arial" w:cs="Arial" w:eastAsia="Arial" w:hAnsi="Arial"/>
          <w:b/>
          <w:bCs/>
          <w:color w:val="2D2D2D"/>
          <w:sz w:val="22"/>
          <w:szCs w:val="22"/>
        </w:rPr>
        <w:t xml:space="preserve">R-04: </w:t>
      </w:r>
      <w:r>
        <w:rPr>
          <w:rFonts w:ascii="Arial" w:cs="Arial" w:eastAsia="Arial" w:hAnsi="Arial"/>
          <w:color w:val="2D2D2D"/>
          <w:sz w:val="22"/>
          <w:szCs w:val="22"/>
        </w:rPr>
        <w:t xml:space="preserve">Aumentar el pool de liquidez inicial en Uniswap de 5% a un mínimo del 10-15% para reducir el riesgo de volatilidad extrema y slippage en las primeras semanas.</w:t>
      </w:r>
    </w:p>
    <w:p>
      <w:pPr>
        <w:pStyle w:val="ListParagraph"/>
        <w:numPr>
          <w:ilvl w:val="0"/>
          <w:numId w:val="2"/>
        </w:numPr>
        <w:spacing w:before="40" w:after="60"/>
      </w:pPr>
      <w:r>
        <w:rPr>
          <w:rFonts w:ascii="Arial" w:cs="Arial" w:eastAsia="Arial" w:hAnsi="Arial"/>
          <w:b/>
          <w:bCs/>
          <w:color w:val="2D2D2D"/>
          <w:sz w:val="22"/>
          <w:szCs w:val="22"/>
        </w:rPr>
        <w:t xml:space="preserve">R-05: </w:t>
      </w:r>
      <w:r>
        <w:rPr>
          <w:rFonts w:ascii="Arial" w:cs="Arial" w:eastAsia="Arial" w:hAnsi="Arial"/>
          <w:color w:val="2D2D2D"/>
          <w:sz w:val="22"/>
          <w:szCs w:val="22"/>
        </w:rPr>
        <w:t xml:space="preserve">Migrar la lógica de validación de resultados T2E de Firebase a contratos inteligentes verificables en Optimism. La integridad de los resultados es el corazón del modelo T2E.</w:t>
      </w:r>
    </w:p>
    <w:p>
      <w:pPr>
        <w:pStyle w:val="ListParagraph"/>
        <w:numPr>
          <w:ilvl w:val="0"/>
          <w:numId w:val="2"/>
        </w:numPr>
        <w:spacing w:before="40" w:after="60"/>
      </w:pPr>
      <w:r>
        <w:rPr>
          <w:rFonts w:ascii="Arial" w:cs="Arial" w:eastAsia="Arial" w:hAnsi="Arial"/>
          <w:b/>
          <w:bCs/>
          <w:color w:val="2D2D2D"/>
          <w:sz w:val="22"/>
          <w:szCs w:val="22"/>
        </w:rPr>
        <w:t xml:space="preserve">R-06: </w:t>
      </w:r>
      <w:r>
        <w:rPr>
          <w:rFonts w:ascii="Arial" w:cs="Arial" w:eastAsia="Arial" w:hAnsi="Arial"/>
          <w:color w:val="2D2D2D"/>
          <w:sz w:val="22"/>
          <w:szCs w:val="22"/>
        </w:rPr>
        <w:t xml:space="preserve">Contratar o asociarse con un asesor legal especializado en gaming blockchain/DeFi para LATAM que defina el marco regulatorio del modelo de apuestas.</w:t>
      </w:r>
    </w:p>
    <w:p>
      <w:pPr>
        <w:pStyle w:val="ListParagraph"/>
        <w:numPr>
          <w:ilvl w:val="0"/>
          <w:numId w:val="2"/>
        </w:numPr>
        <w:spacing w:before="40" w:after="60"/>
      </w:pPr>
      <w:r>
        <w:rPr>
          <w:rFonts w:ascii="Arial" w:cs="Arial" w:eastAsia="Arial" w:hAnsi="Arial"/>
          <w:b/>
          <w:bCs/>
          <w:color w:val="2D2D2D"/>
          <w:sz w:val="22"/>
          <w:szCs w:val="22"/>
        </w:rPr>
        <w:t xml:space="preserve">R-07: </w:t>
      </w:r>
      <w:r>
        <w:rPr>
          <w:rFonts w:ascii="Arial" w:cs="Arial" w:eastAsia="Arial" w:hAnsi="Arial"/>
          <w:color w:val="2D2D2D"/>
          <w:sz w:val="22"/>
          <w:szCs w:val="22"/>
        </w:rPr>
        <w:t xml:space="preserve">Resolver la problemática de propiedad intelectual de los juegos arcade clásicos. Pac-Man (Bandai Namco), Space Invaders (Taito/Square Enix) y Tetris (The Tetris Company) tienen protección activa. Las mecánicas pueden imitarse pero los nombres y assets deben ser originales.</w:t>
      </w:r>
    </w:p>
    <w:p>
      <w:pPr>
        <w:pStyle w:val="Heading2"/>
        <w:spacing w:before="280" w:after="120"/>
      </w:pPr>
      <w:r>
        <w:rPr>
          <w:rFonts w:ascii="Arial" w:cs="Arial" w:eastAsia="Arial" w:hAnsi="Arial"/>
          <w:b/>
          <w:bCs/>
          <w:color w:val="1A1A2E"/>
          <w:sz w:val="28"/>
          <w:szCs w:val="28"/>
        </w:rPr>
        <w:t xml:space="preserve">9.3 Recomendaciones de Mejora (90+ días)</w:t>
      </w:r>
    </w:p>
    <w:p>
      <w:pPr>
        <w:pStyle w:val="ListParagraph"/>
        <w:numPr>
          <w:ilvl w:val="0"/>
          <w:numId w:val="2"/>
        </w:numPr>
        <w:spacing w:before="40" w:after="60"/>
      </w:pPr>
      <w:r>
        <w:rPr>
          <w:rFonts w:ascii="Arial" w:cs="Arial" w:eastAsia="Arial" w:hAnsi="Arial"/>
          <w:b/>
          <w:bCs/>
          <w:color w:val="2D2D2D"/>
          <w:sz w:val="22"/>
          <w:szCs w:val="22"/>
        </w:rPr>
        <w:t xml:space="preserve">R-08: </w:t>
      </w:r>
      <w:r>
        <w:rPr>
          <w:rFonts w:ascii="Arial" w:cs="Arial" w:eastAsia="Arial" w:hAnsi="Arial"/>
          <w:color w:val="2D2D2D"/>
          <w:sz w:val="22"/>
          <w:szCs w:val="22"/>
        </w:rPr>
        <w:t xml:space="preserve">Desarrollar al menos un minijuego completamente original (no basado en IP existente) que se convierta en la identidad mecánica propia de Rappibellion.</w:t>
      </w:r>
    </w:p>
    <w:p>
      <w:pPr>
        <w:pStyle w:val="ListParagraph"/>
        <w:numPr>
          <w:ilvl w:val="0"/>
          <w:numId w:val="2"/>
        </w:numPr>
        <w:spacing w:before="40" w:after="60"/>
      </w:pPr>
      <w:r>
        <w:rPr>
          <w:rFonts w:ascii="Arial" w:cs="Arial" w:eastAsia="Arial" w:hAnsi="Arial"/>
          <w:b/>
          <w:bCs/>
          <w:color w:val="2D2D2D"/>
          <w:sz w:val="22"/>
          <w:szCs w:val="22"/>
        </w:rPr>
        <w:t xml:space="preserve">R-09: </w:t>
      </w:r>
      <w:r>
        <w:rPr>
          <w:rFonts w:ascii="Arial" w:cs="Arial" w:eastAsia="Arial" w:hAnsi="Arial"/>
          <w:color w:val="2D2D2D"/>
          <w:sz w:val="22"/>
          <w:szCs w:val="22"/>
        </w:rPr>
        <w:t xml:space="preserve">Implementar un sistema de identidad pública para los miembros clave del equipo con backgrounds verificables, especialmente los responsables del tesoro y la economía del token.</w:t>
      </w:r>
    </w:p>
    <w:p>
      <w:pPr>
        <w:pStyle w:val="ListParagraph"/>
        <w:numPr>
          <w:ilvl w:val="0"/>
          <w:numId w:val="2"/>
        </w:numPr>
        <w:spacing w:before="40" w:after="60"/>
      </w:pPr>
      <w:r>
        <w:rPr>
          <w:rFonts w:ascii="Arial" w:cs="Arial" w:eastAsia="Arial" w:hAnsi="Arial"/>
          <w:b/>
          <w:bCs/>
          <w:color w:val="2D2D2D"/>
          <w:sz w:val="22"/>
          <w:szCs w:val="22"/>
        </w:rPr>
        <w:t xml:space="preserve">R-10: </w:t>
      </w:r>
      <w:r>
        <w:rPr>
          <w:rFonts w:ascii="Arial" w:cs="Arial" w:eastAsia="Arial" w:hAnsi="Arial"/>
          <w:color w:val="2D2D2D"/>
          <w:sz w:val="22"/>
          <w:szCs w:val="22"/>
        </w:rPr>
        <w:t xml:space="preserve">Estandarizar el lenguaje del sitio al español con terminología técnica en inglés solo donde sea necesario, mejorando la coherencia para el mercado hispanohablante objetivo.</w:t>
      </w:r>
    </w:p>
    <w:p>
      <w:pPr>
        <w:pStyle w:val="ListParagraph"/>
        <w:numPr>
          <w:ilvl w:val="0"/>
          <w:numId w:val="2"/>
        </w:numPr>
        <w:spacing w:before="40" w:after="60"/>
      </w:pPr>
      <w:r>
        <w:rPr>
          <w:rFonts w:ascii="Arial" w:cs="Arial" w:eastAsia="Arial" w:hAnsi="Arial"/>
          <w:b/>
          <w:bCs/>
          <w:color w:val="2D2D2D"/>
          <w:sz w:val="22"/>
          <w:szCs w:val="22"/>
        </w:rPr>
        <w:t xml:space="preserve">R-11: </w:t>
      </w:r>
      <w:r>
        <w:rPr>
          <w:rFonts w:ascii="Arial" w:cs="Arial" w:eastAsia="Arial" w:hAnsi="Arial"/>
          <w:color w:val="2D2D2D"/>
          <w:sz w:val="22"/>
          <w:szCs w:val="22"/>
        </w:rPr>
        <w:t xml:space="preserve">Establecer alianzas con influencers o comunidades de gaming blockchain en LATAM antes del lanzamiento Android para garantizar masa crítica de jugadores desde el día 1.</w:t>
      </w:r>
    </w:p>
    <w:p>
      <w:pPr>
        <w:spacing w:before="80" w:after="80"/>
      </w:pPr>
      <w:r>
        <w:t xml:space="preserve"/>
      </w:r>
    </w:p>
    <w:p>
      <w:pPr>
        <w:pStyle w:val="Heading1"/>
        <w:pBdr>
          <w:bottom w:val="single" w:color="E94560" w:sz="4" w:space="4"/>
        </w:pBdr>
        <w:spacing w:before="360" w:after="160"/>
      </w:pPr>
      <w:r>
        <w:rPr>
          <w:rFonts w:ascii="Arial" w:cs="Arial" w:eastAsia="Arial" w:hAnsi="Arial"/>
          <w:b/>
          <w:bCs/>
          <w:color w:val="1A1A2E"/>
          <w:sz w:val="36"/>
          <w:szCs w:val="36"/>
        </w:rPr>
        <w:t xml:space="preserve">10. CONCLUSIÓN</w:t>
      </w:r>
    </w:p>
    <w:p>
      <w:pPr>
        <w:spacing w:before="80" w:after="120"/>
        <w:jc w:val="both"/>
      </w:pPr>
      <w:r>
        <w:rPr>
          <w:rFonts w:ascii="Arial" w:cs="Arial" w:eastAsia="Arial" w:hAnsi="Arial"/>
          <w:color w:val="2D2D2D"/>
          <w:sz w:val="22"/>
          <w:szCs w:val="22"/>
        </w:rPr>
        <w:t xml:space="preserve">Rappibellion es uno de los proyectos de gaming blockchain más conceptualmente interesantes que un estudio indie latinoamericano ha producido en su segmento. La propuesta Think-to-Earn tiene fundamentos filosóficos y mecánicos sólidos que responden a un problema real del mercado P2E. La dirección artística cyberpunk es consistente y genuina, y la narrativa multi-capítulo demuestra ambición creativa que va más allá del promedio del sector.</w:t>
      </w:r>
    </w:p>
    <w:p>
      <w:pPr>
        <w:spacing w:before="80" w:after="120"/>
        <w:jc w:val="both"/>
      </w:pPr>
      <w:r>
        <w:rPr>
          <w:rFonts w:ascii="Arial" w:cs="Arial" w:eastAsia="Arial" w:hAnsi="Arial"/>
          <w:color w:val="2D2D2D"/>
          <w:sz w:val="22"/>
          <w:szCs w:val="22"/>
        </w:rPr>
        <w:t xml:space="preserve">Sin embargo, el proyecto se encuentra en una encrucijada crítica: la brecha entre la visión conceptual (muy sólida) y la ejecución técnica/legal (en desarrollo temprano) es significativa. Las brechas más urgentes son la ausencia de auditoría del smart contract, la presencia de un modal de compra directa sin backend real, y la ausencia de un marco legal claro para el modelo de apuestas.</w:t>
      </w:r>
    </w:p>
    <w:p>
      <w:pPr>
        <w:spacing w:before="80" w:after="120"/>
        <w:jc w:val="both"/>
      </w:pPr>
      <w:r>
        <w:rPr>
          <w:rFonts w:ascii="Arial" w:cs="Arial" w:eastAsia="Arial" w:hAnsi="Arial"/>
          <w:color w:val="2D2D2D"/>
          <w:sz w:val="22"/>
          <w:szCs w:val="22"/>
        </w:rPr>
        <w:t xml:space="preserve">Si el equipo ejecuta las recomendaciones críticas e inmediatas en los próximos 30 días y mantiene el ritmo de desarrollo hacia el lanzamiento Android en Q1 2026, el proyecto tiene potencial real de convertirse en una referencia del gaming T2E para el ecosistema latinoamericano. El concepto merece esa oportunidad.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40"/>
              <w:left w:type="dxa" w:w="200"/>
              <w:bottom w:type="dxa" w:w="140"/>
              <w:right w:type="dxa" w:w="200"/>
            </w:tcMar>
          </w:tcPr>
          <w:p>
            <w:pPr>
              <w:jc w:val="center"/>
            </w:pPr>
            <w:r>
              <w:rPr>
                <w:rFonts w:ascii="Arial" w:cs="Arial" w:eastAsia="Arial" w:hAnsi="Arial"/>
                <w:b/>
                <w:bCs/>
                <w:color w:val="1A1A2E"/>
                <w:sz w:val="26"/>
                <w:szCs w:val="26"/>
              </w:rPr>
              <w:t xml:space="preserve">VEREDICTO FINAL</w:t>
            </w:r>
          </w:p>
          <w:p>
            <w:pPr>
              <w:jc w:val="center"/>
            </w:pPr>
            <w:r>
              <w:rPr>
                <w:rFonts w:ascii="Arial" w:cs="Arial" w:eastAsia="Arial" w:hAnsi="Arial"/>
                <w:i/>
                <w:iCs/>
                <w:color w:val="2D2D2D"/>
                <w:sz w:val="22"/>
                <w:szCs w:val="22"/>
              </w:rPr>
              <w:t xml:space="preserve">El cerebro del proyecto funciona. El cuerpo necesita más trabajo.</w:t>
            </w:r>
          </w:p>
          <w:p>
            <w:pPr>
              <w:jc w:val="center"/>
            </w:pPr>
            <w:r>
              <w:rPr>
                <w:rFonts w:ascii="Arial" w:cs="Arial" w:eastAsia="Arial" w:hAnsi="Arial"/>
                <w:b/>
                <w:bCs/>
                <w:color w:val="E94560"/>
                <w:sz w:val="20"/>
                <w:szCs w:val="20"/>
              </w:rPr>
              <w:t xml:space="preserve">POTENCIAL ALTO — RIESGO DE EJECUCIÓN MEDIO-ALTO — SEGUIMIENTO RECOMENDADO</w:t>
            </w:r>
          </w:p>
        </w:tc>
      </w:tr>
    </w:tbl>
    <w:p>
      <w:pPr>
        <w:spacing w:before="80" w:after="80"/>
      </w:pPr>
      <w:r>
        <w:t xml:space="preserve"/>
      </w:r>
    </w:p>
    <w:p>
      <w:pPr>
        <w:spacing w:before="80" w:after="80"/>
      </w:pPr>
      <w:r>
        <w:t xml:space="preserve"/>
      </w:r>
    </w:p>
    <w:p>
      <w:pPr>
        <w:pBdr>
          <w:top w:val="single" w:color="DDDDDD" w:sz="2" w:space="8"/>
        </w:pBdr>
        <w:spacing w:before="200"/>
        <w:jc w:val="center"/>
      </w:pPr>
      <w:r>
        <w:rPr>
          <w:rFonts w:ascii="Arial" w:cs="Arial" w:eastAsia="Arial" w:hAnsi="Arial"/>
          <w:i/>
          <w:iCs/>
          <w:color w:val="888888"/>
          <w:sz w:val="18"/>
          <w:szCs w:val="18"/>
        </w:rPr>
        <w:t xml:space="preserve">Informe preparado con metodología de análisis de primer nivel. Datos basados en contenido público del sitio rappibellion.com a marzo 2026.</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888888"/>
        <w:sz w:val="18"/>
        <w:szCs w:val="18"/>
      </w:rPr>
      <w:t xml:space="preserve">Informe Confidencial — Marzo 2026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spacing w:after="120"/>
    </w:pPr>
    <w:r>
      <w:rPr>
        <w:rFonts w:ascii="Arial" w:cs="Arial" w:eastAsia="Arial" w:hAnsi="Arial"/>
        <w:b/>
        <w:bCs/>
        <w:color w:val="1A1A2E"/>
        <w:sz w:val="18"/>
        <w:szCs w:val="18"/>
      </w:rPr>
      <w:t xml:space="preserve">RAPPIBELLION.COM — ANÁLISIS DE PRIMER NIVEL</w:t>
    </w:r>
    <w:r>
      <w:rPr>
        <w:rFonts w:ascii="Arial" w:cs="Arial" w:eastAsia="Arial" w:hAnsi="Arial"/>
        <w:color w:val="888888"/>
        <w:sz w:val="16"/>
        <w:szCs w:val="16"/>
      </w:rPr>
      <w:t xml:space="preserve">          Bits Lab / Biointeligencia Artificial Technologies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2026-03-29T13:38:29.569Z</dcterms:created>
  <dcterms:modified xsi:type="dcterms:W3CDTF">2026-03-29T13:38:29.570Z</dcterms:modified>
</cp:coreProperties>
</file>

<file path=docProps/custom.xml><?xml version="1.0" encoding="utf-8"?>
<Properties xmlns="http://schemas.openxmlformats.org/officeDocument/2006/custom-properties" xmlns:vt="http://schemas.openxmlformats.org/officeDocument/2006/docPropsVTypes"/>
</file>