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98652F" w14:textId="77777777" w:rsidR="0099381E" w:rsidRPr="00E51CBA" w:rsidRDefault="008710DC" w:rsidP="004572B1">
      <w:pPr>
        <w:spacing w:line="480" w:lineRule="auto"/>
        <w:rPr>
          <w:rFonts w:ascii="Garamond" w:hAnsi="Garamond" w:cs="Times New Roman"/>
        </w:rPr>
      </w:pPr>
      <w:r w:rsidRPr="00E51CBA">
        <w:rPr>
          <w:rFonts w:ascii="Garamond" w:hAnsi="Garamond" w:cs="Times New Roman"/>
        </w:rPr>
        <w:t>Gabriel Drozdov</w:t>
      </w:r>
    </w:p>
    <w:p w14:paraId="7D6EA485" w14:textId="31916A15" w:rsidR="008710DC" w:rsidRPr="00E51CBA" w:rsidRDefault="00FE55E9" w:rsidP="004572B1">
      <w:pPr>
        <w:spacing w:line="480" w:lineRule="auto"/>
        <w:rPr>
          <w:rFonts w:ascii="Garamond" w:hAnsi="Garamond" w:cs="Times New Roman"/>
        </w:rPr>
      </w:pPr>
      <w:r>
        <w:rPr>
          <w:rFonts w:ascii="Garamond" w:hAnsi="Garamond" w:cs="Times New Roman"/>
          <w:bCs/>
        </w:rPr>
        <w:t xml:space="preserve">Prof. </w:t>
      </w:r>
      <w:bookmarkStart w:id="0" w:name="_GoBack"/>
      <w:bookmarkEnd w:id="0"/>
      <w:r w:rsidR="004D7A83">
        <w:rPr>
          <w:rFonts w:ascii="Garamond" w:hAnsi="Garamond" w:cs="Times New Roman"/>
          <w:bCs/>
        </w:rPr>
        <w:t>Brewer Ball</w:t>
      </w:r>
    </w:p>
    <w:p w14:paraId="18AA8A9D" w14:textId="3F840446" w:rsidR="008710DC" w:rsidRPr="00E51CBA" w:rsidRDefault="0056146B" w:rsidP="004572B1">
      <w:pPr>
        <w:widowControl w:val="0"/>
        <w:autoSpaceDE w:val="0"/>
        <w:autoSpaceDN w:val="0"/>
        <w:adjustRightInd w:val="0"/>
        <w:spacing w:line="480" w:lineRule="auto"/>
        <w:rPr>
          <w:rFonts w:ascii="Garamond" w:hAnsi="Garamond" w:cs="Times New Roman"/>
          <w:bCs/>
        </w:rPr>
      </w:pPr>
      <w:r>
        <w:rPr>
          <w:rFonts w:ascii="Garamond" w:hAnsi="Garamond" w:cs="Times New Roman"/>
          <w:bCs/>
        </w:rPr>
        <w:t>THEA 203: Special Topics in Theater History</w:t>
      </w:r>
    </w:p>
    <w:p w14:paraId="61946C18" w14:textId="77777777" w:rsidR="00820F92" w:rsidRPr="00E51CBA" w:rsidRDefault="00820F92" w:rsidP="004572B1">
      <w:pPr>
        <w:widowControl w:val="0"/>
        <w:autoSpaceDE w:val="0"/>
        <w:autoSpaceDN w:val="0"/>
        <w:adjustRightInd w:val="0"/>
        <w:spacing w:line="480" w:lineRule="auto"/>
        <w:rPr>
          <w:rFonts w:ascii="Garamond" w:hAnsi="Garamond" w:cs="Times New Roman"/>
          <w:bCs/>
        </w:rPr>
      </w:pPr>
      <w:r w:rsidRPr="00E51CBA">
        <w:rPr>
          <w:rFonts w:ascii="Garamond" w:hAnsi="Garamond" w:cs="Times New Roman"/>
          <w:bCs/>
        </w:rPr>
        <w:t>26 September 2016</w:t>
      </w:r>
    </w:p>
    <w:p w14:paraId="1603C45D" w14:textId="14129819" w:rsidR="00820F92" w:rsidRPr="00582C30" w:rsidRDefault="00AA7912" w:rsidP="004572B1">
      <w:pPr>
        <w:widowControl w:val="0"/>
        <w:autoSpaceDE w:val="0"/>
        <w:autoSpaceDN w:val="0"/>
        <w:adjustRightInd w:val="0"/>
        <w:spacing w:line="480" w:lineRule="auto"/>
        <w:jc w:val="center"/>
        <w:rPr>
          <w:rFonts w:ascii="Garamond" w:hAnsi="Garamond" w:cs="Times New Roman"/>
        </w:rPr>
      </w:pPr>
      <w:r>
        <w:rPr>
          <w:rFonts w:ascii="Garamond" w:hAnsi="Garamond" w:cs="Times New Roman"/>
        </w:rPr>
        <w:t>Talk</w:t>
      </w:r>
    </w:p>
    <w:p w14:paraId="0CC2DC91" w14:textId="543DCCFE" w:rsidR="00853430" w:rsidRPr="00E51CBA" w:rsidRDefault="00853430" w:rsidP="00853430">
      <w:pPr>
        <w:widowControl w:val="0"/>
        <w:autoSpaceDE w:val="0"/>
        <w:autoSpaceDN w:val="0"/>
        <w:adjustRightInd w:val="0"/>
        <w:spacing w:line="480" w:lineRule="auto"/>
        <w:rPr>
          <w:rFonts w:ascii="Garamond" w:hAnsi="Garamond" w:cs="Times New Roman"/>
        </w:rPr>
      </w:pPr>
      <w:r w:rsidRPr="00E51CBA">
        <w:rPr>
          <w:rFonts w:ascii="Garamond" w:hAnsi="Garamond" w:cs="Times New Roman"/>
          <w:i/>
        </w:rPr>
        <w:tab/>
      </w:r>
      <w:r w:rsidR="0068682C" w:rsidRPr="00E51CBA">
        <w:rPr>
          <w:rFonts w:ascii="Garamond" w:hAnsi="Garamond" w:cs="Times New Roman"/>
        </w:rPr>
        <w:t>“I’m very excited by work that speaks many different languages and can talk to many different people.” —</w:t>
      </w:r>
      <w:r w:rsidR="0068682C" w:rsidRPr="00E51CBA">
        <w:rPr>
          <w:rFonts w:ascii="Garamond" w:hAnsi="Garamond" w:cs="Times New Roman"/>
          <w:i/>
        </w:rPr>
        <w:t xml:space="preserve">Kaneza Schaal, in </w:t>
      </w:r>
      <w:r w:rsidR="00E51CBA" w:rsidRPr="00E51CBA">
        <w:rPr>
          <w:rFonts w:ascii="Garamond" w:hAnsi="Garamond" w:cs="Times New Roman"/>
          <w:i/>
        </w:rPr>
        <w:t xml:space="preserve">an </w:t>
      </w:r>
      <w:r w:rsidR="0068682C" w:rsidRPr="00E51CBA">
        <w:rPr>
          <w:rFonts w:ascii="Garamond" w:hAnsi="Garamond" w:cs="Times New Roman"/>
          <w:i/>
        </w:rPr>
        <w:t>interview with BRIC TV</w:t>
      </w:r>
    </w:p>
    <w:p w14:paraId="2C83179B" w14:textId="73086527" w:rsidR="0068682C" w:rsidRDefault="0068682C" w:rsidP="00853430">
      <w:pPr>
        <w:widowControl w:val="0"/>
        <w:autoSpaceDE w:val="0"/>
        <w:autoSpaceDN w:val="0"/>
        <w:adjustRightInd w:val="0"/>
        <w:spacing w:line="480" w:lineRule="auto"/>
        <w:rPr>
          <w:rFonts w:ascii="Garamond" w:hAnsi="Garamond" w:cs="Times New Roman"/>
        </w:rPr>
      </w:pPr>
      <w:r w:rsidRPr="00E51CBA">
        <w:rPr>
          <w:rFonts w:ascii="Garamond" w:hAnsi="Garamond" w:cs="Times New Roman"/>
        </w:rPr>
        <w:tab/>
      </w:r>
      <w:r w:rsidRPr="00E51CBA">
        <w:rPr>
          <w:rFonts w:ascii="Garamond" w:hAnsi="Garamond" w:cs="Times New Roman"/>
          <w:i/>
        </w:rPr>
        <w:t xml:space="preserve">Go Forth </w:t>
      </w:r>
      <w:r w:rsidRPr="00E51CBA">
        <w:rPr>
          <w:rFonts w:ascii="Garamond" w:hAnsi="Garamond" w:cs="Times New Roman"/>
        </w:rPr>
        <w:t>is</w:t>
      </w:r>
      <w:r w:rsidR="0016387C">
        <w:rPr>
          <w:rFonts w:ascii="Garamond" w:hAnsi="Garamond" w:cs="Times New Roman"/>
        </w:rPr>
        <w:t xml:space="preserve"> equal parts strange and familiar. The avant-garde </w:t>
      </w:r>
      <w:r w:rsidR="004A16C2">
        <w:rPr>
          <w:rFonts w:ascii="Garamond" w:hAnsi="Garamond" w:cs="Times New Roman"/>
        </w:rPr>
        <w:t>interpretation</w:t>
      </w:r>
      <w:r w:rsidR="0016387C">
        <w:rPr>
          <w:rFonts w:ascii="Garamond" w:hAnsi="Garamond" w:cs="Times New Roman"/>
        </w:rPr>
        <w:t xml:space="preserve"> of the Egyptian </w:t>
      </w:r>
      <w:r w:rsidR="0016387C" w:rsidRPr="0016387C">
        <w:rPr>
          <w:rFonts w:ascii="Garamond" w:hAnsi="Garamond" w:cs="Times New Roman"/>
          <w:i/>
        </w:rPr>
        <w:t>Book of the Dead</w:t>
      </w:r>
      <w:r w:rsidR="0016387C">
        <w:rPr>
          <w:rFonts w:ascii="Garamond" w:hAnsi="Garamond" w:cs="Times New Roman"/>
        </w:rPr>
        <w:t xml:space="preserve"> (better translated as </w:t>
      </w:r>
      <w:r w:rsidR="0016387C" w:rsidRPr="0016387C">
        <w:rPr>
          <w:rFonts w:ascii="Garamond" w:hAnsi="Garamond" w:cs="Times New Roman"/>
          <w:i/>
        </w:rPr>
        <w:t>Going Forth by Day</w:t>
      </w:r>
      <w:r w:rsidR="00147A38">
        <w:rPr>
          <w:rFonts w:ascii="Garamond" w:hAnsi="Garamond" w:cs="Times New Roman"/>
        </w:rPr>
        <w:t xml:space="preserve">) </w:t>
      </w:r>
      <w:r w:rsidR="00A7041D">
        <w:rPr>
          <w:rFonts w:ascii="Garamond" w:hAnsi="Garamond" w:cs="Times New Roman"/>
        </w:rPr>
        <w:t xml:space="preserve">plays with the hefty role of translating its funerary canon into something empathetically understood by the </w:t>
      </w:r>
      <w:r w:rsidR="000C37CD">
        <w:rPr>
          <w:rFonts w:ascii="Garamond" w:hAnsi="Garamond" w:cs="Times New Roman"/>
        </w:rPr>
        <w:t xml:space="preserve">audience. </w:t>
      </w:r>
      <w:r w:rsidR="00CF25B8">
        <w:rPr>
          <w:rFonts w:ascii="Garamond" w:hAnsi="Garamond" w:cs="Times New Roman"/>
        </w:rPr>
        <w:t xml:space="preserve">Author Kaneza Schaal </w:t>
      </w:r>
      <w:r w:rsidR="000F7034">
        <w:rPr>
          <w:rFonts w:ascii="Garamond" w:hAnsi="Garamond" w:cs="Times New Roman"/>
        </w:rPr>
        <w:t>wastes no body nor space</w:t>
      </w:r>
      <w:r w:rsidR="00376D4D">
        <w:rPr>
          <w:rFonts w:ascii="Garamond" w:hAnsi="Garamond" w:cs="Times New Roman"/>
        </w:rPr>
        <w:t xml:space="preserve"> in her efforts </w:t>
      </w:r>
      <w:r w:rsidR="00BF2B19">
        <w:rPr>
          <w:rFonts w:ascii="Garamond" w:hAnsi="Garamond" w:cs="Times New Roman"/>
        </w:rPr>
        <w:t>to captivate her crowd</w:t>
      </w:r>
      <w:r w:rsidR="00166915">
        <w:rPr>
          <w:rFonts w:ascii="Garamond" w:hAnsi="Garamond" w:cs="Times New Roman"/>
        </w:rPr>
        <w:t>, as we</w:t>
      </w:r>
      <w:r w:rsidR="0093044E">
        <w:rPr>
          <w:rFonts w:ascii="Garamond" w:hAnsi="Garamond" w:cs="Times New Roman"/>
        </w:rPr>
        <w:t xml:space="preserve"> are guided through the posthumous journey</w:t>
      </w:r>
      <w:r w:rsidR="00166915">
        <w:rPr>
          <w:rFonts w:ascii="Garamond" w:hAnsi="Garamond" w:cs="Times New Roman"/>
        </w:rPr>
        <w:t xml:space="preserve"> f</w:t>
      </w:r>
      <w:r w:rsidR="000F7034">
        <w:rPr>
          <w:rFonts w:ascii="Garamond" w:hAnsi="Garamond" w:cs="Times New Roman"/>
        </w:rPr>
        <w:t xml:space="preserve">rom </w:t>
      </w:r>
      <w:r w:rsidR="00166915">
        <w:rPr>
          <w:rFonts w:ascii="Garamond" w:hAnsi="Garamond" w:cs="Times New Roman"/>
        </w:rPr>
        <w:t xml:space="preserve">our descent </w:t>
      </w:r>
      <w:r w:rsidR="000F7034">
        <w:rPr>
          <w:rFonts w:ascii="Garamond" w:hAnsi="Garamond" w:cs="Times New Roman"/>
        </w:rPr>
        <w:t>into the theater’s crypt-like enclosure</w:t>
      </w:r>
      <w:r w:rsidR="00166915">
        <w:rPr>
          <w:rFonts w:ascii="Garamond" w:hAnsi="Garamond" w:cs="Times New Roman"/>
        </w:rPr>
        <w:t xml:space="preserve"> to the play’s abrupt and comical conclusion.</w:t>
      </w:r>
      <w:r w:rsidR="0093044E">
        <w:rPr>
          <w:rFonts w:ascii="Garamond" w:hAnsi="Garamond" w:cs="Times New Roman"/>
        </w:rPr>
        <w:t xml:space="preserve"> Suffice to say, the </w:t>
      </w:r>
      <w:r w:rsidR="006C0B99">
        <w:rPr>
          <w:rFonts w:ascii="Garamond" w:hAnsi="Garamond" w:cs="Times New Roman"/>
        </w:rPr>
        <w:t xml:space="preserve">holistic experience was frightening, funny, fiendish and friendly, but still very </w:t>
      </w:r>
      <w:r w:rsidR="006C0B99" w:rsidRPr="001B461B">
        <w:rPr>
          <w:rFonts w:ascii="Garamond" w:hAnsi="Garamond" w:cs="Times New Roman"/>
          <w:i/>
        </w:rPr>
        <w:t>odd</w:t>
      </w:r>
      <w:r w:rsidR="006C0B99">
        <w:rPr>
          <w:rFonts w:ascii="Garamond" w:hAnsi="Garamond" w:cs="Times New Roman"/>
        </w:rPr>
        <w:t>.</w:t>
      </w:r>
      <w:r w:rsidR="00D82AA1">
        <w:rPr>
          <w:rFonts w:ascii="Garamond" w:hAnsi="Garamond" w:cs="Times New Roman"/>
        </w:rPr>
        <w:t xml:space="preserve"> </w:t>
      </w:r>
      <w:r w:rsidR="004F5F63">
        <w:rPr>
          <w:rFonts w:ascii="Garamond" w:hAnsi="Garamond" w:cs="Times New Roman"/>
          <w:i/>
        </w:rPr>
        <w:t>Go Forth</w:t>
      </w:r>
      <w:r w:rsidR="004F5F63">
        <w:rPr>
          <w:rFonts w:ascii="Garamond" w:hAnsi="Garamond" w:cs="Times New Roman"/>
        </w:rPr>
        <w:t xml:space="preserve"> was odd</w:t>
      </w:r>
      <w:r w:rsidR="00D82AA1">
        <w:rPr>
          <w:rFonts w:ascii="Garamond" w:hAnsi="Garamond" w:cs="Times New Roman"/>
        </w:rPr>
        <w:t xml:space="preserve"> to the extent that </w:t>
      </w:r>
      <w:r w:rsidR="004F0079">
        <w:rPr>
          <w:rFonts w:ascii="Garamond" w:hAnsi="Garamond" w:cs="Times New Roman"/>
        </w:rPr>
        <w:t xml:space="preserve">an audience less versed with the avant-garde may have </w:t>
      </w:r>
      <w:r w:rsidR="00681507">
        <w:rPr>
          <w:rFonts w:ascii="Garamond" w:hAnsi="Garamond" w:cs="Times New Roman"/>
        </w:rPr>
        <w:t>mentally tapped out</w:t>
      </w:r>
      <w:r w:rsidR="00D65008">
        <w:rPr>
          <w:rFonts w:ascii="Garamond" w:hAnsi="Garamond" w:cs="Times New Roman"/>
        </w:rPr>
        <w:t xml:space="preserve"> </w:t>
      </w:r>
      <w:r w:rsidR="007662E8">
        <w:rPr>
          <w:rFonts w:ascii="Garamond" w:hAnsi="Garamond" w:cs="Times New Roman"/>
        </w:rPr>
        <w:t xml:space="preserve">from </w:t>
      </w:r>
      <w:r w:rsidR="00D65008">
        <w:rPr>
          <w:rFonts w:ascii="Garamond" w:hAnsi="Garamond" w:cs="Times New Roman"/>
        </w:rPr>
        <w:t>the</w:t>
      </w:r>
      <w:r w:rsidR="007662E8">
        <w:rPr>
          <w:rFonts w:ascii="Garamond" w:hAnsi="Garamond" w:cs="Times New Roman"/>
        </w:rPr>
        <w:t xml:space="preserve"> difficult</w:t>
      </w:r>
      <w:r w:rsidR="00D65008">
        <w:rPr>
          <w:rFonts w:ascii="Garamond" w:hAnsi="Garamond" w:cs="Times New Roman"/>
        </w:rPr>
        <w:t xml:space="preserve"> </w:t>
      </w:r>
      <w:r w:rsidR="00681507">
        <w:rPr>
          <w:rFonts w:ascii="Garamond" w:hAnsi="Garamond" w:cs="Times New Roman"/>
        </w:rPr>
        <w:t xml:space="preserve">production </w:t>
      </w:r>
      <w:r w:rsidR="006C0AFA">
        <w:rPr>
          <w:rFonts w:ascii="Garamond" w:hAnsi="Garamond" w:cs="Times New Roman"/>
        </w:rPr>
        <w:t>despite Schaal’s attempt</w:t>
      </w:r>
      <w:r w:rsidR="007662E8">
        <w:rPr>
          <w:rFonts w:ascii="Garamond" w:hAnsi="Garamond" w:cs="Times New Roman"/>
        </w:rPr>
        <w:t xml:space="preserve"> to </w:t>
      </w:r>
      <w:r w:rsidR="008530B3">
        <w:rPr>
          <w:rFonts w:ascii="Garamond" w:hAnsi="Garamond" w:cs="Times New Roman"/>
        </w:rPr>
        <w:t>intrigue everyone</w:t>
      </w:r>
      <w:r w:rsidR="00B501F7">
        <w:rPr>
          <w:rFonts w:ascii="Garamond" w:hAnsi="Garamond" w:cs="Times New Roman"/>
        </w:rPr>
        <w:t>, at least</w:t>
      </w:r>
      <w:r w:rsidR="00FC5004">
        <w:rPr>
          <w:rFonts w:ascii="Garamond" w:hAnsi="Garamond" w:cs="Times New Roman"/>
        </w:rPr>
        <w:t xml:space="preserve"> to the point </w:t>
      </w:r>
      <w:r w:rsidR="00B3691E">
        <w:rPr>
          <w:rFonts w:ascii="Garamond" w:hAnsi="Garamond" w:cs="Times New Roman"/>
        </w:rPr>
        <w:t xml:space="preserve">where an individual is inclined </w:t>
      </w:r>
      <w:r w:rsidR="00B27B05">
        <w:rPr>
          <w:rFonts w:ascii="Garamond" w:hAnsi="Garamond" w:cs="Times New Roman"/>
        </w:rPr>
        <w:t xml:space="preserve">to </w:t>
      </w:r>
      <w:r w:rsidR="00B3691E">
        <w:rPr>
          <w:rFonts w:ascii="Garamond" w:hAnsi="Garamond" w:cs="Times New Roman"/>
        </w:rPr>
        <w:t xml:space="preserve">feel their way through the play, even if </w:t>
      </w:r>
      <w:r w:rsidR="00B27B05">
        <w:rPr>
          <w:rFonts w:ascii="Garamond" w:hAnsi="Garamond" w:cs="Times New Roman"/>
        </w:rPr>
        <w:t>the individual does</w:t>
      </w:r>
      <w:r w:rsidR="00B3691E">
        <w:rPr>
          <w:rFonts w:ascii="Garamond" w:hAnsi="Garamond" w:cs="Times New Roman"/>
        </w:rPr>
        <w:t xml:space="preserve"> not understand the work as a whole.</w:t>
      </w:r>
    </w:p>
    <w:p w14:paraId="1533CC2E" w14:textId="57A38896" w:rsidR="008D7FC5" w:rsidRDefault="00FF0AA7" w:rsidP="00853430">
      <w:pPr>
        <w:widowControl w:val="0"/>
        <w:autoSpaceDE w:val="0"/>
        <w:autoSpaceDN w:val="0"/>
        <w:adjustRightInd w:val="0"/>
        <w:spacing w:line="480" w:lineRule="auto"/>
        <w:rPr>
          <w:rFonts w:ascii="Garamond" w:hAnsi="Garamond" w:cs="Times New Roman"/>
        </w:rPr>
      </w:pPr>
      <w:r>
        <w:rPr>
          <w:rFonts w:ascii="Garamond" w:hAnsi="Garamond" w:cs="Times New Roman"/>
        </w:rPr>
        <w:tab/>
      </w:r>
      <w:r w:rsidR="00F930B6">
        <w:rPr>
          <w:rFonts w:ascii="Garamond" w:hAnsi="Garamond" w:cs="Times New Roman"/>
        </w:rPr>
        <w:t xml:space="preserve">Somehow, I felt that </w:t>
      </w:r>
      <w:r w:rsidR="00F930B6">
        <w:rPr>
          <w:rFonts w:ascii="Garamond" w:hAnsi="Garamond" w:cs="Times New Roman"/>
          <w:i/>
        </w:rPr>
        <w:t>Go Forth</w:t>
      </w:r>
      <w:r w:rsidR="00F930B6">
        <w:rPr>
          <w:rFonts w:ascii="Garamond" w:hAnsi="Garamond" w:cs="Times New Roman"/>
        </w:rPr>
        <w:t xml:space="preserve"> was meant for Wesleyan’s CFA Theater, as the production utilized the space so beautifully that any other location would </w:t>
      </w:r>
      <w:r w:rsidR="00322384">
        <w:rPr>
          <w:rFonts w:ascii="Garamond" w:hAnsi="Garamond" w:cs="Times New Roman"/>
        </w:rPr>
        <w:t>need</w:t>
      </w:r>
      <w:r w:rsidR="00F930B6">
        <w:rPr>
          <w:rFonts w:ascii="Garamond" w:hAnsi="Garamond" w:cs="Times New Roman"/>
        </w:rPr>
        <w:t xml:space="preserve"> to tick many boxes in order to not seem like a compromise. I had to descend a flight of stairs to even arrive at the stage, passing empty seats </w:t>
      </w:r>
      <w:r w:rsidR="001009CF">
        <w:rPr>
          <w:rFonts w:ascii="Garamond" w:hAnsi="Garamond" w:cs="Times New Roman"/>
        </w:rPr>
        <w:t xml:space="preserve">that reminded me we were going somewhere dead and dark, </w:t>
      </w:r>
      <w:r w:rsidR="000E6438">
        <w:rPr>
          <w:rFonts w:ascii="Garamond" w:hAnsi="Garamond" w:cs="Times New Roman"/>
        </w:rPr>
        <w:t xml:space="preserve">where the usual audience is left behind. Art installments along the walls guided me through the vignettes I would </w:t>
      </w:r>
      <w:r w:rsidR="00C11E9A">
        <w:rPr>
          <w:rFonts w:ascii="Garamond" w:hAnsi="Garamond" w:cs="Times New Roman"/>
        </w:rPr>
        <w:t>soon</w:t>
      </w:r>
      <w:r w:rsidR="000E6438">
        <w:rPr>
          <w:rFonts w:ascii="Garamond" w:hAnsi="Garamond" w:cs="Times New Roman"/>
        </w:rPr>
        <w:t xml:space="preserve"> watch, and helped to</w:t>
      </w:r>
      <w:r w:rsidR="0073514F">
        <w:rPr>
          <w:rFonts w:ascii="Garamond" w:hAnsi="Garamond" w:cs="Times New Roman"/>
        </w:rPr>
        <w:t xml:space="preserve"> </w:t>
      </w:r>
      <w:r w:rsidR="00272E88">
        <w:rPr>
          <w:rFonts w:ascii="Garamond" w:hAnsi="Garamond" w:cs="Times New Roman"/>
        </w:rPr>
        <w:t xml:space="preserve">later </w:t>
      </w:r>
      <w:r w:rsidR="000E6438">
        <w:rPr>
          <w:rFonts w:ascii="Garamond" w:hAnsi="Garamond" w:cs="Times New Roman"/>
        </w:rPr>
        <w:t xml:space="preserve">coagulate </w:t>
      </w:r>
      <w:r w:rsidR="0073514F">
        <w:rPr>
          <w:rFonts w:ascii="Garamond" w:hAnsi="Garamond" w:cs="Times New Roman"/>
        </w:rPr>
        <w:t>an abstract</w:t>
      </w:r>
      <w:r w:rsidR="000E6438">
        <w:rPr>
          <w:rFonts w:ascii="Garamond" w:hAnsi="Garamond" w:cs="Times New Roman"/>
        </w:rPr>
        <w:t xml:space="preserve"> plot </w:t>
      </w:r>
      <w:r w:rsidR="0073514F">
        <w:rPr>
          <w:rFonts w:ascii="Garamond" w:hAnsi="Garamond" w:cs="Times New Roman"/>
        </w:rPr>
        <w:t>from the often detached scenes</w:t>
      </w:r>
      <w:r w:rsidR="00CD746C">
        <w:rPr>
          <w:rFonts w:ascii="Garamond" w:hAnsi="Garamond" w:cs="Times New Roman"/>
        </w:rPr>
        <w:t xml:space="preserve"> of the </w:t>
      </w:r>
      <w:r w:rsidR="00E856E5">
        <w:rPr>
          <w:rFonts w:ascii="Garamond" w:hAnsi="Garamond" w:cs="Times New Roman"/>
        </w:rPr>
        <w:t>performance</w:t>
      </w:r>
      <w:r w:rsidR="0073514F">
        <w:rPr>
          <w:rFonts w:ascii="Garamond" w:hAnsi="Garamond" w:cs="Times New Roman"/>
        </w:rPr>
        <w:t>.</w:t>
      </w:r>
      <w:r w:rsidR="00A31F8F">
        <w:rPr>
          <w:rFonts w:ascii="Garamond" w:hAnsi="Garamond" w:cs="Times New Roman"/>
        </w:rPr>
        <w:t xml:space="preserve"> Strangest of all, a man sat motionless in front of the temporary wall that enclosed the performance </w:t>
      </w:r>
      <w:r w:rsidR="00A31F8F">
        <w:rPr>
          <w:rFonts w:ascii="Garamond" w:hAnsi="Garamond" w:cs="Times New Roman"/>
        </w:rPr>
        <w:lastRenderedPageBreak/>
        <w:t xml:space="preserve">space. This man sat with the stage’s ghost light, providing an eerie </w:t>
      </w:r>
      <w:r w:rsidR="00AC31AB">
        <w:rPr>
          <w:rFonts w:ascii="Garamond" w:hAnsi="Garamond" w:cs="Times New Roman"/>
        </w:rPr>
        <w:t xml:space="preserve">image </w:t>
      </w:r>
      <w:r w:rsidR="00220F3A">
        <w:rPr>
          <w:rFonts w:ascii="Garamond" w:hAnsi="Garamond" w:cs="Times New Roman"/>
        </w:rPr>
        <w:t xml:space="preserve">and tone </w:t>
      </w:r>
      <w:r w:rsidR="00AC31AB">
        <w:rPr>
          <w:rFonts w:ascii="Garamond" w:hAnsi="Garamond" w:cs="Times New Roman"/>
        </w:rPr>
        <w:t>that was only exacerbated once I entered the performance space.</w:t>
      </w:r>
    </w:p>
    <w:p w14:paraId="5FA6EA7F" w14:textId="68A0090A" w:rsidR="00AC31AB" w:rsidRDefault="00AC31AB" w:rsidP="002B3A33">
      <w:pPr>
        <w:widowControl w:val="0"/>
        <w:autoSpaceDE w:val="0"/>
        <w:autoSpaceDN w:val="0"/>
        <w:adjustRightInd w:val="0"/>
        <w:spacing w:line="480" w:lineRule="auto"/>
        <w:ind w:firstLine="720"/>
        <w:rPr>
          <w:rFonts w:ascii="Garamond" w:hAnsi="Garamond" w:cs="Times New Roman"/>
        </w:rPr>
      </w:pPr>
      <w:r>
        <w:rPr>
          <w:rFonts w:ascii="Garamond" w:hAnsi="Garamond" w:cs="Times New Roman"/>
        </w:rPr>
        <w:t>There was no ghost light inside, as there was barely light at all.</w:t>
      </w:r>
      <w:r w:rsidR="00500A40">
        <w:rPr>
          <w:rFonts w:ascii="Garamond" w:hAnsi="Garamond" w:cs="Times New Roman"/>
        </w:rPr>
        <w:t xml:space="preserve"> In the corner stood a couple of </w:t>
      </w:r>
      <w:r w:rsidR="00336E91">
        <w:rPr>
          <w:rFonts w:ascii="Garamond" w:hAnsi="Garamond" w:cs="Times New Roman"/>
        </w:rPr>
        <w:t xml:space="preserve">mostly motionless figures, </w:t>
      </w:r>
      <w:r w:rsidR="00C60A04">
        <w:rPr>
          <w:rFonts w:ascii="Garamond" w:hAnsi="Garamond" w:cs="Times New Roman"/>
        </w:rPr>
        <w:t xml:space="preserve">but the </w:t>
      </w:r>
      <w:r w:rsidR="00DA5A27">
        <w:rPr>
          <w:rFonts w:ascii="Garamond" w:hAnsi="Garamond" w:cs="Times New Roman"/>
        </w:rPr>
        <w:t xml:space="preserve">space </w:t>
      </w:r>
      <w:r w:rsidR="007C7885">
        <w:rPr>
          <w:rFonts w:ascii="Garamond" w:hAnsi="Garamond" w:cs="Times New Roman"/>
        </w:rPr>
        <w:t>managed to be</w:t>
      </w:r>
      <w:r w:rsidR="00DA5A27">
        <w:rPr>
          <w:rFonts w:ascii="Garamond" w:hAnsi="Garamond" w:cs="Times New Roman"/>
        </w:rPr>
        <w:t xml:space="preserve"> as charming as it was intimidating.</w:t>
      </w:r>
      <w:r w:rsidR="00C60A04">
        <w:rPr>
          <w:rFonts w:ascii="Garamond" w:hAnsi="Garamond" w:cs="Times New Roman"/>
        </w:rPr>
        <w:t xml:space="preserve"> Shimmering walls coated the sides of the theater, while the back </w:t>
      </w:r>
      <w:r w:rsidR="00DA2D18">
        <w:rPr>
          <w:rFonts w:ascii="Garamond" w:hAnsi="Garamond" w:cs="Times New Roman"/>
        </w:rPr>
        <w:t xml:space="preserve">wall was </w:t>
      </w:r>
      <w:r w:rsidR="008F5752">
        <w:rPr>
          <w:rFonts w:ascii="Garamond" w:hAnsi="Garamond" w:cs="Times New Roman"/>
        </w:rPr>
        <w:t xml:space="preserve">composed of </w:t>
      </w:r>
      <w:r w:rsidR="00C60A04">
        <w:rPr>
          <w:rFonts w:ascii="Garamond" w:hAnsi="Garamond" w:cs="Times New Roman"/>
        </w:rPr>
        <w:t>stark concrete ladle</w:t>
      </w:r>
      <w:r w:rsidR="003D18C9">
        <w:rPr>
          <w:rFonts w:ascii="Garamond" w:hAnsi="Garamond" w:cs="Times New Roman"/>
        </w:rPr>
        <w:t>d with dim-but-colorful bottles</w:t>
      </w:r>
      <w:r w:rsidR="00C60A04">
        <w:rPr>
          <w:rFonts w:ascii="Garamond" w:hAnsi="Garamond" w:cs="Times New Roman"/>
        </w:rPr>
        <w:t>.</w:t>
      </w:r>
      <w:r w:rsidR="00F20F7E">
        <w:rPr>
          <w:rFonts w:ascii="Garamond" w:hAnsi="Garamond" w:cs="Times New Roman"/>
        </w:rPr>
        <w:t xml:space="preserve"> Finally, a record play</w:t>
      </w:r>
      <w:r w:rsidR="008D7FC5">
        <w:rPr>
          <w:rFonts w:ascii="Garamond" w:hAnsi="Garamond" w:cs="Times New Roman"/>
        </w:rPr>
        <w:t>er</w:t>
      </w:r>
      <w:r w:rsidR="00F20F7E">
        <w:rPr>
          <w:rFonts w:ascii="Garamond" w:hAnsi="Garamond" w:cs="Times New Roman"/>
        </w:rPr>
        <w:t xml:space="preserve"> played to the side of the space, while wireframe statues </w:t>
      </w:r>
      <w:r w:rsidR="00C36410">
        <w:rPr>
          <w:rFonts w:ascii="Garamond" w:hAnsi="Garamond" w:cs="Times New Roman"/>
        </w:rPr>
        <w:t>composed</w:t>
      </w:r>
      <w:r w:rsidR="00F20F7E">
        <w:rPr>
          <w:rFonts w:ascii="Garamond" w:hAnsi="Garamond" w:cs="Times New Roman"/>
        </w:rPr>
        <w:t xml:space="preserve"> the center focus.</w:t>
      </w:r>
      <w:r w:rsidR="008D7FC5">
        <w:rPr>
          <w:rFonts w:ascii="Garamond" w:hAnsi="Garamond" w:cs="Times New Roman"/>
        </w:rPr>
        <w:t xml:space="preserve"> </w:t>
      </w:r>
      <w:r w:rsidR="00EA0568">
        <w:rPr>
          <w:rFonts w:ascii="Garamond" w:hAnsi="Garamond" w:cs="Times New Roman"/>
        </w:rPr>
        <w:t xml:space="preserve">The descent was complete, and I felt I was somewhere unwelcoming, as if I had intruded on a phantom’s realm and had placed myself in danger </w:t>
      </w:r>
      <w:r w:rsidR="00EA7C7B">
        <w:rPr>
          <w:rFonts w:ascii="Garamond" w:hAnsi="Garamond" w:cs="Times New Roman"/>
        </w:rPr>
        <w:t>with</w:t>
      </w:r>
      <w:r w:rsidR="00EA0568">
        <w:rPr>
          <w:rFonts w:ascii="Garamond" w:hAnsi="Garamond" w:cs="Times New Roman"/>
        </w:rPr>
        <w:t xml:space="preserve"> </w:t>
      </w:r>
      <w:r w:rsidR="00A15ED1">
        <w:rPr>
          <w:rFonts w:ascii="Garamond" w:hAnsi="Garamond" w:cs="Times New Roman"/>
        </w:rPr>
        <w:t>my entrance</w:t>
      </w:r>
      <w:r w:rsidR="00EA0568">
        <w:rPr>
          <w:rFonts w:ascii="Garamond" w:hAnsi="Garamond" w:cs="Times New Roman"/>
        </w:rPr>
        <w:t>.</w:t>
      </w:r>
    </w:p>
    <w:p w14:paraId="4FF5403C" w14:textId="0E0E9985" w:rsidR="00015224" w:rsidRDefault="001C56A3" w:rsidP="002B3A33">
      <w:pPr>
        <w:widowControl w:val="0"/>
        <w:autoSpaceDE w:val="0"/>
        <w:autoSpaceDN w:val="0"/>
        <w:adjustRightInd w:val="0"/>
        <w:spacing w:line="480" w:lineRule="auto"/>
        <w:ind w:firstLine="720"/>
        <w:rPr>
          <w:rFonts w:ascii="Garamond" w:hAnsi="Garamond" w:cs="Times New Roman"/>
        </w:rPr>
      </w:pPr>
      <w:r>
        <w:rPr>
          <w:rFonts w:ascii="Garamond" w:hAnsi="Garamond" w:cs="Times New Roman"/>
        </w:rPr>
        <w:t>Each vignette</w:t>
      </w:r>
      <w:r w:rsidR="000B5C65">
        <w:rPr>
          <w:rFonts w:ascii="Garamond" w:hAnsi="Garamond" w:cs="Times New Roman"/>
        </w:rPr>
        <w:t xml:space="preserve"> reinforced my fears of </w:t>
      </w:r>
      <w:r w:rsidR="00CA60B8">
        <w:rPr>
          <w:rFonts w:ascii="Garamond" w:hAnsi="Garamond" w:cs="Times New Roman"/>
        </w:rPr>
        <w:t>being</w:t>
      </w:r>
      <w:r w:rsidR="000B5C65">
        <w:rPr>
          <w:rFonts w:ascii="Garamond" w:hAnsi="Garamond" w:cs="Times New Roman"/>
        </w:rPr>
        <w:t xml:space="preserve"> unwelcome in this </w:t>
      </w:r>
      <w:r w:rsidR="003B63A6">
        <w:rPr>
          <w:rFonts w:ascii="Garamond" w:hAnsi="Garamond" w:cs="Times New Roman"/>
        </w:rPr>
        <w:t xml:space="preserve">dead, foreign space, </w:t>
      </w:r>
      <w:r w:rsidR="00CD3DD7">
        <w:rPr>
          <w:rFonts w:ascii="Garamond" w:hAnsi="Garamond" w:cs="Times New Roman"/>
        </w:rPr>
        <w:t xml:space="preserve">which was made </w:t>
      </w:r>
      <w:r w:rsidR="003B63A6">
        <w:rPr>
          <w:rFonts w:ascii="Garamond" w:hAnsi="Garamond" w:cs="Times New Roman"/>
        </w:rPr>
        <w:t>stranger by the</w:t>
      </w:r>
      <w:r w:rsidR="00AB3677">
        <w:rPr>
          <w:rFonts w:ascii="Garamond" w:hAnsi="Garamond" w:cs="Times New Roman"/>
        </w:rPr>
        <w:t xml:space="preserve"> </w:t>
      </w:r>
      <w:r w:rsidR="002C4406">
        <w:rPr>
          <w:rFonts w:ascii="Garamond" w:hAnsi="Garamond" w:cs="Times New Roman"/>
        </w:rPr>
        <w:t>paradoxically</w:t>
      </w:r>
      <w:r w:rsidR="003B63A6">
        <w:rPr>
          <w:rFonts w:ascii="Garamond" w:hAnsi="Garamond" w:cs="Times New Roman"/>
        </w:rPr>
        <w:t xml:space="preserve"> welcoming bow performed by the main cast of three men</w:t>
      </w:r>
      <w:r w:rsidR="00B83852">
        <w:rPr>
          <w:rFonts w:ascii="Garamond" w:hAnsi="Garamond" w:cs="Times New Roman"/>
        </w:rPr>
        <w:t xml:space="preserve"> of color</w:t>
      </w:r>
      <w:r w:rsidR="003B63A6">
        <w:rPr>
          <w:rFonts w:ascii="Garamond" w:hAnsi="Garamond" w:cs="Times New Roman"/>
        </w:rPr>
        <w:t>.</w:t>
      </w:r>
      <w:r w:rsidR="0062282E">
        <w:rPr>
          <w:rFonts w:ascii="Garamond" w:hAnsi="Garamond" w:cs="Times New Roman"/>
        </w:rPr>
        <w:t xml:space="preserve"> </w:t>
      </w:r>
      <w:r w:rsidR="008D5F39">
        <w:rPr>
          <w:rFonts w:ascii="Garamond" w:hAnsi="Garamond" w:cs="Times New Roman"/>
        </w:rPr>
        <w:t>I mention their skin as these actors ultimately portrayed the cultu</w:t>
      </w:r>
      <w:r w:rsidR="00B01294">
        <w:rPr>
          <w:rFonts w:ascii="Garamond" w:hAnsi="Garamond" w:cs="Times New Roman"/>
        </w:rPr>
        <w:t xml:space="preserve">res of black men from different </w:t>
      </w:r>
      <w:r w:rsidR="008D5F39">
        <w:rPr>
          <w:rFonts w:ascii="Garamond" w:hAnsi="Garamond" w:cs="Times New Roman"/>
        </w:rPr>
        <w:t xml:space="preserve">backgrounds, whether the men came from song and dance, from superstition, from comedy, or from anything of the sort. The result was similar </w:t>
      </w:r>
      <w:r w:rsidR="004A4A14">
        <w:rPr>
          <w:rFonts w:ascii="Garamond" w:hAnsi="Garamond" w:cs="Times New Roman"/>
        </w:rPr>
        <w:t xml:space="preserve">in effect </w:t>
      </w:r>
      <w:r w:rsidR="008D5F39">
        <w:rPr>
          <w:rFonts w:ascii="Garamond" w:hAnsi="Garamond" w:cs="Times New Roman"/>
        </w:rPr>
        <w:t xml:space="preserve">to Young Jean Lee’s </w:t>
      </w:r>
      <w:r w:rsidR="008D5F39">
        <w:rPr>
          <w:rFonts w:ascii="Garamond" w:hAnsi="Garamond" w:cs="Times New Roman"/>
          <w:i/>
        </w:rPr>
        <w:t>The Shipment</w:t>
      </w:r>
      <w:r w:rsidR="008D5F39">
        <w:rPr>
          <w:rFonts w:ascii="Garamond" w:hAnsi="Garamond" w:cs="Times New Roman"/>
        </w:rPr>
        <w:t xml:space="preserve">, in which </w:t>
      </w:r>
      <w:r w:rsidR="00015224">
        <w:rPr>
          <w:rFonts w:ascii="Garamond" w:hAnsi="Garamond" w:cs="Times New Roman"/>
        </w:rPr>
        <w:t>several unrelated scenes are united through the portrayal of different black identities.</w:t>
      </w:r>
      <w:r w:rsidR="00895DC2">
        <w:rPr>
          <w:rFonts w:ascii="Garamond" w:hAnsi="Garamond" w:cs="Times New Roman"/>
        </w:rPr>
        <w:t xml:space="preserve"> Unlike Young Jean Lee, Kaneza Schaal juxtaposed her already juxtaposing aesthetic styles with an ancient text, which </w:t>
      </w:r>
      <w:r w:rsidR="004C6429">
        <w:rPr>
          <w:rFonts w:ascii="Garamond" w:hAnsi="Garamond" w:cs="Times New Roman"/>
        </w:rPr>
        <w:t xml:space="preserve">granted the performance a larger number of </w:t>
      </w:r>
      <w:r w:rsidR="00595440">
        <w:rPr>
          <w:rFonts w:ascii="Garamond" w:hAnsi="Garamond" w:cs="Times New Roman"/>
        </w:rPr>
        <w:t xml:space="preserve">avant-garde </w:t>
      </w:r>
      <w:r w:rsidR="004C6429">
        <w:rPr>
          <w:rFonts w:ascii="Garamond" w:hAnsi="Garamond" w:cs="Times New Roman"/>
        </w:rPr>
        <w:t>onion rings</w:t>
      </w:r>
      <w:r w:rsidR="00FE7FBC">
        <w:rPr>
          <w:rFonts w:ascii="Garamond" w:hAnsi="Garamond" w:cs="Times New Roman"/>
        </w:rPr>
        <w:t xml:space="preserve"> rich with meaning</w:t>
      </w:r>
      <w:r w:rsidR="00330B47">
        <w:rPr>
          <w:rFonts w:ascii="Garamond" w:hAnsi="Garamond" w:cs="Times New Roman"/>
        </w:rPr>
        <w:t>.</w:t>
      </w:r>
    </w:p>
    <w:p w14:paraId="22A3F820" w14:textId="735A7A40" w:rsidR="001315D1" w:rsidRDefault="009641AC" w:rsidP="002B3A33">
      <w:pPr>
        <w:widowControl w:val="0"/>
        <w:autoSpaceDE w:val="0"/>
        <w:autoSpaceDN w:val="0"/>
        <w:adjustRightInd w:val="0"/>
        <w:spacing w:line="480" w:lineRule="auto"/>
        <w:ind w:firstLine="720"/>
        <w:rPr>
          <w:rFonts w:ascii="Garamond" w:hAnsi="Garamond" w:cs="Times New Roman"/>
        </w:rPr>
      </w:pPr>
      <w:r>
        <w:rPr>
          <w:rFonts w:ascii="Garamond" w:hAnsi="Garamond" w:cs="Times New Roman"/>
        </w:rPr>
        <w:t xml:space="preserve">Perhaps Schaal verged too deep with her layers of weirdness. The large bulk of the performance was altogether imperceptible and inaccessible, and even </w:t>
      </w:r>
      <w:r w:rsidR="00CA7521">
        <w:rPr>
          <w:rFonts w:ascii="Garamond" w:hAnsi="Garamond" w:cs="Times New Roman"/>
        </w:rPr>
        <w:t>tho</w:t>
      </w:r>
      <w:r w:rsidR="00E53835">
        <w:rPr>
          <w:rFonts w:ascii="Garamond" w:hAnsi="Garamond" w:cs="Times New Roman"/>
        </w:rPr>
        <w:t>ugh I enjoyed the action and dynamicity of the actors’ chants, spa</w:t>
      </w:r>
      <w:r w:rsidR="0043330D">
        <w:rPr>
          <w:rFonts w:ascii="Garamond" w:hAnsi="Garamond" w:cs="Times New Roman"/>
        </w:rPr>
        <w:t>s</w:t>
      </w:r>
      <w:r w:rsidR="00E53835">
        <w:rPr>
          <w:rFonts w:ascii="Garamond" w:hAnsi="Garamond" w:cs="Times New Roman"/>
        </w:rPr>
        <w:t>ms, and unintelligible dialogues</w:t>
      </w:r>
      <w:r w:rsidR="009F50EF">
        <w:rPr>
          <w:rFonts w:ascii="Garamond" w:hAnsi="Garamond" w:cs="Times New Roman"/>
        </w:rPr>
        <w:t xml:space="preserve">, I had no idea what was happening. </w:t>
      </w:r>
      <w:r w:rsidR="00D55475">
        <w:rPr>
          <w:rFonts w:ascii="Garamond" w:hAnsi="Garamond" w:cs="Times New Roman"/>
        </w:rPr>
        <w:t>Vignette upon vignette, my confusion rose to a peak until the various projectors stopped playing, the men stopped chanting, and the stage was moved right up to the audience. In the fifth vignette, entitled “The Negative Confessions”, Schaal found a way to make avant-garde accessible. One by one, each actor came out and gave a comedic monologue, interspersed with what I believe were the “42 Declarations of Purity”</w:t>
      </w:r>
      <w:r w:rsidR="00BB6B45">
        <w:rPr>
          <w:rFonts w:ascii="Garamond" w:hAnsi="Garamond" w:cs="Times New Roman"/>
        </w:rPr>
        <w:t xml:space="preserve">. </w:t>
      </w:r>
      <w:r w:rsidR="00340F03">
        <w:rPr>
          <w:rFonts w:ascii="Garamond" w:hAnsi="Garamond" w:cs="Times New Roman"/>
        </w:rPr>
        <w:t xml:space="preserve">The actors portrayed what seemed to be performative versions of themselves, referencing CFA staff as well as the performance space and the audience, but their calm and understandable language ironically kept me on edge. </w:t>
      </w:r>
      <w:r w:rsidR="00390B6F">
        <w:rPr>
          <w:rFonts w:ascii="Garamond" w:hAnsi="Garamond" w:cs="Times New Roman"/>
        </w:rPr>
        <w:t xml:space="preserve">I felt </w:t>
      </w:r>
      <w:r w:rsidR="00A61BC1">
        <w:rPr>
          <w:rFonts w:ascii="Garamond" w:hAnsi="Garamond" w:cs="Times New Roman"/>
        </w:rPr>
        <w:t>I was being deceived, put on by a charade of comradery, and that this trio of jokes served to broadly explain what has happened and what would happen.</w:t>
      </w:r>
    </w:p>
    <w:p w14:paraId="6621D432" w14:textId="5CD02EE3" w:rsidR="00D14825" w:rsidRDefault="003561B3" w:rsidP="002B3A33">
      <w:pPr>
        <w:widowControl w:val="0"/>
        <w:autoSpaceDE w:val="0"/>
        <w:autoSpaceDN w:val="0"/>
        <w:adjustRightInd w:val="0"/>
        <w:spacing w:line="480" w:lineRule="auto"/>
        <w:ind w:firstLine="720"/>
        <w:rPr>
          <w:rFonts w:ascii="Garamond" w:hAnsi="Garamond" w:cs="Times New Roman"/>
        </w:rPr>
      </w:pPr>
      <w:r>
        <w:rPr>
          <w:rFonts w:ascii="Garamond" w:hAnsi="Garamond" w:cs="Times New Roman"/>
        </w:rPr>
        <w:t>Of course</w:t>
      </w:r>
      <w:r w:rsidR="00D14825">
        <w:rPr>
          <w:rFonts w:ascii="Garamond" w:hAnsi="Garamond" w:cs="Times New Roman"/>
        </w:rPr>
        <w:t xml:space="preserve"> we returned to the avant-garde,</w:t>
      </w:r>
      <w:r w:rsidR="00782642">
        <w:rPr>
          <w:rFonts w:ascii="Garamond" w:hAnsi="Garamond" w:cs="Times New Roman"/>
        </w:rPr>
        <w:t xml:space="preserve"> but</w:t>
      </w:r>
      <w:r w:rsidR="00D14825">
        <w:rPr>
          <w:rFonts w:ascii="Garamond" w:hAnsi="Garamond" w:cs="Times New Roman"/>
        </w:rPr>
        <w:t xml:space="preserve"> </w:t>
      </w:r>
      <w:r w:rsidR="009B65E2">
        <w:rPr>
          <w:rFonts w:ascii="Garamond" w:hAnsi="Garamond" w:cs="Times New Roman"/>
        </w:rPr>
        <w:t xml:space="preserve">the entire audience seemed entranced. Those who before were falling asleep or looking off now had too many places to look at once. </w:t>
      </w:r>
      <w:r w:rsidR="006D21E5">
        <w:rPr>
          <w:rFonts w:ascii="Garamond" w:hAnsi="Garamond" w:cs="Times New Roman"/>
        </w:rPr>
        <w:t>And yet</w:t>
      </w:r>
      <w:r w:rsidR="00382166">
        <w:rPr>
          <w:rFonts w:ascii="Garamond" w:hAnsi="Garamond" w:cs="Times New Roman"/>
        </w:rPr>
        <w:t xml:space="preserve"> only two vignettes remained, with the final vignette serving little more than </w:t>
      </w:r>
      <w:r w:rsidR="008D2B41">
        <w:rPr>
          <w:rFonts w:ascii="Garamond" w:hAnsi="Garamond" w:cs="Times New Roman"/>
        </w:rPr>
        <w:t xml:space="preserve">quiet </w:t>
      </w:r>
      <w:r w:rsidR="00382166">
        <w:rPr>
          <w:rFonts w:ascii="Garamond" w:hAnsi="Garamond" w:cs="Times New Roman"/>
        </w:rPr>
        <w:t xml:space="preserve">closure to the ritualistic performance. The atmosphere </w:t>
      </w:r>
      <w:r w:rsidR="007F181B">
        <w:rPr>
          <w:rFonts w:ascii="Garamond" w:hAnsi="Garamond" w:cs="Times New Roman"/>
        </w:rPr>
        <w:t xml:space="preserve">perfected by the fifth vignette </w:t>
      </w:r>
      <w:r w:rsidR="00C97F62">
        <w:rPr>
          <w:rFonts w:ascii="Garamond" w:hAnsi="Garamond" w:cs="Times New Roman"/>
        </w:rPr>
        <w:t xml:space="preserve">seemed to either come too late, or came without substance to follow. </w:t>
      </w:r>
      <w:r w:rsidR="00EF2F71">
        <w:rPr>
          <w:rFonts w:ascii="Garamond" w:hAnsi="Garamond" w:cs="Times New Roman"/>
        </w:rPr>
        <w:t xml:space="preserve">Early on I figured that it would be senseless for me to try and understand the performance, and I’d rather experience it unabashedly, but it did not seem that the audience was as invested in the performance until we were acquainted with these actors. </w:t>
      </w:r>
      <w:r w:rsidR="003524B9">
        <w:rPr>
          <w:rFonts w:ascii="Garamond" w:hAnsi="Garamond" w:cs="Times New Roman"/>
        </w:rPr>
        <w:t xml:space="preserve">The change was as drastic as comparing film to theater. </w:t>
      </w:r>
      <w:r w:rsidR="00CE01DD">
        <w:rPr>
          <w:rFonts w:ascii="Garamond" w:hAnsi="Garamond" w:cs="Times New Roman"/>
        </w:rPr>
        <w:t xml:space="preserve">Either we were watching </w:t>
      </w:r>
      <w:r w:rsidR="00EC5168">
        <w:rPr>
          <w:rFonts w:ascii="Garamond" w:hAnsi="Garamond" w:cs="Times New Roman"/>
        </w:rPr>
        <w:t>actor</w:t>
      </w:r>
      <w:r w:rsidR="00F53035">
        <w:rPr>
          <w:rFonts w:ascii="Garamond" w:hAnsi="Garamond" w:cs="Times New Roman"/>
        </w:rPr>
        <w:t>s</w:t>
      </w:r>
      <w:r w:rsidR="00EC5168">
        <w:rPr>
          <w:rFonts w:ascii="Garamond" w:hAnsi="Garamond" w:cs="Times New Roman"/>
        </w:rPr>
        <w:t xml:space="preserve"> perform</w:t>
      </w:r>
      <w:r w:rsidR="00CE01DD">
        <w:rPr>
          <w:rFonts w:ascii="Garamond" w:hAnsi="Garamond" w:cs="Times New Roman"/>
        </w:rPr>
        <w:t xml:space="preserve">, or we were </w:t>
      </w:r>
      <w:r w:rsidR="00EC5168">
        <w:rPr>
          <w:rFonts w:ascii="Garamond" w:hAnsi="Garamond" w:cs="Times New Roman"/>
        </w:rPr>
        <w:t xml:space="preserve">wrestling to understand the meaning in a friend’s </w:t>
      </w:r>
      <w:r w:rsidR="002933A7">
        <w:rPr>
          <w:rFonts w:ascii="Garamond" w:hAnsi="Garamond" w:cs="Times New Roman"/>
        </w:rPr>
        <w:t>weird project</w:t>
      </w:r>
      <w:r w:rsidR="00F56079">
        <w:rPr>
          <w:rFonts w:ascii="Garamond" w:hAnsi="Garamond" w:cs="Times New Roman"/>
        </w:rPr>
        <w:t xml:space="preserve"> </w:t>
      </w:r>
      <w:r w:rsidR="00F535EE">
        <w:rPr>
          <w:rFonts w:ascii="Garamond" w:hAnsi="Garamond" w:cs="Times New Roman"/>
        </w:rPr>
        <w:t>he’d bragged about for a year</w:t>
      </w:r>
      <w:r w:rsidR="00EC5168">
        <w:rPr>
          <w:rFonts w:ascii="Garamond" w:hAnsi="Garamond" w:cs="Times New Roman"/>
        </w:rPr>
        <w:t>.</w:t>
      </w:r>
    </w:p>
    <w:p w14:paraId="32C0D833" w14:textId="20D81842" w:rsidR="00C75312" w:rsidRPr="004B1BB9" w:rsidRDefault="0088393C" w:rsidP="00C75312">
      <w:pPr>
        <w:widowControl w:val="0"/>
        <w:autoSpaceDE w:val="0"/>
        <w:autoSpaceDN w:val="0"/>
        <w:adjustRightInd w:val="0"/>
        <w:spacing w:line="480" w:lineRule="auto"/>
        <w:ind w:firstLine="720"/>
        <w:rPr>
          <w:rFonts w:ascii="Garamond" w:hAnsi="Garamond" w:cs="Times New Roman"/>
        </w:rPr>
      </w:pPr>
      <w:r>
        <w:rPr>
          <w:rFonts w:ascii="Garamond" w:hAnsi="Garamond" w:cs="Times New Roman"/>
        </w:rPr>
        <w:t xml:space="preserve">I </w:t>
      </w:r>
      <w:r w:rsidR="00301E8B">
        <w:rPr>
          <w:rFonts w:ascii="Garamond" w:hAnsi="Garamond" w:cs="Times New Roman"/>
        </w:rPr>
        <w:t xml:space="preserve">still </w:t>
      </w:r>
      <w:r>
        <w:rPr>
          <w:rFonts w:ascii="Garamond" w:hAnsi="Garamond" w:cs="Times New Roman"/>
        </w:rPr>
        <w:t>wonder if the play only talks to those with an open mind.</w:t>
      </w:r>
      <w:r w:rsidR="002875C6">
        <w:rPr>
          <w:rFonts w:ascii="Garamond" w:hAnsi="Garamond" w:cs="Times New Roman"/>
        </w:rPr>
        <w:t xml:space="preserve"> </w:t>
      </w:r>
      <w:r w:rsidR="00A2607D">
        <w:rPr>
          <w:rFonts w:ascii="Garamond" w:hAnsi="Garamond" w:cs="Times New Roman"/>
        </w:rPr>
        <w:t xml:space="preserve">Christopher Myers excelled at </w:t>
      </w:r>
      <w:r w:rsidR="004809B5">
        <w:rPr>
          <w:rFonts w:ascii="Garamond" w:hAnsi="Garamond" w:cs="Times New Roman"/>
        </w:rPr>
        <w:t xml:space="preserve">crafting a unique space to play in, but Schaal’s adaptation doesn’t force you to enter its text in the same way </w:t>
      </w:r>
      <w:r w:rsidR="00CA33F9">
        <w:rPr>
          <w:rFonts w:ascii="Garamond" w:hAnsi="Garamond" w:cs="Times New Roman"/>
        </w:rPr>
        <w:t>that</w:t>
      </w:r>
      <w:r w:rsidR="00EA1586">
        <w:rPr>
          <w:rFonts w:ascii="Garamond" w:hAnsi="Garamond" w:cs="Times New Roman"/>
        </w:rPr>
        <w:t xml:space="preserve"> </w:t>
      </w:r>
      <w:r w:rsidR="004809B5">
        <w:rPr>
          <w:rFonts w:ascii="Garamond" w:hAnsi="Garamond" w:cs="Times New Roman"/>
        </w:rPr>
        <w:t>we enter the space.</w:t>
      </w:r>
      <w:r w:rsidR="00D514E3">
        <w:rPr>
          <w:rFonts w:ascii="Garamond" w:hAnsi="Garamond" w:cs="Times New Roman"/>
        </w:rPr>
        <w:t xml:space="preserve"> In a straight adaptation of the Egyptian </w:t>
      </w:r>
      <w:r w:rsidR="00D514E3">
        <w:rPr>
          <w:rFonts w:ascii="Garamond" w:hAnsi="Garamond" w:cs="Times New Roman"/>
          <w:i/>
        </w:rPr>
        <w:t>Book of the Dead</w:t>
      </w:r>
      <w:r w:rsidR="00D514E3">
        <w:rPr>
          <w:rFonts w:ascii="Garamond" w:hAnsi="Garamond" w:cs="Times New Roman"/>
        </w:rPr>
        <w:t>, sure</w:t>
      </w:r>
      <w:r w:rsidR="003C6947">
        <w:rPr>
          <w:rFonts w:ascii="Garamond" w:hAnsi="Garamond" w:cs="Times New Roman"/>
        </w:rPr>
        <w:t>,</w:t>
      </w:r>
      <w:r w:rsidR="00AB7AD5">
        <w:rPr>
          <w:rFonts w:ascii="Garamond" w:hAnsi="Garamond" w:cs="Times New Roman"/>
        </w:rPr>
        <w:t xml:space="preserve"> the accessibility </w:t>
      </w:r>
      <w:r w:rsidR="00F544F4">
        <w:rPr>
          <w:rFonts w:ascii="Garamond" w:hAnsi="Garamond" w:cs="Times New Roman"/>
        </w:rPr>
        <w:t>may be</w:t>
      </w:r>
      <w:r w:rsidR="00AB7AD5">
        <w:rPr>
          <w:rFonts w:ascii="Garamond" w:hAnsi="Garamond" w:cs="Times New Roman"/>
        </w:rPr>
        <w:t xml:space="preserve"> less important</w:t>
      </w:r>
      <w:r w:rsidR="00D514E3">
        <w:rPr>
          <w:rFonts w:ascii="Garamond" w:hAnsi="Garamond" w:cs="Times New Roman"/>
        </w:rPr>
        <w:t xml:space="preserve">, but Schaal’s intention </w:t>
      </w:r>
      <w:r w:rsidR="00553DEB">
        <w:rPr>
          <w:rFonts w:ascii="Garamond" w:hAnsi="Garamond" w:cs="Times New Roman"/>
        </w:rPr>
        <w:t>was</w:t>
      </w:r>
      <w:r w:rsidR="005878EC">
        <w:rPr>
          <w:rFonts w:ascii="Garamond" w:hAnsi="Garamond" w:cs="Times New Roman"/>
        </w:rPr>
        <w:t xml:space="preserve"> to </w:t>
      </w:r>
      <w:r w:rsidR="001634B7">
        <w:rPr>
          <w:rFonts w:ascii="Garamond" w:hAnsi="Garamond" w:cs="Times New Roman"/>
        </w:rPr>
        <w:t>incite</w:t>
      </w:r>
      <w:r w:rsidR="0046766B">
        <w:rPr>
          <w:rFonts w:ascii="Garamond" w:hAnsi="Garamond" w:cs="Times New Roman"/>
        </w:rPr>
        <w:t xml:space="preserve"> a specific response from the audience. </w:t>
      </w:r>
      <w:r w:rsidR="003701DA">
        <w:rPr>
          <w:rFonts w:ascii="Garamond" w:hAnsi="Garamond" w:cs="Times New Roman"/>
        </w:rPr>
        <w:t xml:space="preserve">Maybe, probably, there are other languages in the performance that I could not decipher, because they did not speak to me. </w:t>
      </w:r>
      <w:r w:rsidR="00133065">
        <w:rPr>
          <w:rFonts w:ascii="Garamond" w:hAnsi="Garamond" w:cs="Times New Roman"/>
        </w:rPr>
        <w:t xml:space="preserve">In </w:t>
      </w:r>
      <w:r w:rsidR="00275D7A">
        <w:rPr>
          <w:rFonts w:ascii="Garamond" w:hAnsi="Garamond" w:cs="Times New Roman"/>
        </w:rPr>
        <w:t>that case</w:t>
      </w:r>
      <w:r w:rsidR="00133065">
        <w:rPr>
          <w:rFonts w:ascii="Garamond" w:hAnsi="Garamond" w:cs="Times New Roman"/>
        </w:rPr>
        <w:t xml:space="preserve"> the play succeeded</w:t>
      </w:r>
      <w:r w:rsidR="008D2747">
        <w:rPr>
          <w:rFonts w:ascii="Garamond" w:hAnsi="Garamond" w:cs="Times New Roman"/>
        </w:rPr>
        <w:t>, and I’m sure this occurred with many individuals</w:t>
      </w:r>
      <w:r w:rsidR="00133065">
        <w:rPr>
          <w:rFonts w:ascii="Garamond" w:hAnsi="Garamond" w:cs="Times New Roman"/>
        </w:rPr>
        <w:t xml:space="preserve">. </w:t>
      </w:r>
      <w:r w:rsidR="004B1BB9">
        <w:rPr>
          <w:rFonts w:ascii="Garamond" w:hAnsi="Garamond" w:cs="Times New Roman"/>
        </w:rPr>
        <w:t xml:space="preserve">I only wish that, had I seen </w:t>
      </w:r>
      <w:r w:rsidR="004B1BB9">
        <w:rPr>
          <w:rFonts w:ascii="Garamond" w:hAnsi="Garamond" w:cs="Times New Roman"/>
          <w:i/>
        </w:rPr>
        <w:t>Go Forth</w:t>
      </w:r>
      <w:r w:rsidR="004B1BB9">
        <w:rPr>
          <w:rFonts w:ascii="Garamond" w:hAnsi="Garamond" w:cs="Times New Roman"/>
        </w:rPr>
        <w:t xml:space="preserve"> four or five years ago, I would have had the same enjoyment </w:t>
      </w:r>
      <w:r w:rsidR="0091656B">
        <w:rPr>
          <w:rFonts w:ascii="Garamond" w:hAnsi="Garamond" w:cs="Times New Roman"/>
        </w:rPr>
        <w:t xml:space="preserve">as </w:t>
      </w:r>
      <w:r w:rsidR="004B1BB9">
        <w:rPr>
          <w:rFonts w:ascii="Garamond" w:hAnsi="Garamond" w:cs="Times New Roman"/>
        </w:rPr>
        <w:t>I did now, and I don’t know if that would have been the case.</w:t>
      </w:r>
    </w:p>
    <w:sectPr w:rsidR="00C75312" w:rsidRPr="004B1BB9" w:rsidSect="007D3C49">
      <w:headerReference w:type="default" r:id="rId7"/>
      <w:footerReference w:type="defaul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0AC758" w14:textId="77777777" w:rsidR="00F720E5" w:rsidRDefault="00F720E5" w:rsidP="008710DC">
      <w:r>
        <w:separator/>
      </w:r>
    </w:p>
  </w:endnote>
  <w:endnote w:type="continuationSeparator" w:id="0">
    <w:p w14:paraId="3E8ECCE7" w14:textId="77777777" w:rsidR="00F720E5" w:rsidRDefault="00F720E5" w:rsidP="008710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AEFC1" w14:textId="778FE2D9" w:rsidR="00F30E87" w:rsidRPr="00F30E87" w:rsidRDefault="00F30E87" w:rsidP="00F30E87">
    <w:pPr>
      <w:pStyle w:val="Footer"/>
      <w:jc w:val="center"/>
      <w:rPr>
        <w:rFonts w:ascii="Garamond" w:hAnsi="Garamond"/>
      </w:rPr>
    </w:pPr>
    <w:r w:rsidRPr="001169F8">
      <w:rPr>
        <w:rFonts w:ascii="Garamond" w:hAnsi="Garamond" w:cs="Times New Roman"/>
      </w:rPr>
      <w:t>Copyright © 2016 Gabriel Drozdov</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36C3E" w14:textId="18955682" w:rsidR="00F30E87" w:rsidRPr="00F30E87" w:rsidRDefault="00F30E87" w:rsidP="00F30E87">
    <w:pPr>
      <w:pStyle w:val="Footer"/>
      <w:jc w:val="center"/>
      <w:rPr>
        <w:rFonts w:ascii="Garamond" w:hAnsi="Garamond"/>
      </w:rPr>
    </w:pPr>
    <w:r w:rsidRPr="001169F8">
      <w:rPr>
        <w:rFonts w:ascii="Garamond" w:hAnsi="Garamond" w:cs="Times New Roman"/>
      </w:rPr>
      <w:t>Copyright © 2016 Gabriel Drozdov</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B92516" w14:textId="77777777" w:rsidR="00F720E5" w:rsidRDefault="00F720E5" w:rsidP="008710DC">
      <w:r>
        <w:separator/>
      </w:r>
    </w:p>
  </w:footnote>
  <w:footnote w:type="continuationSeparator" w:id="0">
    <w:p w14:paraId="4DFE9730" w14:textId="77777777" w:rsidR="00F720E5" w:rsidRDefault="00F720E5" w:rsidP="008710D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AE7828" w14:textId="77777777" w:rsidR="008710DC" w:rsidRPr="00E51CBA" w:rsidRDefault="008710DC" w:rsidP="008710DC">
    <w:pPr>
      <w:pStyle w:val="Header"/>
      <w:jc w:val="right"/>
      <w:rPr>
        <w:rFonts w:ascii="Garamond" w:hAnsi="Garamond" w:cs="Times New Roman"/>
      </w:rPr>
    </w:pPr>
    <w:r w:rsidRPr="00E51CBA">
      <w:rPr>
        <w:rFonts w:ascii="Garamond" w:hAnsi="Garamond" w:cs="Times New Roman"/>
      </w:rPr>
      <w:t xml:space="preserve">Drozdov </w:t>
    </w:r>
    <w:r w:rsidRPr="00E51CBA">
      <w:rPr>
        <w:rFonts w:ascii="Garamond" w:hAnsi="Garamond" w:cs="Times New Roman"/>
      </w:rPr>
      <w:fldChar w:fldCharType="begin"/>
    </w:r>
    <w:r w:rsidRPr="00E51CBA">
      <w:rPr>
        <w:rFonts w:ascii="Garamond" w:hAnsi="Garamond" w:cs="Times New Roman"/>
      </w:rPr>
      <w:instrText xml:space="preserve"> PAGE </w:instrText>
    </w:r>
    <w:r w:rsidRPr="00E51CBA">
      <w:rPr>
        <w:rFonts w:ascii="Garamond" w:hAnsi="Garamond" w:cs="Times New Roman"/>
      </w:rPr>
      <w:fldChar w:fldCharType="separate"/>
    </w:r>
    <w:r w:rsidR="00D34A38">
      <w:rPr>
        <w:rFonts w:ascii="Garamond" w:hAnsi="Garamond" w:cs="Times New Roman"/>
        <w:noProof/>
      </w:rPr>
      <w:t>2</w:t>
    </w:r>
    <w:r w:rsidRPr="00E51CBA">
      <w:rPr>
        <w:rFonts w:ascii="Garamond" w:hAnsi="Garamond" w:cs="Times New Roman"/>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54401F"/>
    <w:multiLevelType w:val="hybridMultilevel"/>
    <w:tmpl w:val="7314315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activeWritingStyle w:appName="MSWord" w:lang="en-US" w:vendorID="64" w:dllVersion="6" w:nlCheck="1" w:checkStyle="0"/>
  <w:activeWritingStyle w:appName="MSWord" w:lang="en-US" w:vendorID="64" w:dllVersion="4096" w:nlCheck="1" w:checkStyle="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0DC"/>
    <w:rsid w:val="00003BF1"/>
    <w:rsid w:val="00015224"/>
    <w:rsid w:val="0002513F"/>
    <w:rsid w:val="00034268"/>
    <w:rsid w:val="00054F6D"/>
    <w:rsid w:val="0006683D"/>
    <w:rsid w:val="000730D1"/>
    <w:rsid w:val="0009112E"/>
    <w:rsid w:val="00094B21"/>
    <w:rsid w:val="000B5C65"/>
    <w:rsid w:val="000C05DE"/>
    <w:rsid w:val="000C37CD"/>
    <w:rsid w:val="000E6438"/>
    <w:rsid w:val="000F7034"/>
    <w:rsid w:val="001009CF"/>
    <w:rsid w:val="00100C64"/>
    <w:rsid w:val="00100F56"/>
    <w:rsid w:val="001315D1"/>
    <w:rsid w:val="00133065"/>
    <w:rsid w:val="00147A38"/>
    <w:rsid w:val="00155FDB"/>
    <w:rsid w:val="001634B7"/>
    <w:rsid w:val="0016387C"/>
    <w:rsid w:val="00166915"/>
    <w:rsid w:val="001B461B"/>
    <w:rsid w:val="001C182B"/>
    <w:rsid w:val="001C56A3"/>
    <w:rsid w:val="001F2C4B"/>
    <w:rsid w:val="00220F3A"/>
    <w:rsid w:val="00235113"/>
    <w:rsid w:val="00263CC1"/>
    <w:rsid w:val="00272E88"/>
    <w:rsid w:val="00275D7A"/>
    <w:rsid w:val="002875C6"/>
    <w:rsid w:val="002933A7"/>
    <w:rsid w:val="002B3A33"/>
    <w:rsid w:val="002C0C82"/>
    <w:rsid w:val="002C4406"/>
    <w:rsid w:val="002F5A5E"/>
    <w:rsid w:val="00301E8B"/>
    <w:rsid w:val="00307327"/>
    <w:rsid w:val="00322384"/>
    <w:rsid w:val="00327825"/>
    <w:rsid w:val="00330B47"/>
    <w:rsid w:val="00336E91"/>
    <w:rsid w:val="00340F03"/>
    <w:rsid w:val="003524B9"/>
    <w:rsid w:val="003561B3"/>
    <w:rsid w:val="003701DA"/>
    <w:rsid w:val="00371922"/>
    <w:rsid w:val="00376D4D"/>
    <w:rsid w:val="00382166"/>
    <w:rsid w:val="00390B6F"/>
    <w:rsid w:val="003965D3"/>
    <w:rsid w:val="003A0A1B"/>
    <w:rsid w:val="003B63A6"/>
    <w:rsid w:val="003C4273"/>
    <w:rsid w:val="003C5F3A"/>
    <w:rsid w:val="003C6947"/>
    <w:rsid w:val="003D18C9"/>
    <w:rsid w:val="003D3CC4"/>
    <w:rsid w:val="003E7F67"/>
    <w:rsid w:val="00400216"/>
    <w:rsid w:val="004102AB"/>
    <w:rsid w:val="00414DFF"/>
    <w:rsid w:val="00430858"/>
    <w:rsid w:val="0043330D"/>
    <w:rsid w:val="004572B1"/>
    <w:rsid w:val="00460884"/>
    <w:rsid w:val="0046766B"/>
    <w:rsid w:val="004809B5"/>
    <w:rsid w:val="00486441"/>
    <w:rsid w:val="00496359"/>
    <w:rsid w:val="004A16C2"/>
    <w:rsid w:val="004A4A14"/>
    <w:rsid w:val="004B1BB9"/>
    <w:rsid w:val="004B6FD2"/>
    <w:rsid w:val="004C6429"/>
    <w:rsid w:val="004D7A83"/>
    <w:rsid w:val="004F0079"/>
    <w:rsid w:val="004F5F63"/>
    <w:rsid w:val="00500A40"/>
    <w:rsid w:val="00536E68"/>
    <w:rsid w:val="00553DEB"/>
    <w:rsid w:val="00560D06"/>
    <w:rsid w:val="0056146B"/>
    <w:rsid w:val="00580ED0"/>
    <w:rsid w:val="00582C30"/>
    <w:rsid w:val="005878EC"/>
    <w:rsid w:val="00595440"/>
    <w:rsid w:val="005C437F"/>
    <w:rsid w:val="005C753A"/>
    <w:rsid w:val="00602927"/>
    <w:rsid w:val="0062282E"/>
    <w:rsid w:val="00624BE2"/>
    <w:rsid w:val="00625E43"/>
    <w:rsid w:val="00627EC0"/>
    <w:rsid w:val="00630317"/>
    <w:rsid w:val="006536AC"/>
    <w:rsid w:val="00657FD6"/>
    <w:rsid w:val="00673773"/>
    <w:rsid w:val="00681507"/>
    <w:rsid w:val="0068682C"/>
    <w:rsid w:val="0069686D"/>
    <w:rsid w:val="006A75A9"/>
    <w:rsid w:val="006B194A"/>
    <w:rsid w:val="006B37A7"/>
    <w:rsid w:val="006C0AFA"/>
    <w:rsid w:val="006C0B99"/>
    <w:rsid w:val="006D21E5"/>
    <w:rsid w:val="006F080A"/>
    <w:rsid w:val="0073514F"/>
    <w:rsid w:val="007603B7"/>
    <w:rsid w:val="00765AB2"/>
    <w:rsid w:val="007662E8"/>
    <w:rsid w:val="00775C84"/>
    <w:rsid w:val="00782642"/>
    <w:rsid w:val="00793CAB"/>
    <w:rsid w:val="007A76F7"/>
    <w:rsid w:val="007B6928"/>
    <w:rsid w:val="007C7885"/>
    <w:rsid w:val="007D3C49"/>
    <w:rsid w:val="007E64F3"/>
    <w:rsid w:val="007F181B"/>
    <w:rsid w:val="007F71C3"/>
    <w:rsid w:val="0081467F"/>
    <w:rsid w:val="00820F92"/>
    <w:rsid w:val="008530B3"/>
    <w:rsid w:val="00853430"/>
    <w:rsid w:val="0086242E"/>
    <w:rsid w:val="00867010"/>
    <w:rsid w:val="008710DC"/>
    <w:rsid w:val="0088393C"/>
    <w:rsid w:val="00895DC2"/>
    <w:rsid w:val="008D2747"/>
    <w:rsid w:val="008D2B41"/>
    <w:rsid w:val="008D5F39"/>
    <w:rsid w:val="008D7FC5"/>
    <w:rsid w:val="008F08CB"/>
    <w:rsid w:val="008F5752"/>
    <w:rsid w:val="008F7071"/>
    <w:rsid w:val="00912FFD"/>
    <w:rsid w:val="0091656B"/>
    <w:rsid w:val="0093044E"/>
    <w:rsid w:val="009641AC"/>
    <w:rsid w:val="00976F8C"/>
    <w:rsid w:val="00982E39"/>
    <w:rsid w:val="00993806"/>
    <w:rsid w:val="0099381E"/>
    <w:rsid w:val="009A7750"/>
    <w:rsid w:val="009B65E2"/>
    <w:rsid w:val="009D43D3"/>
    <w:rsid w:val="009F50EF"/>
    <w:rsid w:val="00A0061C"/>
    <w:rsid w:val="00A15ED1"/>
    <w:rsid w:val="00A2607D"/>
    <w:rsid w:val="00A31F8F"/>
    <w:rsid w:val="00A60F21"/>
    <w:rsid w:val="00A61BC1"/>
    <w:rsid w:val="00A7041D"/>
    <w:rsid w:val="00A75194"/>
    <w:rsid w:val="00A924C4"/>
    <w:rsid w:val="00AA7912"/>
    <w:rsid w:val="00AB3591"/>
    <w:rsid w:val="00AB3677"/>
    <w:rsid w:val="00AB7AD5"/>
    <w:rsid w:val="00AC31AB"/>
    <w:rsid w:val="00B01294"/>
    <w:rsid w:val="00B27B05"/>
    <w:rsid w:val="00B3691E"/>
    <w:rsid w:val="00B501F7"/>
    <w:rsid w:val="00B5716F"/>
    <w:rsid w:val="00B800C0"/>
    <w:rsid w:val="00B83852"/>
    <w:rsid w:val="00BB1F94"/>
    <w:rsid w:val="00BB6B45"/>
    <w:rsid w:val="00BD734C"/>
    <w:rsid w:val="00BE3B94"/>
    <w:rsid w:val="00BF2B19"/>
    <w:rsid w:val="00C11E9A"/>
    <w:rsid w:val="00C12717"/>
    <w:rsid w:val="00C1712B"/>
    <w:rsid w:val="00C34164"/>
    <w:rsid w:val="00C36410"/>
    <w:rsid w:val="00C60A04"/>
    <w:rsid w:val="00C738B1"/>
    <w:rsid w:val="00C75312"/>
    <w:rsid w:val="00C97F62"/>
    <w:rsid w:val="00CA33F9"/>
    <w:rsid w:val="00CA60B8"/>
    <w:rsid w:val="00CA7521"/>
    <w:rsid w:val="00CD3DD7"/>
    <w:rsid w:val="00CD4AAB"/>
    <w:rsid w:val="00CD746C"/>
    <w:rsid w:val="00CE01DD"/>
    <w:rsid w:val="00CF25B8"/>
    <w:rsid w:val="00D14825"/>
    <w:rsid w:val="00D23456"/>
    <w:rsid w:val="00D34A38"/>
    <w:rsid w:val="00D514E3"/>
    <w:rsid w:val="00D55475"/>
    <w:rsid w:val="00D55A66"/>
    <w:rsid w:val="00D560CB"/>
    <w:rsid w:val="00D65008"/>
    <w:rsid w:val="00D82AA1"/>
    <w:rsid w:val="00DA2D18"/>
    <w:rsid w:val="00DA5A27"/>
    <w:rsid w:val="00E06A2F"/>
    <w:rsid w:val="00E24A9B"/>
    <w:rsid w:val="00E2755A"/>
    <w:rsid w:val="00E30682"/>
    <w:rsid w:val="00E51CBA"/>
    <w:rsid w:val="00E53835"/>
    <w:rsid w:val="00E65BFA"/>
    <w:rsid w:val="00E72282"/>
    <w:rsid w:val="00E77190"/>
    <w:rsid w:val="00E8214C"/>
    <w:rsid w:val="00E856E5"/>
    <w:rsid w:val="00EA0229"/>
    <w:rsid w:val="00EA0568"/>
    <w:rsid w:val="00EA1586"/>
    <w:rsid w:val="00EA166E"/>
    <w:rsid w:val="00EA7C7B"/>
    <w:rsid w:val="00EC5168"/>
    <w:rsid w:val="00ED26B0"/>
    <w:rsid w:val="00EE3488"/>
    <w:rsid w:val="00EF2F71"/>
    <w:rsid w:val="00F20F7E"/>
    <w:rsid w:val="00F30E87"/>
    <w:rsid w:val="00F32E44"/>
    <w:rsid w:val="00F53035"/>
    <w:rsid w:val="00F535EE"/>
    <w:rsid w:val="00F544F4"/>
    <w:rsid w:val="00F56079"/>
    <w:rsid w:val="00F6122D"/>
    <w:rsid w:val="00F636A6"/>
    <w:rsid w:val="00F720E5"/>
    <w:rsid w:val="00F930B6"/>
    <w:rsid w:val="00F940E9"/>
    <w:rsid w:val="00FA2EFA"/>
    <w:rsid w:val="00FA730A"/>
    <w:rsid w:val="00FC5004"/>
    <w:rsid w:val="00FC77BE"/>
    <w:rsid w:val="00FD750B"/>
    <w:rsid w:val="00FE55E9"/>
    <w:rsid w:val="00FE6A9E"/>
    <w:rsid w:val="00FE7FBC"/>
    <w:rsid w:val="00FF0AA7"/>
    <w:rsid w:val="00FF3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CFDA5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10DC"/>
    <w:pPr>
      <w:tabs>
        <w:tab w:val="center" w:pos="4680"/>
        <w:tab w:val="right" w:pos="9360"/>
      </w:tabs>
    </w:pPr>
  </w:style>
  <w:style w:type="character" w:customStyle="1" w:styleId="HeaderChar">
    <w:name w:val="Header Char"/>
    <w:basedOn w:val="DefaultParagraphFont"/>
    <w:link w:val="Header"/>
    <w:uiPriority w:val="99"/>
    <w:rsid w:val="008710DC"/>
  </w:style>
  <w:style w:type="paragraph" w:styleId="Footer">
    <w:name w:val="footer"/>
    <w:basedOn w:val="Normal"/>
    <w:link w:val="FooterChar"/>
    <w:uiPriority w:val="99"/>
    <w:unhideWhenUsed/>
    <w:rsid w:val="008710DC"/>
    <w:pPr>
      <w:tabs>
        <w:tab w:val="center" w:pos="4680"/>
        <w:tab w:val="right" w:pos="9360"/>
      </w:tabs>
    </w:pPr>
  </w:style>
  <w:style w:type="character" w:customStyle="1" w:styleId="FooterChar">
    <w:name w:val="Footer Char"/>
    <w:basedOn w:val="DefaultParagraphFont"/>
    <w:link w:val="Footer"/>
    <w:uiPriority w:val="99"/>
    <w:rsid w:val="008710DC"/>
  </w:style>
  <w:style w:type="paragraph" w:styleId="ListParagraph">
    <w:name w:val="List Paragraph"/>
    <w:basedOn w:val="Normal"/>
    <w:uiPriority w:val="34"/>
    <w:qFormat/>
    <w:rsid w:val="006029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3</Pages>
  <Words>917</Words>
  <Characters>5233</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Drozdov, Gabriel</dc:creator>
  <cp:keywords/>
  <dc:description/>
  <cp:lastModifiedBy>Drozdov, Gabriel</cp:lastModifiedBy>
  <cp:revision>205</cp:revision>
  <dcterms:created xsi:type="dcterms:W3CDTF">2016-09-18T19:09:00Z</dcterms:created>
  <dcterms:modified xsi:type="dcterms:W3CDTF">2017-12-20T05:42:00Z</dcterms:modified>
</cp:coreProperties>
</file>