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Nom et prénom de l'artiste (ou pseudo officiel)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Thailandesa" w:cs="Thailandesa" w:eastAsia="Thailandesa" w:hAnsi="Thailandesa"/>
        </w:rPr>
      </w:pPr>
      <w:r w:rsidDel="00000000" w:rsidR="00000000" w:rsidRPr="00000000">
        <w:rPr>
          <w:rFonts w:ascii="Thailandesa" w:cs="Thailandesa" w:eastAsia="Thailandesa" w:hAnsi="Thailandesa"/>
          <w:rtl w:val="0"/>
        </w:rPr>
        <w:t xml:space="preserve">POLYSTUFF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Les coordonnées complètes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Rue Jules &amp; Adelin Husson, 33 - 4020 Liège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Description de l'activité en une phrase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Punk Art, entre kitsch, absurde et société.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Description de l'activité en 10 lignes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Travail spontané et de libération de l’esprit via le dessin et des mises en situations plus ou moins conventionnelles, jouant avec des références connues et ancrées dans l’inconscient collectif.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Inspiré par des fait de société, des personnages de fiction ou réels, des phénomènes de mode, des symboles ou encore des valeurs actuelles…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Questrial" w:cs="Questrial" w:eastAsia="Questrial" w:hAnsi="Questrial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Le medium est d’abord le dessin puis l’infographie décuplant ainsi les possibilités créatives. Ce travail est un état d’esprit….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firstLine="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Un logo (format vectoriel) si vous en possédez 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/>
        <w:drawing>
          <wp:inline distB="0" distT="0" distL="0" distR="0">
            <wp:extent cx="27305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Georgia" w:cs="Georgia" w:eastAsia="Georgia" w:hAnsi="Georgia"/>
          <w:color w:val="221b5f"/>
          <w:rtl w:val="0"/>
        </w:rPr>
        <w:t xml:space="preserve">Lien vers page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Georgia" w:cs="Georgia" w:eastAsia="Georgia" w:hAnsi="Georgia"/>
          <w:color w:val="221b5f"/>
        </w:rPr>
      </w:pPr>
      <w:r w:rsidDel="00000000" w:rsidR="00000000" w:rsidRPr="00000000">
        <w:rPr>
          <w:rFonts w:ascii="Georgia" w:cs="Georgia" w:eastAsia="Georgia" w:hAnsi="Georgia"/>
          <w:color w:val="221b5f"/>
        </w:rPr>
        <w:drawing>
          <wp:inline distB="0" distT="0" distL="0" distR="0">
            <wp:extent cx="1487805" cy="14878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48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Thailandesa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="240" w:lineRule="auto"/>
      <w:ind w:left="1418" w:hanging="1418"/>
      <w:contextualSpacing w:val="0"/>
      <w:jc w:val="both"/>
    </w:pPr>
    <w:rPr>
      <w:rFonts w:ascii="Questrial" w:cs="Questrial" w:eastAsia="Questrial" w:hAnsi="Questrial"/>
      <w:b w:val="1"/>
      <w:color w:val="3366ff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contextualSpacing w:val="0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