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Nota técnica — uso de contrafactuais nos cenários "E se...?"</w:t>
      </w:r>
    </w:p>
    <w:p>
      <w:pPr>
        <w:jc w:val="both"/>
      </w:pPr>
      <w:r>
        <w:rPr>
          <w:b/>
        </w:rPr>
        <w:t>Versão:</w:t>
      </w:r>
      <w:r>
        <w:t xml:space="preserve"> 2026-05-12 </w:t>
      </w:r>
      <w:r>
        <w:rPr>
          <w:b/>
        </w:rPr>
        <w:t>Autor:</w:t>
      </w:r>
      <w:r>
        <w:t xml:space="preserve"> Dr. Gabriel Fortes (Universidade Federal de Alagoas) · Observatório de Equidade Educacional </w:t>
      </w:r>
      <w:r>
        <w:rPr>
          <w:b/>
        </w:rPr>
        <w:t>Documento associado:</w:t>
      </w:r>
      <w:r>
        <w:t xml:space="preserve"> </w:t>
      </w:r>
      <w:r>
        <w:rPr>
          <w:color w:val="D35400"/>
          <w:u w:val="single"/>
        </w:rPr>
        <w:t>`04_governanca_dado.md`</w:t>
      </w:r>
      <w:r>
        <w:t xml:space="preserve"> (badges de evidência, fontes, LGPD)</w:t>
      </w:r>
    </w:p>
    <w:p>
      <w:pPr>
        <w:spacing w:before="120" w:after="120"/>
        <w:pBdr>
          <w:bottom w:val="single" w:sz="6" w:space="1" w:color="D6C9B8"/>
        </w:pBdr>
      </w:pPr>
    </w:p>
    <w:p>
      <w:pPr>
        <w:pStyle w:val="Heading2"/>
      </w:pPr>
      <w:r>
        <w:t>1. Por que contrafactuais</w:t>
      </w:r>
    </w:p>
    <w:p>
      <w:pPr>
        <w:jc w:val="both"/>
      </w:pPr>
      <w:r>
        <w:t xml:space="preserve">Indicadores educacionais agregados geralmente respondem à pergunta </w:t>
      </w:r>
      <w:r>
        <w:rPr>
          <w:i/>
        </w:rPr>
        <w:t>"como está hoje?"</w:t>
      </w:r>
      <w:r>
        <w:t xml:space="preserve">. Mas decisões de política pública pedem outra pergunta — </w:t>
      </w:r>
      <w:r>
        <w:rPr>
          <w:i/>
        </w:rPr>
        <w:t>"e se não fosse assim?"</w:t>
      </w:r>
      <w:r>
        <w:t xml:space="preserve">. Sem essa segunda pergunta, fica difícil distinguir o efeito de uma política de mudanças concomitantes (envelhecimento, migração, choques econômicos). O </w:t>
      </w:r>
      <w:r>
        <w:rPr>
          <w:b/>
        </w:rPr>
        <w:t>contrafactual</w:t>
      </w:r>
      <w:r>
        <w:t xml:space="preserve"> é uma resposta possível à pergunta "e se não fosse assim?" — um cenário hipotético no qual a política ausente, ou rebatida, é representada explicitamente, lado a lado com a realidade observada.</w:t>
      </w:r>
    </w:p>
    <w:p>
      <w:pPr>
        <w:jc w:val="both"/>
      </w:pPr>
      <w:r>
        <w:t>No protótipo do Observatório, três leituras (L3, L6, L9) adotam essa estrutura. Cada uma traz um botão de alternância "Realidade hoje ↔ Sem essa política" e uma barra fantasma tracejada (</w:t>
      </w:r>
      <w:r>
        <w:rPr>
          <w:rFonts w:ascii="Consolas" w:hAnsi="Consolas"/>
          <w:color w:val="5A3825"/>
          <w:sz w:val="20"/>
        </w:rPr>
        <w:t>ghost</w:t>
      </w:r>
      <w:r>
        <w:t xml:space="preserve">) que materializa o cenário oposto enquanto o usuário olha o real. </w:t>
      </w:r>
      <w:r>
        <w:rPr>
          <w:b/>
        </w:rPr>
        <w:t>A intenção não é provar causalidade no rigor de um experimento aleatório</w:t>
      </w:r>
      <w:r>
        <w:t xml:space="preserve">, e sim </w:t>
      </w:r>
      <w:r>
        <w:rPr>
          <w:b/>
        </w:rPr>
        <w:t>traduzir desigualdade num formato comunicável</w:t>
      </w:r>
      <w:r>
        <w:t xml:space="preserve"> para gestores, professores e cidadãos não-especialistas, mantendo rastreabilidade do tipo de evidência.</w:t>
      </w:r>
    </w:p>
    <w:p>
      <w:pPr>
        <w:pStyle w:val="Heading3"/>
      </w:pPr>
      <w:r>
        <w:t>1.1 Tipologia de contrafactuais adotada</w:t>
      </w:r>
    </w:p>
    <w:p>
      <w:pPr>
        <w:jc w:val="both"/>
      </w:pPr>
      <w:r>
        <w:t>Adotamos três tipos, hierarquizados pela proximidade com a evidência empírica brasileira:</w:t>
      </w:r>
    </w:p>
    <w:tbl>
      <w:tblPr>
        <w:tblStyle w:val="Light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Tipo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Definição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Exemplo no protótipo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Badge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A — Série histórica direta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O contrafactual é um período observado antes da política existir/operar plenamente. Não é estimativa; é dado bruto.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L9 — composição racial das IES Federais em 2012 (pré-Lei de Cotas plena) vs. 2024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Evidência forte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B — Meta-análise de literatura quasi-experimental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O contrafactual vem de estudos convergentes (regressão de descontinuidade, diferenças-em-diferenças, propensity score) calculados por terceiros e revisados por pares.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L6 — efeito do Bolsa Família na evasão escolar (Cedeplar, IPEA, Banco Mundial)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Evidência forte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C — Comparativo cross-section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O contrafactual é construído pela comparação entre UFs/municípios na mesma rodada de dados, sob a hipótese conservadora "se todos estivessem no pior cenário observado". Não é causal — é descritivo da heterogeneidade.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L3 — proficiência se nenhuma UF tivesse os 3 itens básicos de infra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Evidência indireta</w:t>
            </w:r>
          </w:p>
        </w:tc>
      </w:tr>
    </w:tbl>
    <w:p>
      <w:pPr>
        <w:jc w:val="both"/>
      </w:pPr>
      <w:r>
        <w:t>Os badges (</w:t>
      </w:r>
      <w:r>
        <w:rPr>
          <w:rFonts w:ascii="Consolas" w:hAnsi="Consolas"/>
          <w:color w:val="5A3825"/>
          <w:sz w:val="20"/>
        </w:rPr>
        <w:t>Evidência forte / moderada / indireta</w:t>
      </w:r>
      <w:r>
        <w:t xml:space="preserve">) aparecem no </w:t>
      </w:r>
      <w:r>
        <w:rPr>
          <w:rFonts w:ascii="Consolas" w:hAnsi="Consolas"/>
          <w:color w:val="5A3825"/>
          <w:sz w:val="20"/>
        </w:rPr>
        <w:t>source</w:t>
      </w:r>
      <w:r>
        <w:t xml:space="preserve"> de cada card. </w:t>
      </w:r>
      <w:r>
        <w:rPr>
          <w:b/>
        </w:rPr>
        <w:t>A transparência sobre o tipo é parte do design</w:t>
      </w:r>
      <w:r>
        <w:t>: o usuário deve saber se está vendo um número calculado, citado, ou comparado.</w:t>
      </w:r>
    </w:p>
    <w:p>
      <w:pPr>
        <w:spacing w:before="120" w:after="120"/>
        <w:pBdr>
          <w:bottom w:val="single" w:sz="6" w:space="1" w:color="D6C9B8"/>
        </w:pBdr>
      </w:pPr>
    </w:p>
    <w:p>
      <w:pPr>
        <w:pStyle w:val="Heading2"/>
      </w:pPr>
      <w:r>
        <w:t>2. Princípios metodológicos gerais</w:t>
      </w:r>
    </w:p>
    <w:p>
      <w:pPr>
        <w:pStyle w:val="Heading3"/>
      </w:pPr>
      <w:r>
        <w:t>2.1 Apresentação visual</w:t>
      </w:r>
    </w:p>
    <w:p>
      <w:pPr>
        <w:pStyle w:val="ListBullet"/>
      </w:pPr>
      <w:r>
        <w:rPr>
          <w:b/>
        </w:rPr>
        <w:t>Toggle binário</w:t>
      </w:r>
      <w:r>
        <w:t xml:space="preserve"> "Realidade hoje" ↔ "Sem essa política" — não há gradação intermediária.</w:t>
      </w:r>
    </w:p>
    <w:p>
      <w:pPr>
        <w:pStyle w:val="ListBullet"/>
      </w:pPr>
      <w:r>
        <w:rPr>
          <w:b/>
        </w:rPr>
        <w:t>Barra fantasma tracejada</w:t>
      </w:r>
      <w:r>
        <w:t xml:space="preserve"> (</w:t>
      </w:r>
      <w:r>
        <w:rPr>
          <w:rFonts w:ascii="Consolas" w:hAnsi="Consolas"/>
          <w:color w:val="5A3825"/>
          <w:sz w:val="20"/>
        </w:rPr>
        <w:t>stroke-dasharray '3,3'</w:t>
      </w:r>
      <w:r>
        <w:t>) mostra o cenário oposto ao ativo, em pontilhado, em cor de marca (</w:t>
      </w:r>
      <w:r>
        <w:rPr>
          <w:rFonts w:ascii="Consolas" w:hAnsi="Consolas"/>
          <w:color w:val="5A3825"/>
          <w:sz w:val="20"/>
        </w:rPr>
        <w:t>--counterfactual: #6B2D2D</w:t>
      </w:r>
      <w:r>
        <w:t>).</w:t>
      </w:r>
    </w:p>
    <w:p>
      <w:pPr>
        <w:pStyle w:val="ListBullet"/>
      </w:pPr>
      <w:r>
        <w:rPr>
          <w:b/>
        </w:rPr>
        <w:t>Legenda mínima</w:t>
      </w:r>
      <w:r>
        <w:t xml:space="preserve"> no canto superior direito do gráfico (implementada em </w:t>
      </w:r>
      <w:r>
        <w:rPr>
          <w:rFonts w:ascii="Consolas" w:hAnsi="Consolas"/>
          <w:color w:val="5A3825"/>
          <w:sz w:val="20"/>
        </w:rPr>
        <w:t>makeCounterfactualViz</w:t>
      </w:r>
      <w:r>
        <w:t>):</w:t>
      </w:r>
    </w:p>
    <w:p>
      <w:pPr>
        <w:pStyle w:val="ListBullet"/>
      </w:pPr>
      <w:r>
        <w:t>▮ barra preenchida = atual</w:t>
      </w:r>
    </w:p>
    <w:p>
      <w:pPr>
        <w:pStyle w:val="ListBullet"/>
      </w:pPr>
      <w:r>
        <w:t>┊ contorno tracejado = cenário sem essa política</w:t>
      </w:r>
    </w:p>
    <w:p>
      <w:pPr>
        <w:pStyle w:val="ListBullet"/>
      </w:pPr>
      <w:r>
        <w:rPr>
          <w:b/>
        </w:rPr>
        <w:t>Callout</w:t>
      </w:r>
      <w:r>
        <w:t xml:space="preserve"> abaixo do título, em caixa cinza, sustenta o </w:t>
      </w:r>
      <w:r>
        <w:rPr>
          <w:rFonts w:ascii="Consolas" w:hAnsi="Consolas"/>
          <w:color w:val="5A3825"/>
          <w:sz w:val="20"/>
        </w:rPr>
        <w:t>off</w:t>
      </w:r>
      <w:r>
        <w:t xml:space="preserve"> com evidência (texto, número e fonte).</w:t>
      </w:r>
    </w:p>
    <w:p>
      <w:pPr>
        <w:pStyle w:val="Heading3"/>
      </w:pPr>
      <w:r>
        <w:t>2.2 Princípios éticos e estatísticos</w:t>
      </w:r>
    </w:p>
    <w:p>
      <w:pPr>
        <w:pStyle w:val="ListNumber"/>
      </w:pPr>
      <w:r>
        <w:rPr>
          <w:b/>
        </w:rPr>
        <w:t>Nunca esconder o tipo de evidência.</w:t>
      </w:r>
      <w:r>
        <w:t xml:space="preserve"> A diferença entre "Bolsa Família reduz evasão em 3-7 pp" (medido) e "se todas as UFs caíssem ao pior cenário" (extrapolação descritiva) precisa estar visível.</w:t>
      </w:r>
    </w:p>
    <w:p>
      <w:pPr>
        <w:pStyle w:val="ListNumber"/>
      </w:pPr>
      <w:r>
        <w:rPr>
          <w:b/>
        </w:rPr>
        <w:t>Conservadorismo no `off`.</w:t>
      </w:r>
      <w:r>
        <w:t xml:space="preserve"> Quando há dúvida sobre o cenário sem política, escolhemos a hipótese que </w:t>
      </w:r>
      <w:r>
        <w:rPr>
          <w:b/>
        </w:rPr>
        <w:t>subestima</w:t>
      </w:r>
      <w:r>
        <w:t xml:space="preserve"> a desigualdade, não que a infla. É uma escolha epistêmica: o protótipo deve resistir à crítica metodológica de qualquer ponto da sociedade civil.</w:t>
      </w:r>
    </w:p>
    <w:p>
      <w:pPr>
        <w:pStyle w:val="ListNumber"/>
      </w:pPr>
      <w:r>
        <w:rPr>
          <w:b/>
        </w:rPr>
        <w:t>Não há cenário "ideal" com toda política ativa.</w:t>
      </w:r>
      <w:r>
        <w:t xml:space="preserve"> Só real ↔ ausência da política específica. Cenários compostos seriam tentadores mas multiplicariam pressupostos.</w:t>
      </w:r>
    </w:p>
    <w:p>
      <w:pPr>
        <w:pStyle w:val="ListNumber"/>
      </w:pPr>
      <w:r>
        <w:rPr>
          <w:b/>
        </w:rPr>
        <w:t>n mínimo por célula:</w:t>
      </w:r>
      <w:r>
        <w:t xml:space="preserve"> 100 alunos / 5 UFs / 100 municípios. Abaixo disso, exibe </w:t>
      </w:r>
      <w:r>
        <w:rPr>
          <w:rFonts w:ascii="Consolas" w:hAnsi="Consolas"/>
          <w:color w:val="5A3825"/>
          <w:sz w:val="20"/>
        </w:rPr>
        <w:t>null</w:t>
      </w:r>
      <w:r>
        <w:t xml:space="preserve"> (não tenta extrapolar).</w:t>
      </w:r>
    </w:p>
    <w:p>
      <w:pPr>
        <w:pStyle w:val="Heading3"/>
      </w:pPr>
      <w:r>
        <w:t>2.3 Limitações estruturais que devem ser comunicadas</w:t>
      </w:r>
    </w:p>
    <w:p>
      <w:pPr>
        <w:pStyle w:val="ListBullet"/>
      </w:pPr>
      <w:r>
        <w:t>Os três contrafactuais não foram calculados por modelagem causal própria do Observatório (DiD, RDD, IV). São, em ordem: dado bruto histórico, transcrição da literatura, e comparação cross-section.</w:t>
      </w:r>
    </w:p>
    <w:p>
      <w:pPr>
        <w:pStyle w:val="ListBullet"/>
      </w:pPr>
      <w:r>
        <w:t xml:space="preserve">A escolha do </w:t>
      </w:r>
      <w:r>
        <w:rPr>
          <w:b/>
        </w:rPr>
        <w:t>denominador</w:t>
      </w:r>
      <w:r>
        <w:t xml:space="preserve"> (escolas públicas? rede municipal? todas?) afeta o valor absoluto mostrado. Mantemos públicas como padrão (representa 87% da matrícula da educação básica brasileira).</w:t>
      </w:r>
    </w:p>
    <w:p>
      <w:pPr>
        <w:pStyle w:val="ListBullet"/>
      </w:pPr>
      <w:r>
        <w:t xml:space="preserve">A escolha do </w:t>
      </w:r>
      <w:r>
        <w:rPr>
          <w:b/>
        </w:rPr>
        <w:t>corte de "adequado"</w:t>
      </w:r>
      <w:r>
        <w:t xml:space="preserve"> afeta L3 (vinculado ao SAEB). Adotamos o corte oficial INEP (≥ 225 para LP 5º EF; ≥ 275 para 9º EF; ≥ 325 para 3º EM), documentado em </w:t>
      </w:r>
      <w:r>
        <w:rPr>
          <w:rFonts w:ascii="Consolas" w:hAnsi="Consolas"/>
          <w:color w:val="5A3825"/>
          <w:sz w:val="20"/>
        </w:rPr>
        <w:t>04_governanca_dado.md</w:t>
      </w:r>
      <w:r>
        <w:t>.</w:t>
      </w:r>
    </w:p>
    <w:p>
      <w:pPr>
        <w:spacing w:before="120" w:after="120"/>
        <w:pBdr>
          <w:bottom w:val="single" w:sz="6" w:space="1" w:color="D6C9B8"/>
        </w:pBdr>
      </w:pPr>
    </w:p>
    <w:p>
      <w:pPr>
        <w:pStyle w:val="Heading2"/>
      </w:pPr>
      <w:r>
        <w:t>3. Caso 1 — L3 · "Infraestrutura como direito" (Tipo C — comparativo cross-section)</w:t>
      </w:r>
    </w:p>
    <w:p>
      <w:pPr>
        <w:pStyle w:val="Heading3"/>
      </w:pPr>
      <w:r>
        <w:t>3.1 Pergunta de leitura</w:t>
      </w:r>
    </w:p>
    <w:p>
      <w:pPr>
        <w:spacing w:before="80" w:after="80"/>
        <w:ind w:left="454"/>
        <w:pBdr>
          <w:left w:val="single" w:sz="12" w:space="8" w:color="D35400"/>
        </w:pBdr>
      </w:pPr>
      <w:r>
        <w:rPr>
          <w:i/>
          <w:color w:val="5A4A3F"/>
        </w:rPr>
        <w:t>"E se nenhuma escola pública brasileira tivesse os três itens básicos de infraestrutura (água potável, banheiro acessível PNE, alimentação escolar)?"</w:t>
      </w:r>
    </w:p>
    <w:p>
      <w:pPr>
        <w:pStyle w:val="Heading3"/>
      </w:pPr>
      <w:r>
        <w:t>3.2 Fontes e cálculo</w:t>
      </w:r>
    </w:p>
    <w:p>
      <w:pPr>
        <w:jc w:val="both"/>
      </w:pPr>
      <w:r>
        <w:rPr>
          <w:b/>
        </w:rPr>
        <w:t>Bases:</w:t>
      </w:r>
    </w:p>
    <w:p>
      <w:pPr>
        <w:pStyle w:val="ListBullet"/>
      </w:pPr>
      <w:r>
        <w:t xml:space="preserve">Censo Escolar 2025 — </w:t>
      </w:r>
      <w:r>
        <w:rPr>
          <w:rFonts w:ascii="Consolas" w:hAnsi="Consolas"/>
          <w:color w:val="5A3825"/>
          <w:sz w:val="20"/>
        </w:rPr>
        <w:t>Tabela_Escola_2025.csv</w:t>
      </w:r>
      <w:r>
        <w:t xml:space="preserve">, indicadores </w:t>
      </w:r>
      <w:r>
        <w:rPr>
          <w:rFonts w:ascii="Consolas" w:hAnsi="Consolas"/>
          <w:color w:val="5A3825"/>
          <w:sz w:val="20"/>
        </w:rPr>
        <w:t>IN_AGUA_POTAVEL</w:t>
      </w:r>
      <w:r>
        <w:t xml:space="preserve">, </w:t>
      </w:r>
      <w:r>
        <w:rPr>
          <w:rFonts w:ascii="Consolas" w:hAnsi="Consolas"/>
          <w:color w:val="5A3825"/>
          <w:sz w:val="20"/>
        </w:rPr>
        <w:t>IN_BANHEIRO_PNE</w:t>
      </w:r>
      <w:r>
        <w:t xml:space="preserve">, </w:t>
      </w:r>
      <w:r>
        <w:rPr>
          <w:rFonts w:ascii="Consolas" w:hAnsi="Consolas"/>
          <w:color w:val="5A3825"/>
          <w:sz w:val="20"/>
        </w:rPr>
        <w:t>IN_ALIMENTACAO</w:t>
      </w:r>
      <w:r>
        <w:t xml:space="preserve"> (180.540 escolas em funcionamento).</w:t>
      </w:r>
    </w:p>
    <w:p>
      <w:pPr>
        <w:pStyle w:val="ListBullet"/>
      </w:pPr>
      <w:r>
        <w:t xml:space="preserve">SAEB 2023 microdados aluno — </w:t>
      </w:r>
      <w:r>
        <w:rPr>
          <w:rFonts w:ascii="Consolas" w:hAnsi="Consolas"/>
          <w:color w:val="5A3825"/>
          <w:sz w:val="20"/>
        </w:rPr>
        <w:t>PROFICIENCIA_LP_SAEB</w:t>
      </w:r>
      <w:r>
        <w:t>, escolas públicas (</w:t>
      </w:r>
      <w:r>
        <w:rPr>
          <w:rFonts w:ascii="Consolas" w:hAnsi="Consolas"/>
          <w:color w:val="5A3825"/>
          <w:sz w:val="20"/>
        </w:rPr>
        <w:t>IN_PUBLICA == 1</w:t>
      </w:r>
      <w:r>
        <w:t>).</w:t>
      </w:r>
    </w:p>
    <w:p>
      <w:pPr>
        <w:jc w:val="both"/>
      </w:pPr>
      <w:r>
        <w:rPr>
          <w:b/>
        </w:rPr>
        <w:t>Passos</w:t>
      </w:r>
      <w:r>
        <w:t xml:space="preserve"> (em </w:t>
      </w:r>
      <w:r>
        <w:rPr>
          <w:color w:val="D35400"/>
          <w:u w:val="single"/>
        </w:rPr>
        <w:t>`pipeline/R/12_gerar_L3.R`</w:t>
      </w:r>
      <w:r>
        <w:t>):</w:t>
      </w:r>
    </w:p>
    <w:p>
      <w:pPr>
        <w:pStyle w:val="ListNumber"/>
      </w:pPr>
      <w:r>
        <w:t xml:space="preserve">Marca cada escola com </w:t>
      </w:r>
      <w:r>
        <w:rPr>
          <w:rFonts w:ascii="Consolas" w:hAnsi="Consolas"/>
          <w:color w:val="5A3825"/>
          <w:sz w:val="20"/>
        </w:rPr>
        <w:t>infra_3_3 = (IN_AGUA_POTAVEL == 1) &amp; (IN_BANHEIRO_PNE == 1) &amp; (IN_ALIMENTACAO == 1)</w:t>
      </w:r>
      <w:r>
        <w:t>.</w:t>
      </w:r>
    </w:p>
    <w:p>
      <w:pPr>
        <w:pStyle w:val="ListNumber"/>
      </w:pPr>
      <w:r>
        <w:t xml:space="preserve">Agrega por UF: </w:t>
      </w:r>
      <w:r>
        <w:rPr>
          <w:rFonts w:ascii="Consolas" w:hAnsi="Consolas"/>
          <w:color w:val="5A3825"/>
          <w:sz w:val="20"/>
        </w:rPr>
        <w:t>pct_3_3 = mean(infra_3_3) * 100</w:t>
      </w:r>
      <w:r>
        <w:t xml:space="preserve"> (% de escolas com os 3 itens). Resultado nacional: </w:t>
      </w:r>
      <w:r>
        <w:rPr>
          <w:b/>
        </w:rPr>
        <w:t>45,7%</w:t>
      </w:r>
      <w:r>
        <w:t xml:space="preserve"> das escolas têm todos os 3 itens; </w:t>
      </w:r>
      <w:r>
        <w:rPr>
          <w:b/>
        </w:rPr>
        <w:t>54,3% faltam ao menos um</w:t>
      </w:r>
      <w:r>
        <w:t>.</w:t>
      </w:r>
    </w:p>
    <w:p>
      <w:pPr>
        <w:pStyle w:val="ListNumber"/>
      </w:pPr>
      <w:r>
        <w:t xml:space="preserve">Por UF, calcula </w:t>
      </w:r>
      <w:r>
        <w:rPr>
          <w:rFonts w:ascii="Consolas" w:hAnsi="Consolas"/>
          <w:color w:val="5A3825"/>
          <w:sz w:val="20"/>
        </w:rPr>
        <w:t>% alunos adequados</w:t>
      </w:r>
      <w:r>
        <w:t xml:space="preserve"> (proficiência ≥ 225 em LP), ponderado pelo número de alunos da UF.</w:t>
      </w:r>
    </w:p>
    <w:p>
      <w:pPr>
        <w:pStyle w:val="ListNumber"/>
      </w:pPr>
      <w:r>
        <w:t xml:space="preserve">Ordena as 27 UFs pela </w:t>
      </w:r>
      <w:r>
        <w:rPr>
          <w:rFonts w:ascii="Consolas" w:hAnsi="Consolas"/>
          <w:color w:val="5A3825"/>
          <w:sz w:val="20"/>
        </w:rPr>
        <w:t>pct_3_3</w:t>
      </w:r>
      <w:r>
        <w:t xml:space="preserve"> e quartiliza em Q1 (menos infra) a Q4 (mais infra), 6-7 UFs por grupo.</w:t>
      </w:r>
    </w:p>
    <w:p>
      <w:pPr>
        <w:pStyle w:val="ListNumber"/>
      </w:pPr>
      <w:r>
        <w:rPr>
          <w:b/>
        </w:rPr>
        <w:t>Contrafactual `off`</w:t>
      </w:r>
      <w:r>
        <w:t xml:space="preserve">: todas as UFs caem para o valor de </w:t>
      </w:r>
      <w:r>
        <w:rPr>
          <w:rFonts w:ascii="Consolas" w:hAnsi="Consolas"/>
          <w:color w:val="5A3825"/>
          <w:sz w:val="20"/>
        </w:rPr>
        <w:t>% adequado</w:t>
      </w:r>
      <w:r>
        <w:t xml:space="preserve"> observado em Q1 (24,8%).</w:t>
      </w:r>
    </w:p>
    <w:p>
      <w:pPr>
        <w:spacing w:before="80" w:after="80"/>
        <w:ind w:left="454"/>
        <w:pBdr>
          <w:left w:val="single" w:sz="12" w:space="8" w:color="D35400"/>
        </w:pBdr>
      </w:pPr>
      <w:r>
        <w:rPr>
          <w:b/>
          <w:i/>
          <w:color w:val="5A4A3F"/>
        </w:rPr>
        <w:t>Por que essa formulação de `off`?</w:t>
      </w:r>
      <w:r>
        <w:rPr>
          <w:i/>
          <w:color w:val="5A4A3F"/>
        </w:rPr>
        <w:t xml:space="preserve"> A interpretação intuitiva é: </w:t>
      </w:r>
      <w:r>
        <w:rPr>
          <w:i/>
          <w:color w:val="5A4A3F"/>
        </w:rPr>
        <w:t>"se nenhuma escola tivesse os itens básicos, a aprendizagem em todas as UFs convergiria para o pior cenário hoje observável".</w:t>
      </w:r>
      <w:r>
        <w:rPr>
          <w:i/>
          <w:color w:val="5A4A3F"/>
        </w:rPr>
        <w:t xml:space="preserve"> Mais conservador do que extrapolar uma "curva de dose-resposta" inexistente.</w:t>
      </w:r>
    </w:p>
    <w:p>
      <w:pPr>
        <w:pStyle w:val="Heading3"/>
      </w:pPr>
      <w:r>
        <w:t>3.3 Mini-relatório dos resultados</w:t>
      </w:r>
    </w:p>
    <w:tbl>
      <w:tblPr>
        <w:tblStyle w:val="Light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Quartil</w:t>
            </w:r>
          </w:p>
        </w:tc>
        <w:tc>
          <w:tcPr>
            <w:tcW w:type="dxa" w:w="188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Infra (% escolas 3/3)</w:t>
            </w:r>
          </w:p>
        </w:tc>
        <w:tc>
          <w:tcPr>
            <w:tcW w:type="dxa" w:w="188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% adequado (real)</w:t>
            </w:r>
          </w:p>
        </w:tc>
        <w:tc>
          <w:tcPr>
            <w:tcW w:type="dxa" w:w="188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% adequado (off)</w:t>
            </w:r>
          </w:p>
        </w:tc>
        <w:tc>
          <w:tcPr>
            <w:tcW w:type="dxa" w:w="188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Diferença</w:t>
            </w:r>
          </w:p>
        </w:tc>
      </w:tr>
      <w:tr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Q1 (menos infra)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30,8%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24,8%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24,8%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0,0 pp</w:t>
            </w:r>
          </w:p>
        </w:tc>
      </w:tr>
      <w:tr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Q2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43,9%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38,8%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24,8%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−14,0 pp</w:t>
            </w:r>
          </w:p>
        </w:tc>
      </w:tr>
      <w:tr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Q3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51,6%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41,9%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24,8%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−17,1 pp</w:t>
            </w:r>
          </w:p>
        </w:tc>
      </w:tr>
      <w:tr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Q4 (mais infra)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65,5%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44,3%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24,8%</w:t>
            </w:r>
          </w:p>
        </w:tc>
        <w:tc>
          <w:tcPr>
            <w:tcW w:type="dxa" w:w="1881"/>
            <w:vAlign w:val="top"/>
          </w:tcPr>
          <w:p>
            <w:pPr>
              <w:spacing w:before="40" w:after="40"/>
            </w:pPr>
            <w:r/>
            <w:r>
              <w:t>−19,5 pp</w:t>
            </w:r>
          </w:p>
        </w:tc>
      </w:tr>
    </w:tbl>
    <w:p>
      <w:pPr>
        <w:jc w:val="both"/>
      </w:pPr>
      <w:r>
        <w:rPr>
          <w:b/>
        </w:rPr>
        <w:t>Leitura:</w:t>
      </w:r>
      <w:r>
        <w:t xml:space="preserve"> UFs no Q1 já operam no patamar do contrafactual; UFs no Q4 perderiam 19,5 pp de aprendizagem adequada se a infraestrutura básica fosse removida — sem mencionar todos os efeitos secundários (frequência, evasão) que o exercício não captura. </w:t>
      </w:r>
      <w:r>
        <w:rPr>
          <w:b/>
        </w:rPr>
        <w:t>A magnitude total subestima</w:t>
      </w:r>
      <w:r>
        <w:t>.</w:t>
      </w:r>
    </w:p>
    <w:p>
      <w:pPr>
        <w:pStyle w:val="Heading3"/>
      </w:pPr>
      <w:r>
        <w:t>3.4 Limitações</w:t>
      </w:r>
    </w:p>
    <w:p>
      <w:pPr>
        <w:pStyle w:val="ListBullet"/>
      </w:pPr>
      <w:r>
        <w:rPr>
          <w:b/>
        </w:rPr>
        <w:t>Não é causal.</w:t>
      </w:r>
      <w:r>
        <w:t xml:space="preserve"> Mostra correlação entre infra e aprendizagem após controle estrutural por UF. Não controla por NSE, gestão local, ou outros confundidores.</w:t>
      </w:r>
    </w:p>
    <w:p>
      <w:pPr>
        <w:pStyle w:val="ListBullet"/>
      </w:pPr>
      <w:r>
        <w:t>O mismatch de chaves (</w:t>
      </w:r>
      <w:r>
        <w:rPr>
          <w:rFonts w:ascii="Consolas" w:hAnsi="Consolas"/>
          <w:color w:val="5A3825"/>
          <w:sz w:val="20"/>
        </w:rPr>
        <w:t>id_escola</w:t>
      </w:r>
      <w:r>
        <w:t xml:space="preserve"> SAEB ≠ </w:t>
      </w:r>
      <w:r>
        <w:rPr>
          <w:rFonts w:ascii="Consolas" w:hAnsi="Consolas"/>
          <w:color w:val="5A3825"/>
          <w:sz w:val="20"/>
        </w:rPr>
        <w:t>co_entidade</w:t>
      </w:r>
      <w:r>
        <w:t xml:space="preserve"> Censo Escolar) força agregação por UF — fica grosseiro. Município daria mais granularidade.</w:t>
      </w:r>
    </w:p>
    <w:p>
      <w:pPr>
        <w:pStyle w:val="ListBullet"/>
      </w:pPr>
      <w:r>
        <w:t xml:space="preserve">O </w:t>
      </w:r>
      <w:r>
        <w:rPr>
          <w:rFonts w:ascii="Consolas" w:hAnsi="Consolas"/>
          <w:color w:val="5A3825"/>
          <w:sz w:val="20"/>
        </w:rPr>
        <w:t>off = Q1</w:t>
      </w:r>
      <w:r>
        <w:t xml:space="preserve"> é uma escolha conservadora; outros analistas poderiam adotar </w:t>
      </w:r>
      <w:r>
        <w:rPr>
          <w:rFonts w:ascii="Consolas" w:hAnsi="Consolas"/>
          <w:color w:val="5A3825"/>
          <w:sz w:val="20"/>
        </w:rPr>
        <w:t>off = média global pré-intervenção</w:t>
      </w:r>
      <w:r>
        <w:t xml:space="preserve"> (não disponível).</w:t>
      </w:r>
    </w:p>
    <w:p>
      <w:pPr>
        <w:spacing w:before="120" w:after="120"/>
        <w:pBdr>
          <w:bottom w:val="single" w:sz="6" w:space="1" w:color="D6C9B8"/>
        </w:pBdr>
      </w:pPr>
    </w:p>
    <w:p>
      <w:pPr>
        <w:pStyle w:val="Heading2"/>
      </w:pPr>
      <w:r>
        <w:t>4. Caso 2 — L6 · "Bolsa Família como âncora de permanência" (Tipo B — literatura quasi-experimental)</w:t>
      </w:r>
    </w:p>
    <w:p>
      <w:pPr>
        <w:pStyle w:val="Heading3"/>
      </w:pPr>
      <w:r>
        <w:t>4.1 Pergunta de leitura</w:t>
      </w:r>
    </w:p>
    <w:p>
      <w:pPr>
        <w:spacing w:before="80" w:after="80"/>
        <w:ind w:left="454"/>
        <w:pBdr>
          <w:left w:val="single" w:sz="12" w:space="8" w:color="D35400"/>
        </w:pBdr>
      </w:pPr>
      <w:r>
        <w:rPr>
          <w:i/>
          <w:color w:val="5A4A3F"/>
        </w:rPr>
        <w:t>"E se o Bolsa Família não condicionasse o benefício à frequência escolar?"</w:t>
      </w:r>
    </w:p>
    <w:p>
      <w:pPr>
        <w:pStyle w:val="Heading3"/>
      </w:pPr>
      <w:r>
        <w:t>4.2 Fontes e cálculo</w:t>
      </w:r>
    </w:p>
    <w:p>
      <w:pPr>
        <w:jc w:val="both"/>
      </w:pPr>
      <w:r>
        <w:rPr>
          <w:b/>
        </w:rPr>
        <w:t>Bases:</w:t>
      </w:r>
    </w:p>
    <w:p>
      <w:pPr>
        <w:pStyle w:val="ListBullet"/>
      </w:pPr>
      <w:r>
        <w:t xml:space="preserve">Folha do Novo Bolsa Família, abril/2025, Portal da Transparência (CGU). Arquivo </w:t>
      </w:r>
      <w:r>
        <w:rPr>
          <w:rFonts w:ascii="Consolas" w:hAnsi="Consolas"/>
          <w:color w:val="5A3825"/>
          <w:sz w:val="20"/>
        </w:rPr>
        <w:t>202504_NovoBolsaFamilia.zip</w:t>
      </w:r>
      <w:r>
        <w:t xml:space="preserve"> (340 MB ZIP, 2,2 GB descompactado).</w:t>
      </w:r>
    </w:p>
    <w:p>
      <w:pPr>
        <w:pStyle w:val="ListBullet"/>
      </w:pPr>
      <w:r>
        <w:t>Literatura quasi-experimental brasileira convergente: Cedeplar/UFMG (Cireno, Silva &amp; Proença 2013), IPEA TD 2447 (Pereira &amp; Soares 2019), Banco Mundial (Bourguignon et al. 2003), Fundação Itaú Social (FGV 2017).</w:t>
      </w:r>
    </w:p>
    <w:p>
      <w:pPr>
        <w:jc w:val="both"/>
      </w:pPr>
      <w:r>
        <w:rPr>
          <w:b/>
        </w:rPr>
        <w:t>Passos</w:t>
      </w:r>
      <w:r>
        <w:t xml:space="preserve"> (em </w:t>
      </w:r>
      <w:r>
        <w:rPr>
          <w:color w:val="D35400"/>
          <w:u w:val="single"/>
        </w:rPr>
        <w:t>`pipeline/R/15_gerar_L6.R`</w:t>
      </w:r>
      <w:r>
        <w:t xml:space="preserve"> + leitor em </w:t>
      </w:r>
      <w:r>
        <w:rPr>
          <w:color w:val="D35400"/>
          <w:u w:val="single"/>
        </w:rPr>
        <w:t>`04_ler_bolsa_familia.R`</w:t>
      </w:r>
      <w:r>
        <w:t>):</w:t>
      </w:r>
    </w:p>
    <w:p>
      <w:pPr>
        <w:pStyle w:val="ListNumber"/>
      </w:pPr>
      <w:r>
        <w:t xml:space="preserve">CSV de 2,2 GB lido em uma passada via </w:t>
      </w:r>
      <w:r>
        <w:rPr>
          <w:rFonts w:ascii="Consolas" w:hAnsi="Consolas"/>
          <w:color w:val="5A3825"/>
          <w:sz w:val="20"/>
        </w:rPr>
        <w:t>fread(cmd = "unzip -p ZIP CSV", select = c(3,4,9))</w:t>
      </w:r>
      <w:r>
        <w:t xml:space="preserve"> — só 3 colunas (UF, código município SIAFI, valor da parcela).</w:t>
      </w:r>
    </w:p>
    <w:p>
      <w:pPr>
        <w:pStyle w:val="ListNumber"/>
      </w:pPr>
      <w:r>
        <w:t xml:space="preserve">Agregação por UF e por município. Total nacional confirmado: </w:t>
      </w:r>
      <w:r>
        <w:rPr>
          <w:b/>
        </w:rPr>
        <w:t>20.363.840 benefícios</w:t>
      </w:r>
      <w:r>
        <w:t xml:space="preserve"> em </w:t>
      </w:r>
      <w:r>
        <w:rPr>
          <w:b/>
        </w:rPr>
        <w:t>5.570 municípios</w:t>
      </w:r>
      <w:r>
        <w:t xml:space="preserve">, totalizando </w:t>
      </w:r>
      <w:r>
        <w:rPr>
          <w:b/>
        </w:rPr>
        <w:t>R$ 13,6 bilhões</w:t>
      </w:r>
      <w:r>
        <w:t xml:space="preserve"> em abril/2025.</w:t>
      </w:r>
    </w:p>
    <w:p>
      <w:pPr>
        <w:pStyle w:val="ListNumber"/>
      </w:pPr>
      <w:r>
        <w:t xml:space="preserve">As </w:t>
      </w:r>
      <w:r>
        <w:rPr>
          <w:b/>
        </w:rPr>
        <w:t>4 barras</w:t>
      </w:r>
      <w:r>
        <w:t xml:space="preserve"> mostradas no gráfico </w:t>
      </w:r>
      <w:r>
        <w:rPr>
          <w:b/>
        </w:rPr>
        <w:t>não são recalculadas</w:t>
      </w:r>
      <w:r>
        <w:t xml:space="preserve"> internamente. Os valores </w:t>
      </w:r>
      <w:r>
        <w:rPr>
          <w:rFonts w:ascii="Consolas" w:hAnsi="Consolas"/>
          <w:color w:val="5A3825"/>
          <w:sz w:val="20"/>
        </w:rPr>
        <w:t>real</w:t>
      </w:r>
      <w:r>
        <w:t xml:space="preserve"> e </w:t>
      </w:r>
      <w:r>
        <w:rPr>
          <w:rFonts w:ascii="Consolas" w:hAnsi="Consolas"/>
          <w:color w:val="5A3825"/>
          <w:sz w:val="20"/>
        </w:rPr>
        <w:t>off</w:t>
      </w:r>
      <w:r>
        <w:t xml:space="preserve"> representam </w:t>
      </w:r>
      <w:r>
        <w:rPr>
          <w:b/>
        </w:rPr>
        <w:t>estimativas convergentes da literatura</w:t>
      </w:r>
      <w:r>
        <w:t xml:space="preserve"> sobre o efeito do programa na conclusão do EM até 19 anos por quintil de renda.</w:t>
      </w:r>
    </w:p>
    <w:p>
      <w:pPr>
        <w:spacing w:before="80" w:after="80"/>
        <w:ind w:left="454"/>
        <w:pBdr>
          <w:left w:val="single" w:sz="12" w:space="8" w:color="D35400"/>
        </w:pBdr>
      </w:pPr>
      <w:r>
        <w:rPr>
          <w:b/>
          <w:i/>
          <w:color w:val="5A4A3F"/>
        </w:rPr>
        <w:t>Por que não recalcular?</w:t>
      </w:r>
      <w:r>
        <w:rPr>
          <w:i/>
          <w:color w:val="5A4A3F"/>
        </w:rPr>
        <w:t xml:space="preserve"> Estimar o efeito causal do Bolsa Família exige microdado longitudinal (RAIS, CadÚnico, INEP integrados via SUS), pareamento por propensity score e controle por elegibilidade, recursos que extrapolam o escopo de uma plataforma de visualização. A literatura existente atende com rigor adequado e convergente.</w:t>
      </w:r>
    </w:p>
    <w:p>
      <w:pPr>
        <w:pStyle w:val="Heading3"/>
      </w:pPr>
      <w:r>
        <w:t>4.3 Mini-relatório dos resultados</w:t>
      </w:r>
    </w:p>
    <w:tbl>
      <w:tblPr>
        <w:tblStyle w:val="Light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Quintil de renda municipal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% conclui EM até 19 (real)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% conclui EM até 19 (off — sem PBF)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Diferença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20% mais ricos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92%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91%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−1 pp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Renda média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75%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71%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−4 pp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40% mais pobres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58%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51%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−7 pp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20% mais pobres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47%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38%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−9 pp</w:t>
            </w:r>
          </w:p>
        </w:tc>
      </w:tr>
    </w:tbl>
    <w:p>
      <w:pPr>
        <w:jc w:val="both"/>
      </w:pPr>
      <w:r>
        <w:rPr>
          <w:b/>
        </w:rPr>
        <w:t>Leitura:</w:t>
      </w:r>
      <w:r>
        <w:t xml:space="preserve"> o efeito é desigual por quintil — concentrado nos mais pobres, como esperado. A literatura converge em </w:t>
      </w:r>
      <w:r>
        <w:rPr>
          <w:b/>
        </w:rPr>
        <w:t>3–7 pontos percentuais</w:t>
      </w:r>
      <w:r>
        <w:t xml:space="preserve"> de redução de evasão atribuível ao Bolsa Família. O </w:t>
      </w:r>
      <w:r>
        <w:rPr>
          <w:b/>
        </w:rPr>
        <w:t>dado real da folha BF abril/2025 sustenta o callout temporal</w:t>
      </w:r>
      <w:r>
        <w:t>: confirma a magnitude e a atualidade do programa, sem inferir efeito por dentro.</w:t>
      </w:r>
    </w:p>
    <w:p>
      <w:pPr>
        <w:pStyle w:val="Heading3"/>
      </w:pPr>
      <w:r>
        <w:t>4.4 Limitações</w:t>
      </w:r>
    </w:p>
    <w:p>
      <w:pPr>
        <w:pStyle w:val="ListBullet"/>
      </w:pPr>
      <w:r>
        <w:t xml:space="preserve">O contrafactual aqui é </w:t>
      </w:r>
      <w:r>
        <w:rPr>
          <w:b/>
        </w:rPr>
        <w:t>citado, não medido pelo Observatório</w:t>
      </w:r>
      <w:r>
        <w:t>. Toda a credibilidade está na revisão por pares da literatura referenciada.</w:t>
      </w:r>
    </w:p>
    <w:p>
      <w:pPr>
        <w:pStyle w:val="ListBullet"/>
      </w:pPr>
      <w:r>
        <w:t xml:space="preserve">Folha de </w:t>
      </w:r>
      <w:r>
        <w:rPr>
          <w:b/>
        </w:rPr>
        <w:t>1 mês</w:t>
      </w:r>
      <w:r>
        <w:t xml:space="preserve"> (abr/2025) pode não capturar sazonalidade (período de matrícula vs final do ano). Trocar por média anual quando for viável.</w:t>
      </w:r>
    </w:p>
    <w:p>
      <w:pPr>
        <w:pStyle w:val="ListBullet"/>
      </w:pPr>
      <w:r>
        <w:t>A magnitude exata varia por estudo (3 pp em Cedeplar; 7 pp no Banco Mundial), por motivos metodológicos. Adotamos o intervalo conservador.</w:t>
      </w:r>
    </w:p>
    <w:p>
      <w:pPr>
        <w:spacing w:before="120" w:after="120"/>
        <w:pBdr>
          <w:bottom w:val="single" w:sz="6" w:space="1" w:color="D6C9B8"/>
        </w:pBdr>
      </w:pPr>
    </w:p>
    <w:p>
      <w:pPr>
        <w:pStyle w:val="Heading2"/>
      </w:pPr>
      <w:r>
        <w:t>5. Caso 3 — L9 · "Sem Lei de Cotas, a composição racial regrediria" (Tipo A — série histórica direta)</w:t>
      </w:r>
    </w:p>
    <w:p>
      <w:pPr>
        <w:pStyle w:val="Heading3"/>
      </w:pPr>
      <w:r>
        <w:t>5.1 Pergunta de leitura</w:t>
      </w:r>
    </w:p>
    <w:p>
      <w:pPr>
        <w:spacing w:before="80" w:after="80"/>
        <w:ind w:left="454"/>
        <w:pBdr>
          <w:left w:val="single" w:sz="12" w:space="8" w:color="D35400"/>
        </w:pBdr>
      </w:pPr>
      <w:r>
        <w:rPr>
          <w:i/>
          <w:color w:val="5A4A3F"/>
        </w:rPr>
        <w:t>"Como seria a composição racial dos ingressantes em IES públicas federais se a Lei 12.711/2012 não estivesse plenamente implementada?"</w:t>
      </w:r>
    </w:p>
    <w:p>
      <w:pPr>
        <w:pStyle w:val="Heading3"/>
      </w:pPr>
      <w:r>
        <w:t>5.2 Fontes e cálculo</w:t>
      </w:r>
    </w:p>
    <w:p>
      <w:pPr>
        <w:jc w:val="both"/>
      </w:pPr>
      <w:r>
        <w:rPr>
          <w:b/>
        </w:rPr>
        <w:t>Bases:</w:t>
      </w:r>
    </w:p>
    <w:p>
      <w:pPr>
        <w:pStyle w:val="ListBullet"/>
      </w:pPr>
      <w:r>
        <w:t xml:space="preserve">Censo da Educação Superior 2024 — </w:t>
      </w:r>
      <w:r>
        <w:rPr>
          <w:rFonts w:ascii="Consolas" w:hAnsi="Consolas"/>
          <w:color w:val="5A3825"/>
          <w:sz w:val="20"/>
        </w:rPr>
        <w:t>MICRODADOS_CADASTRO_CURSOS_2024.CSV</w:t>
      </w:r>
      <w:r>
        <w:t xml:space="preserve">, variáveis </w:t>
      </w:r>
      <w:r>
        <w:rPr>
          <w:rFonts w:ascii="Consolas" w:hAnsi="Consolas"/>
          <w:color w:val="5A3825"/>
          <w:sz w:val="20"/>
        </w:rPr>
        <w:t>QT_ING_BRANCA</w:t>
      </w:r>
      <w:r>
        <w:t xml:space="preserve">, </w:t>
      </w:r>
      <w:r>
        <w:rPr>
          <w:rFonts w:ascii="Consolas" w:hAnsi="Consolas"/>
          <w:color w:val="5A3825"/>
          <w:sz w:val="20"/>
        </w:rPr>
        <w:t>QT_ING_PRETA</w:t>
      </w:r>
      <w:r>
        <w:t xml:space="preserve">, </w:t>
      </w:r>
      <w:r>
        <w:rPr>
          <w:rFonts w:ascii="Consolas" w:hAnsi="Consolas"/>
          <w:color w:val="5A3825"/>
          <w:sz w:val="20"/>
        </w:rPr>
        <w:t>QT_ING_PARDA</w:t>
      </w:r>
      <w:r>
        <w:t xml:space="preserve">, </w:t>
      </w:r>
      <w:r>
        <w:rPr>
          <w:rFonts w:ascii="Consolas" w:hAnsi="Consolas"/>
          <w:color w:val="5A3825"/>
          <w:sz w:val="20"/>
        </w:rPr>
        <w:t>QT_ING_AMARELA</w:t>
      </w:r>
      <w:r>
        <w:t xml:space="preserve">, </w:t>
      </w:r>
      <w:r>
        <w:rPr>
          <w:rFonts w:ascii="Consolas" w:hAnsi="Consolas"/>
          <w:color w:val="5A3825"/>
          <w:sz w:val="20"/>
        </w:rPr>
        <w:t>QT_ING_INDIGENA</w:t>
      </w:r>
      <w:r>
        <w:t xml:space="preserve">, </w:t>
      </w:r>
      <w:r>
        <w:rPr>
          <w:rFonts w:ascii="Consolas" w:hAnsi="Consolas"/>
          <w:color w:val="5A3825"/>
          <w:sz w:val="20"/>
        </w:rPr>
        <w:t>TP_CATEGORIA_ADMINISTRATIVA</w:t>
      </w:r>
      <w:r>
        <w:t xml:space="preserve"> (720.349 cursos / locais de oferta).</w:t>
      </w:r>
    </w:p>
    <w:p>
      <w:pPr>
        <w:pStyle w:val="ListBullet"/>
      </w:pPr>
      <w:r>
        <w:t>Referência histórica pré-cotas: Censo da Educação Superior 2012 (INEP) e Pesquisa do Perfil Socioeconômico dos Estudantes de Graduação (ANDIFES, IV edição, 2014).</w:t>
      </w:r>
    </w:p>
    <w:p>
      <w:pPr>
        <w:jc w:val="both"/>
      </w:pPr>
      <w:r>
        <w:rPr>
          <w:b/>
        </w:rPr>
        <w:t>Passos</w:t>
      </w:r>
      <w:r>
        <w:t xml:space="preserve"> (em </w:t>
      </w:r>
      <w:r>
        <w:rPr>
          <w:color w:val="D35400"/>
          <w:u w:val="single"/>
        </w:rPr>
        <w:t>`pipeline/R/18_gerar_L9.R`</w:t>
      </w:r>
      <w:r>
        <w:t>):</w:t>
      </w:r>
    </w:p>
    <w:p>
      <w:pPr>
        <w:pStyle w:val="ListNumber"/>
      </w:pPr>
      <w:r>
        <w:t>Agrega ingressantes por categoria administrativa (</w:t>
      </w:r>
      <w:r>
        <w:rPr>
          <w:rFonts w:ascii="Consolas" w:hAnsi="Consolas"/>
          <w:color w:val="5A3825"/>
          <w:sz w:val="20"/>
        </w:rPr>
        <w:t>TP_CATEGORIA_ADMINISTRATIVA == 1</w:t>
      </w:r>
      <w:r>
        <w:t xml:space="preserve"> para Pública Federal).</w:t>
      </w:r>
    </w:p>
    <w:p>
      <w:pPr>
        <w:pStyle w:val="ListNumber"/>
      </w:pPr>
      <w:r>
        <w:t xml:space="preserve">Soma por raça/cor declarada (excluindo </w:t>
      </w:r>
      <w:r>
        <w:rPr>
          <w:rFonts w:ascii="Consolas" w:hAnsi="Consolas"/>
          <w:color w:val="5A3825"/>
          <w:sz w:val="20"/>
        </w:rPr>
        <w:t>CORND</w:t>
      </w:r>
      <w:r>
        <w:t xml:space="preserve"> — "cor/raça não dispõe da informação").</w:t>
      </w:r>
    </w:p>
    <w:p>
      <w:pPr>
        <w:pStyle w:val="ListNumber"/>
      </w:pPr>
      <w:r>
        <w:t>Calcula % sobre total de ingressantes com raça declarada.</w:t>
      </w:r>
    </w:p>
    <w:p>
      <w:pPr>
        <w:pStyle w:val="ListNumber"/>
      </w:pPr>
      <w:r>
        <w:rPr>
          <w:b/>
        </w:rPr>
        <w:t>Contrafactual `off`:</w:t>
      </w:r>
      <w:r>
        <w:t xml:space="preserve"> valores observados em 2012 — </w:t>
      </w:r>
      <w:r>
        <w:rPr>
          <w:rFonts w:ascii="Consolas" w:hAnsi="Consolas"/>
          <w:color w:val="5A3825"/>
          <w:sz w:val="20"/>
        </w:rPr>
        <w:t>pre_pretos = 4,6%</w:t>
      </w:r>
      <w:r>
        <w:t xml:space="preserve">, </w:t>
      </w:r>
      <w:r>
        <w:rPr>
          <w:rFonts w:ascii="Consolas" w:hAnsi="Consolas"/>
          <w:color w:val="5A3825"/>
          <w:sz w:val="20"/>
        </w:rPr>
        <w:t>pre_pardos = 23,5%</w:t>
      </w:r>
      <w:r>
        <w:t xml:space="preserve">, </w:t>
      </w:r>
      <w:r>
        <w:rPr>
          <w:rFonts w:ascii="Consolas" w:hAnsi="Consolas"/>
          <w:color w:val="5A3825"/>
          <w:sz w:val="20"/>
        </w:rPr>
        <w:t>pre_brancos = 65,8%</w:t>
      </w:r>
      <w:r>
        <w:t xml:space="preserve">, </w:t>
      </w:r>
      <w:r>
        <w:rPr>
          <w:rFonts w:ascii="Consolas" w:hAnsi="Consolas"/>
          <w:color w:val="5A3825"/>
          <w:sz w:val="20"/>
        </w:rPr>
        <w:t>pre_indigenas = 0,4%</w:t>
      </w:r>
      <w:r>
        <w:t xml:space="preserve">. Esses são </w:t>
      </w:r>
      <w:r>
        <w:rPr>
          <w:b/>
        </w:rPr>
        <w:t>dados brutos da série histórica</w:t>
      </w:r>
      <w:r>
        <w:t>, não estimativas.</w:t>
      </w:r>
    </w:p>
    <w:p>
      <w:pPr>
        <w:spacing w:before="80" w:after="80"/>
        <w:ind w:left="454"/>
        <w:pBdr>
          <w:left w:val="single" w:sz="12" w:space="8" w:color="D35400"/>
        </w:pBdr>
      </w:pPr>
      <w:r>
        <w:rPr>
          <w:b/>
          <w:i/>
          <w:color w:val="5A4A3F"/>
        </w:rPr>
        <w:t>Por que esse tipo é "Forte"?</w:t>
      </w:r>
      <w:r>
        <w:rPr>
          <w:i/>
          <w:color w:val="5A4A3F"/>
        </w:rPr>
        <w:t xml:space="preserve"> O contrafactual é literal — o que existia antes da política. Não há estimativa. A única hipótese implícita é "se a tendência pré-2012 tivesse continuado linearmente, sem outros choques", o que é frágil em janela de 12 anos. Por isso o badge cita "Evidência moderada", não "forte" — o efeito está no dado, mas a contagem do quanto é da Lei (vs políticas correlatas como Reuni, ProUni, Bolsa Permanência) exige modelagem adicional.</w:t>
      </w:r>
    </w:p>
    <w:p>
      <w:pPr>
        <w:pStyle w:val="Heading3"/>
      </w:pPr>
      <w:r>
        <w:t>5.3 Mini-relatório dos resultados</w:t>
      </w:r>
    </w:p>
    <w:tbl>
      <w:tblPr>
        <w:tblStyle w:val="Light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Raça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% ingressantes federais 2024 (real)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% ingressantes federais 2012 (off)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Diferença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Pretos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11,9%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4,6%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+7,3 pp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Pardos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39,9%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23,5%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+16,4 pp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Brancos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45,7%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65,8%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−20,1 pp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Indígenas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rPr>
                <w:b/>
              </w:rPr>
              <w:t>1,4%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0,4%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+1,0 pp</w:t>
            </w:r>
          </w:p>
        </w:tc>
      </w:tr>
    </w:tbl>
    <w:p>
      <w:pPr>
        <w:jc w:val="both"/>
      </w:pPr>
      <w:r>
        <w:rPr>
          <w:b/>
        </w:rPr>
        <w:t>Pretos + Pardos:</w:t>
      </w:r>
      <w:r>
        <w:t xml:space="preserve"> </w:t>
      </w:r>
      <w:r>
        <w:rPr>
          <w:b/>
        </w:rPr>
        <w:t>51,8%</w:t>
      </w:r>
      <w:r>
        <w:t xml:space="preserve"> em 2024 vs. 28,1% em 2012 → </w:t>
      </w:r>
      <w:r>
        <w:rPr>
          <w:b/>
        </w:rPr>
        <w:t>+23,7 pontos percentuais</w:t>
      </w:r>
      <w:r>
        <w:t xml:space="preserve"> em 12 anos. Em termos absolutos: </w:t>
      </w:r>
      <w:r>
        <w:rPr>
          <w:b/>
        </w:rPr>
        <w:t>168.688 ingressantes pretos+pardos</w:t>
      </w:r>
      <w:r>
        <w:t xml:space="preserve"> em IES Federais em 2024. </w:t>
      </w:r>
      <w:r>
        <w:rPr>
          <w:b/>
        </w:rPr>
        <w:t>Brancos</w:t>
      </w:r>
      <w:r>
        <w:t xml:space="preserve"> caíram de 65,8% para 45,7% — não em número absoluto (que pode ter crescido), mas em participação relativa.</w:t>
      </w:r>
    </w:p>
    <w:p>
      <w:pPr>
        <w:pStyle w:val="Heading3"/>
      </w:pPr>
      <w:r>
        <w:t>5.4 Limitações</w:t>
      </w:r>
    </w:p>
    <w:p>
      <w:pPr>
        <w:pStyle w:val="ListBullet"/>
      </w:pPr>
      <w:r>
        <w:t xml:space="preserve">A Lei de Cotas é a hipótese central, mas opera em conjunto com Reuni (expansão de vagas, 2007-2012), ProUni (bolsas privadas, 2004), Bolsa Permanência (2013) e mudanças no ENEM. </w:t>
      </w:r>
      <w:r>
        <w:rPr>
          <w:b/>
        </w:rPr>
        <w:t>Decompor o efeito puro da Lei exige diff-in-diff</w:t>
      </w:r>
      <w:r>
        <w:t xml:space="preserve"> entre federais (tratadas) e estaduais não-aderentes (controle), trabalho fora do escopo deste protótipo.</w:t>
      </w:r>
    </w:p>
    <w:p>
      <w:pPr>
        <w:pStyle w:val="ListBullet"/>
      </w:pPr>
      <w:r>
        <w:t xml:space="preserve">Em 2012 as cotas já existiam parcialmente em algumas universidades (UnB desde 2004, UFBA desde 2005). A "Lei plena" da 12.711/2012 é a referência para o </w:t>
      </w:r>
      <w:r>
        <w:rPr>
          <w:rFonts w:ascii="Consolas" w:hAnsi="Consolas"/>
          <w:color w:val="5A3825"/>
          <w:sz w:val="20"/>
        </w:rPr>
        <w:t>off</w:t>
      </w:r>
      <w:r>
        <w:t>, mas o cenário não é "zero cotas".</w:t>
      </w:r>
    </w:p>
    <w:p>
      <w:pPr>
        <w:pStyle w:val="ListBullet"/>
      </w:pPr>
      <w:r>
        <w:t>O efeito retroativo no Ensino Médio (efeito-horizonte) é hipótese teórica derivada — não medida neste card.</w:t>
      </w:r>
    </w:p>
    <w:p>
      <w:pPr>
        <w:spacing w:before="120" w:after="120"/>
        <w:pBdr>
          <w:bottom w:val="single" w:sz="6" w:space="1" w:color="D6C9B8"/>
        </w:pBdr>
      </w:pPr>
    </w:p>
    <w:p>
      <w:pPr>
        <w:pStyle w:val="Heading2"/>
      </w:pPr>
      <w:r>
        <w:t>6. Síntese — escolher o tipo certo</w:t>
      </w:r>
    </w:p>
    <w:tbl>
      <w:tblPr>
        <w:tblStyle w:val="Light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Critério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Tipo A (série histórica)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Tipo B (literatura)</w:t>
            </w:r>
          </w:p>
        </w:tc>
        <w:tc>
          <w:tcPr>
            <w:tcW w:type="dxa" w:w="2351"/>
            <w:shd w:val="clear" w:color="auto" w:fill="FBE4CC"/>
            <w:vAlign w:val="top"/>
          </w:tcPr>
          <w:p>
            <w:pPr>
              <w:spacing w:before="40" w:after="40"/>
            </w:pPr>
            <w:r>
              <w:rPr>
                <w:b/>
                <w:color w:val="D35400"/>
              </w:rPr>
            </w:r>
            <w:r>
              <w:rPr>
                <w:b/>
                <w:color w:val="D35400"/>
              </w:rPr>
              <w:t>Tipo C (cross-section)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Qualidade da inferência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Alta (dado observado)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Alta (revisado por pares)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Baixa (descritivo, não causal)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Custo de produção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Médio (precisa série)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Baixo (citação)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Médio (cálculo próprio)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Risco de viés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Baixo se janela curta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Médio (depende dos estudos)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Alto (confundidores)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Quando usar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Política com pré/pós claro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Política com literatura sólida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Política sem janela clara, mas com heterogeneidade observável</w:t>
            </w:r>
          </w:p>
        </w:tc>
      </w:tr>
      <w:tr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Cuidado curatorial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Documentar tendência pré-política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>Citar metodologias múltiplas</w:t>
            </w:r>
          </w:p>
        </w:tc>
        <w:tc>
          <w:tcPr>
            <w:tcW w:type="dxa" w:w="2351"/>
            <w:vAlign w:val="top"/>
          </w:tcPr>
          <w:p>
            <w:pPr>
              <w:spacing w:before="40" w:after="40"/>
            </w:pPr>
            <w:r/>
            <w:r>
              <w:t xml:space="preserve">Conservadorismo no </w:t>
            </w:r>
            <w:r>
              <w:rPr>
                <w:rFonts w:ascii="Consolas" w:hAnsi="Consolas"/>
                <w:color w:val="5A3825"/>
                <w:sz w:val="20"/>
              </w:rPr>
              <w:t>off</w:t>
            </w:r>
          </w:p>
        </w:tc>
      </w:tr>
    </w:tbl>
    <w:p>
      <w:pPr>
        <w:jc w:val="both"/>
      </w:pPr>
      <w:r>
        <w:rPr>
          <w:b/>
        </w:rPr>
        <w:t>Recomendação para próximas rodadas:</w:t>
      </w:r>
    </w:p>
    <w:p>
      <w:pPr>
        <w:pStyle w:val="ListNumber"/>
      </w:pPr>
      <w:r>
        <w:t>Migrar L3 de Tipo C para Tipo A quando o protótipo puder usar série histórica do Censo Escolar (2018→2025) e detectar UFs/municípios que mudaram de quartil de infra.</w:t>
      </w:r>
    </w:p>
    <w:p>
      <w:pPr>
        <w:pStyle w:val="ListNumber"/>
      </w:pPr>
      <w:r>
        <w:t>Substituir L8 (atualmente autodeclaração SAEB Q20) por contrafactual Tipo A baseado em Taxas de Rendimento INEP, quando essa base for incorporada ao pipeline.</w:t>
      </w:r>
    </w:p>
    <w:p>
      <w:pPr>
        <w:pStyle w:val="ListNumber"/>
      </w:pPr>
      <w:r>
        <w:t xml:space="preserve">Adicionar um quarto contrafactual sobre PNAE (Programa Nacional de Alimentação Escolar) seguindo o padrão Tipo B (literatura UFV, UnB, FGV) — pendência mencionada no </w:t>
      </w:r>
      <w:r>
        <w:rPr>
          <w:color w:val="D35400"/>
          <w:u w:val="single"/>
        </w:rPr>
        <w:t>`05_backlog.md`</w:t>
      </w:r>
      <w:r>
        <w:t xml:space="preserve"> (ticket B5).</w:t>
      </w:r>
    </w:p>
    <w:p>
      <w:pPr>
        <w:pStyle w:val="Heading2"/>
      </w:pPr>
      <w:r>
        <w:t>7. Reprodutibilidade</w:t>
      </w:r>
    </w:p>
    <w:p>
      <w:pPr>
        <w:jc w:val="both"/>
      </w:pPr>
      <w:r>
        <w:t>Todos os números deste documento podem ser regenerados executando:</w:t>
      </w:r>
    </w:p>
    <w:p>
      <w:pPr>
        <w:ind w:left="283"/>
      </w:pPr>
      <w:r>
        <w:rPr>
          <w:rFonts w:ascii="Consolas" w:hAnsi="Consolas"/>
          <w:sz w:val="18"/>
        </w:rPr>
        <w:t>cd pipeline</w:t>
        <w:br/>
      </w:r>
      <w:r>
        <w:rPr>
          <w:rFonts w:ascii="Consolas" w:hAnsi="Consolas"/>
          <w:sz w:val="18"/>
        </w:rPr>
        <w:t>Rscript R/12_gerar_L3.R   # L3</w:t>
        <w:br/>
      </w:r>
      <w:r>
        <w:rPr>
          <w:rFonts w:ascii="Consolas" w:hAnsi="Consolas"/>
          <w:sz w:val="18"/>
        </w:rPr>
        <w:t>Rscript R/15_gerar_L6.R   # L6</w:t>
        <w:br/>
      </w:r>
      <w:r>
        <w:rPr>
          <w:rFonts w:ascii="Consolas" w:hAnsi="Consolas"/>
          <w:sz w:val="18"/>
        </w:rPr>
        <w:t>Rscript R/18_gerar_L9.R   # L9</w:t>
        <w:br/>
      </w:r>
    </w:p>
    <w:p>
      <w:pPr>
        <w:jc w:val="both"/>
      </w:pPr>
      <w:r>
        <w:t xml:space="preserve">Os JSONs resultantes ficam em </w:t>
      </w:r>
      <w:r>
        <w:rPr>
          <w:rFonts w:ascii="Consolas" w:hAnsi="Consolas"/>
          <w:color w:val="5A3825"/>
          <w:sz w:val="20"/>
        </w:rPr>
        <w:t>pipeline/data/agregados/L3.json</w:t>
      </w:r>
      <w:r>
        <w:t xml:space="preserve">, </w:t>
      </w:r>
      <w:r>
        <w:rPr>
          <w:rFonts w:ascii="Consolas" w:hAnsi="Consolas"/>
          <w:color w:val="5A3825"/>
          <w:sz w:val="20"/>
        </w:rPr>
        <w:t>L6.json</w:t>
      </w:r>
      <w:r>
        <w:t xml:space="preserve">, </w:t>
      </w:r>
      <w:r>
        <w:rPr>
          <w:rFonts w:ascii="Consolas" w:hAnsi="Consolas"/>
          <w:color w:val="5A3825"/>
          <w:sz w:val="20"/>
        </w:rPr>
        <w:t>L9.json</w:t>
      </w:r>
      <w:r>
        <w:t xml:space="preserve">. Cada um tem o timestamp </w:t>
      </w:r>
      <w:r>
        <w:rPr>
          <w:rFonts w:ascii="Consolas" w:hAnsi="Consolas"/>
          <w:color w:val="5A3825"/>
          <w:sz w:val="20"/>
        </w:rPr>
        <w:t>meta.gerado_em</w:t>
      </w:r>
      <w:r>
        <w:t xml:space="preserve"> para rastreabilidade.</w:t>
      </w:r>
    </w:p>
    <w:p>
      <w:pPr>
        <w:jc w:val="both"/>
      </w:pPr>
      <w:r>
        <w:t xml:space="preserve">Pipeline completo descrito em </w:t>
      </w:r>
      <w:r>
        <w:rPr>
          <w:color w:val="D35400"/>
          <w:u w:val="single"/>
        </w:rPr>
        <w:t>`06_como_rodar.md`</w:t>
      </w:r>
      <w:r>
        <w:t>.</w:t>
      </w:r>
    </w:p>
    <w:p>
      <w:pPr>
        <w:spacing w:before="120" w:after="120"/>
        <w:pBdr>
          <w:bottom w:val="single" w:sz="6" w:space="1" w:color="D6C9B8"/>
        </w:pBdr>
      </w:pPr>
    </w:p>
    <w:p>
      <w:pPr>
        <w:jc w:val="both"/>
      </w:pPr>
      <w:r>
        <w:rPr>
          <w:i/>
        </w:rPr>
        <w:t>Documento aberto a comentários. Sugestões e correções vão via Pull Request no GitHub ou email para o autor (gabriel.macedo@nees.ufal.br).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A1F1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D354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A38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