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Realizar avaliação clínica completa do paciente</w:t>
      </w:r>
    </w:p>
    <w:p>
      <w:pPr>
        <w:numPr>
          <w:ilvl w:val="0"/>
          <w:numId w:val="1001"/>
        </w:numPr>
        <w:pStyle w:val="Compact"/>
      </w:pPr>
      <w:r>
        <w:t xml:space="preserve">Fazer diagnóstico ou levantar hipóteses diagnósticas de transtorno bipolar</w:t>
      </w:r>
    </w:p>
    <w:p>
      <w:pPr>
        <w:numPr>
          <w:ilvl w:val="0"/>
          <w:numId w:val="1001"/>
        </w:numPr>
        <w:pStyle w:val="Compact"/>
      </w:pPr>
      <w:r>
        <w:t xml:space="preserve">Avaliar sintomas através de instrumentos validados</w:t>
      </w:r>
    </w:p>
    <w:p>
      <w:pPr>
        <w:numPr>
          <w:ilvl w:val="0"/>
          <w:numId w:val="1001"/>
        </w:numPr>
        <w:pStyle w:val="Compact"/>
      </w:pPr>
      <w:r>
        <w:t xml:space="preserve">Identificar o polo atual (depressão, mania/hipomania, misto ou eutímico)</w:t>
      </w:r>
    </w:p>
    <w:p>
      <w:pPr>
        <w:numPr>
          <w:ilvl w:val="0"/>
          <w:numId w:val="1001"/>
        </w:numPr>
        <w:pStyle w:val="Compact"/>
      </w:pPr>
      <w:r>
        <w:t xml:space="preserve">Estabelecer rapport inicial</w:t>
      </w:r>
    </w:p>
    <w:p>
      <w:pPr>
        <w:numPr>
          <w:ilvl w:val="0"/>
          <w:numId w:val="1001"/>
        </w:numPr>
        <w:pStyle w:val="Compact"/>
      </w:pPr>
      <w:r>
        <w:t xml:space="preserve">Investigar histórico de episódios de mania/hipomania E depressão</w:t>
      </w:r>
    </w:p>
    <w:bookmarkEnd w:id="21"/>
    <w:bookmarkStart w:id="25" w:name="procedimentos-e-protocolo"/>
    <w:p>
      <w:pPr>
        <w:pStyle w:val="Heading2"/>
      </w:pPr>
      <w:r>
        <w:t xml:space="preserve">Procedimentos e Protocolo</w:t>
      </w:r>
    </w:p>
    <w:bookmarkStart w:id="22" w:name="avaliação-clínica-completa"/>
    <w:p>
      <w:pPr>
        <w:pStyle w:val="Heading3"/>
      </w:pPr>
      <w:r>
        <w:t xml:space="preserve">Avaliação Clínica Completa</w:t>
      </w:r>
    </w:p>
    <w:p>
      <w:pPr>
        <w:pStyle w:val="FirstParagraph"/>
      </w:pPr>
      <w:r>
        <w:t xml:space="preserve">Na primeira sessão, o terapeuta deve fazer uma</w:t>
      </w:r>
      <w:r>
        <w:t xml:space="preserve"> </w:t>
      </w:r>
      <w:r>
        <w:rPr>
          <w:bCs/>
          <w:b/>
        </w:rPr>
        <w:t xml:space="preserve">história clínica completa</w:t>
      </w:r>
      <w:r>
        <w:t xml:space="preserve"> </w:t>
      </w:r>
      <w:r>
        <w:t xml:space="preserve">e observar: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Como o paciente se apresentou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Ele chegou sozinho ou foi trazido por alguém?</w:t>
      </w:r>
    </w:p>
    <w:p>
      <w:pPr>
        <w:numPr>
          <w:ilvl w:val="1"/>
          <w:numId w:val="1003"/>
        </w:numPr>
        <w:pStyle w:val="Compact"/>
      </w:pPr>
      <w:r>
        <w:t xml:space="preserve">Está falando rápido ou devagar?</w:t>
      </w:r>
    </w:p>
    <w:p>
      <w:pPr>
        <w:numPr>
          <w:ilvl w:val="1"/>
          <w:numId w:val="1003"/>
        </w:numPr>
        <w:pStyle w:val="Compact"/>
      </w:pPr>
      <w:r>
        <w:t xml:space="preserve">Está coerente em seu discurso?</w:t>
      </w:r>
    </w:p>
    <w:p>
      <w:pPr>
        <w:numPr>
          <w:ilvl w:val="1"/>
          <w:numId w:val="1003"/>
        </w:numPr>
        <w:pStyle w:val="Compact"/>
      </w:pPr>
      <w:r>
        <w:t xml:space="preserve">Está alucinando?</w:t>
      </w:r>
    </w:p>
    <w:p>
      <w:pPr>
        <w:numPr>
          <w:ilvl w:val="1"/>
          <w:numId w:val="1003"/>
        </w:numPr>
        <w:pStyle w:val="Compact"/>
      </w:pPr>
      <w:r>
        <w:t xml:space="preserve">Foi direto ao ponto?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História do transtorno bipolar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Quando começou o episódio atual?</w:t>
      </w:r>
    </w:p>
    <w:p>
      <w:pPr>
        <w:numPr>
          <w:ilvl w:val="1"/>
          <w:numId w:val="1004"/>
        </w:numPr>
        <w:pStyle w:val="Compact"/>
      </w:pPr>
      <w:r>
        <w:t xml:space="preserve">Qual é o polo atual (depressão, mania/hipomania, misto)?</w:t>
      </w:r>
    </w:p>
    <w:p>
      <w:pPr>
        <w:numPr>
          <w:ilvl w:val="1"/>
          <w:numId w:val="1004"/>
        </w:numPr>
        <w:pStyle w:val="Compact"/>
      </w:pPr>
      <w:r>
        <w:t xml:space="preserve">Histórico de episódios de mania/hipomania</w:t>
      </w:r>
    </w:p>
    <w:p>
      <w:pPr>
        <w:numPr>
          <w:ilvl w:val="1"/>
          <w:numId w:val="1004"/>
        </w:numPr>
        <w:pStyle w:val="Compact"/>
      </w:pPr>
      <w:r>
        <w:t xml:space="preserve">Histórico de episódios depressivos</w:t>
      </w:r>
    </w:p>
    <w:p>
      <w:pPr>
        <w:numPr>
          <w:ilvl w:val="1"/>
          <w:numId w:val="1004"/>
        </w:numPr>
        <w:pStyle w:val="Compact"/>
      </w:pPr>
      <w:r>
        <w:t xml:space="preserve">Padrões de episódios (sazonais, gatilhos, frequência)</w:t>
      </w:r>
    </w:p>
    <w:bookmarkEnd w:id="22"/>
    <w:bookmarkStart w:id="23" w:name="diagnóstico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Na primeira sessão, o terapeuta pode fazer o</w:t>
      </w:r>
      <w:r>
        <w:t xml:space="preserve"> </w:t>
      </w:r>
      <w:r>
        <w:rPr>
          <w:bCs/>
          <w:b/>
        </w:rPr>
        <w:t xml:space="preserve">diagnóstico do paciente</w:t>
      </w:r>
      <w:r>
        <w:t xml:space="preserve"> </w:t>
      </w:r>
      <w:r>
        <w:t xml:space="preserve">ou levantar</w:t>
      </w:r>
      <w:r>
        <w:t xml:space="preserve"> </w:t>
      </w:r>
      <w:r>
        <w:rPr>
          <w:bCs/>
          <w:b/>
        </w:rPr>
        <w:t xml:space="preserve">hipóteses diagnósticas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Abrir o DSM-5 (texto revisado)</w:t>
      </w:r>
    </w:p>
    <w:p>
      <w:pPr>
        <w:numPr>
          <w:ilvl w:val="0"/>
          <w:numId w:val="1005"/>
        </w:numPr>
        <w:pStyle w:val="Compact"/>
      </w:pPr>
      <w:r>
        <w:t xml:space="preserve">Avaliar a presença de transtorno bipolar:</w:t>
      </w:r>
    </w:p>
    <w:p>
      <w:pPr>
        <w:numPr>
          <w:ilvl w:val="1"/>
          <w:numId w:val="1006"/>
        </w:numPr>
        <w:pStyle w:val="Compact"/>
      </w:pPr>
      <w:r>
        <w:t xml:space="preserve">O paciente tem histórico de episódios maníacos ou hipomaníacos?</w:t>
      </w:r>
    </w:p>
    <w:p>
      <w:pPr>
        <w:numPr>
          <w:ilvl w:val="1"/>
          <w:numId w:val="1006"/>
        </w:numPr>
        <w:pStyle w:val="Compact"/>
      </w:pPr>
      <w:r>
        <w:t xml:space="preserve">O paciente tem histórico de episódios depressivos?</w:t>
      </w:r>
    </w:p>
    <w:p>
      <w:pPr>
        <w:numPr>
          <w:ilvl w:val="1"/>
          <w:numId w:val="1006"/>
        </w:numPr>
        <w:pStyle w:val="Compact"/>
      </w:pPr>
      <w:r>
        <w:t xml:space="preserve">Os episódios ocorrem em diferentes momentos?</w:t>
      </w:r>
    </w:p>
    <w:p>
      <w:pPr>
        <w:numPr>
          <w:ilvl w:val="1"/>
          <w:numId w:val="1006"/>
        </w:numPr>
        <w:pStyle w:val="Compact"/>
      </w:pPr>
      <w:r>
        <w:t xml:space="preserve">Os sintomas atuais são de qual polo?</w:t>
      </w:r>
    </w:p>
    <w:p>
      <w:pPr>
        <w:pStyle w:val="FirstParagraph"/>
      </w:pPr>
      <w:r>
        <w:rPr>
          <w:bCs/>
          <w:b/>
        </w:rPr>
        <w:t xml:space="preserve">Observação importante</w:t>
      </w:r>
      <w:r>
        <w:t xml:space="preserve">: Para transtorno bipolar, é fundamental identificar episódios de mania/hipomania, não apenas depressão. Pacientes com transtorno bipolar podem apresentar depressões recorrentes ou persistentes, mas o diagnóstico requer histórico de mania/hipomania.</w:t>
      </w:r>
    </w:p>
    <w:bookmarkEnd w:id="23"/>
    <w:bookmarkStart w:id="24" w:name="avaliação-dos-sintomas"/>
    <w:p>
      <w:pPr>
        <w:pStyle w:val="Heading3"/>
      </w:pPr>
      <w:r>
        <w:t xml:space="preserve">Avaliação dos Sintomas</w:t>
      </w:r>
    </w:p>
    <w:p>
      <w:pPr>
        <w:pStyle w:val="FirstParagraph"/>
      </w:pPr>
      <w:r>
        <w:rPr>
          <w:bCs/>
          <w:b/>
        </w:rPr>
        <w:t xml:space="preserve">Instrumentos recomendados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YMRS</w:t>
      </w:r>
      <w:r>
        <w:t xml:space="preserve"> </w:t>
      </w:r>
      <w:r>
        <w:t xml:space="preserve">(Young Mania Rating Scale) - para sintomas maníacos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HDRS</w:t>
      </w:r>
      <w:r>
        <w:t xml:space="preserve"> </w:t>
      </w:r>
      <w:r>
        <w:t xml:space="preserve">(Hamilton Depression Rating Scale) - para sintomas depressivos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BDI-2</w:t>
      </w:r>
      <w:r>
        <w:t xml:space="preserve"> </w:t>
      </w:r>
      <w:r>
        <w:t xml:space="preserve">(Beck Depression Inventory) - pago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PHQ-9</w:t>
      </w:r>
      <w:r>
        <w:t xml:space="preserve"> </w:t>
      </w:r>
      <w:r>
        <w:t xml:space="preserve">- gratuito e específico para depressão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Q45</w:t>
      </w:r>
      <w:r>
        <w:t xml:space="preserve"> </w:t>
      </w:r>
      <w:r>
        <w:t xml:space="preserve">- mede depressão e ansiedade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 Todos esses instrumentos são muito validados. Para transtorno bipolar, é importante avaliar ambos os polos.</w:t>
      </w:r>
    </w:p>
    <w:bookmarkEnd w:id="24"/>
    <w:bookmarkEnd w:id="25"/>
    <w:bookmarkStart w:id="27" w:name="estrutura-da-terapia"/>
    <w:p>
      <w:pPr>
        <w:pStyle w:val="Heading2"/>
      </w:pPr>
      <w:r>
        <w:t xml:space="preserve">Estrutura da Terapia</w:t>
      </w:r>
    </w:p>
    <w:bookmarkStart w:id="26" w:name="duração-do-protocolo"/>
    <w:p>
      <w:pPr>
        <w:pStyle w:val="Heading3"/>
      </w:pPr>
      <w:r>
        <w:t xml:space="preserve">Duração do Protocolo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Em pesquisa</w:t>
      </w:r>
      <w:r>
        <w:t xml:space="preserve">: 20 sessões ou 12 semanas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Nas primeiras quatro sessões</w:t>
      </w:r>
      <w:r>
        <w:t xml:space="preserve">: ocorrem duas sessões por semana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Depois da quarta ou terceira semana</w:t>
      </w:r>
      <w:r>
        <w:t xml:space="preserve">: o paciente é preparado para fazer apenas uma sessão por semana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 clínica</w:t>
      </w:r>
      <w:r>
        <w:t xml:space="preserve">: mirar este alvo de três a quatro meses</w:t>
      </w:r>
    </w:p>
    <w:p>
      <w:pPr>
        <w:pStyle w:val="FirstParagraph"/>
      </w:pPr>
      <w:r>
        <w:rPr>
          <w:bCs/>
          <w:b/>
        </w:rPr>
        <w:t xml:space="preserve">Observação crítica</w:t>
      </w:r>
      <w:r>
        <w:t xml:space="preserve">: A terapia só dura quatro meses de modo algum. No final destes quatro meses:</w:t>
      </w:r>
    </w:p>
    <w:p>
      <w:pPr>
        <w:numPr>
          <w:ilvl w:val="0"/>
          <w:numId w:val="1009"/>
        </w:numPr>
        <w:pStyle w:val="Compact"/>
      </w:pPr>
      <w:r>
        <w:t xml:space="preserve">Talvez o paciente não tenha melhorado</w:t>
      </w:r>
    </w:p>
    <w:p>
      <w:pPr>
        <w:numPr>
          <w:ilvl w:val="0"/>
          <w:numId w:val="1009"/>
        </w:numPr>
        <w:pStyle w:val="Compact"/>
      </w:pPr>
      <w:r>
        <w:t xml:space="preserve">Talvez o paciente não queira sair da terapia</w:t>
      </w:r>
    </w:p>
    <w:p>
      <w:pPr>
        <w:numPr>
          <w:ilvl w:val="0"/>
          <w:numId w:val="1009"/>
        </w:numPr>
        <w:pStyle w:val="Compact"/>
      </w:pPr>
      <w:r>
        <w:t xml:space="preserve">Principalmente, o paciente melhorou e agora ele quer resolver outras coisas</w:t>
      </w:r>
    </w:p>
    <w:p>
      <w:pPr>
        <w:pStyle w:val="FirstParagraph"/>
      </w:pPr>
      <w:r>
        <w:t xml:space="preserve">O paciente também pode ter outros problemas, por exemplo:</w:t>
      </w:r>
    </w:p>
    <w:p>
      <w:pPr>
        <w:numPr>
          <w:ilvl w:val="0"/>
          <w:numId w:val="1010"/>
        </w:numPr>
        <w:pStyle w:val="Compact"/>
      </w:pPr>
      <w:r>
        <w:t xml:space="preserve">Ansiedade</w:t>
      </w:r>
    </w:p>
    <w:p>
      <w:pPr>
        <w:numPr>
          <w:ilvl w:val="0"/>
          <w:numId w:val="1010"/>
        </w:numPr>
        <w:pStyle w:val="Compact"/>
      </w:pPr>
      <w:r>
        <w:t xml:space="preserve">Traços de personalidade</w:t>
      </w:r>
    </w:p>
    <w:p>
      <w:pPr>
        <w:numPr>
          <w:ilvl w:val="0"/>
          <w:numId w:val="1010"/>
        </w:numPr>
        <w:pStyle w:val="Compact"/>
      </w:pPr>
      <w:r>
        <w:t xml:space="preserve">Problemas interpessoais</w:t>
      </w:r>
    </w:p>
    <w:p>
      <w:pPr>
        <w:numPr>
          <w:ilvl w:val="0"/>
          <w:numId w:val="1010"/>
        </w:numPr>
        <w:pStyle w:val="Compact"/>
      </w:pPr>
      <w:r>
        <w:t xml:space="preserve">Problemas com compulsões alimentares</w:t>
      </w:r>
    </w:p>
    <w:p>
      <w:pPr>
        <w:numPr>
          <w:ilvl w:val="0"/>
          <w:numId w:val="1010"/>
        </w:numPr>
        <w:pStyle w:val="Compact"/>
      </w:pPr>
      <w:r>
        <w:t xml:space="preserve">Problemas com abuso de substâncias</w:t>
      </w:r>
    </w:p>
    <w:bookmarkEnd w:id="26"/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11"/>
        </w:numPr>
        <w:pStyle w:val="Compact"/>
      </w:pPr>
      <w:r>
        <w:t xml:space="preserve">Na primeira sessão, é interessante já pensar na</w:t>
      </w:r>
      <w:r>
        <w:t xml:space="preserve"> </w:t>
      </w:r>
      <w:r>
        <w:rPr>
          <w:bCs/>
          <w:b/>
        </w:rPr>
        <w:t xml:space="preserve">TCC transdiagnóstica</w:t>
      </w:r>
      <w:r>
        <w:t xml:space="preserve">: dependendo da anamnese e das primeiras hipóteses, o terapeuta vai guiar o tratamento para intervenções específicas para transtorno bipolar.</w:t>
      </w:r>
    </w:p>
    <w:p>
      <w:pPr>
        <w:numPr>
          <w:ilvl w:val="0"/>
          <w:numId w:val="1011"/>
        </w:numPr>
        <w:pStyle w:val="Compact"/>
      </w:pPr>
      <w:r>
        <w:t xml:space="preserve">Depende também de que tipo de paciente você atende. Pacientes com transtorno bipolar podem ter diferentes subtipos (Tipo I, Tipo II, ciclotimia) e diferentes estados atuais.</w:t>
      </w:r>
    </w:p>
    <w:p>
      <w:pPr>
        <w:numPr>
          <w:ilvl w:val="0"/>
          <w:numId w:val="1011"/>
        </w:numPr>
        <w:pStyle w:val="Compact"/>
      </w:pPr>
      <w:r>
        <w:t xml:space="preserve">A avaliação clínica completa é fundamental para estabelecer a base do tratamento e escolher as melhores intervenções.</w:t>
      </w:r>
    </w:p>
    <w:p>
      <w:pPr>
        <w:numPr>
          <w:ilvl w:val="0"/>
          <w:numId w:val="1011"/>
        </w:numPr>
        <w:pStyle w:val="Compact"/>
      </w:pPr>
      <w:r>
        <w:t xml:space="preserve">É crítico identificar o polo atual e o histórico de episódios para diagnóstico correto de transtorno bipolar.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12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12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12"/>
        </w:numPr>
        <w:pStyle w:val="Compact"/>
      </w:pPr>
      <w:r>
        <w:t xml:space="preserve">A fase da terapia</w:t>
      </w:r>
    </w:p>
    <w:p>
      <w:pPr>
        <w:numPr>
          <w:ilvl w:val="0"/>
          <w:numId w:val="1012"/>
        </w:numPr>
        <w:pStyle w:val="Compact"/>
      </w:pPr>
      <w:r>
        <w:t xml:space="preserve">Se o terapeuta seguiu adequadamente o protocolo da sessão 1</w:t>
      </w:r>
    </w:p>
    <w:p>
      <w:pPr>
        <w:numPr>
          <w:ilvl w:val="0"/>
          <w:numId w:val="1012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12"/>
        </w:numPr>
        <w:pStyle w:val="Compact"/>
      </w:pPr>
      <w:r>
        <w:t xml:space="preserve">Se o terapeuta identificou corretamente o polo atual (depressão, mania/hipomania, misto)</w:t>
      </w:r>
    </w:p>
    <w:p>
      <w:pPr>
        <w:numPr>
          <w:ilvl w:val="0"/>
          <w:numId w:val="1012"/>
        </w:numPr>
        <w:pStyle w:val="Compact"/>
      </w:pPr>
      <w:r>
        <w:t xml:space="preserve">Se o terapeuta investigou adequadamente o histórico de episódios de mania/hipomania E depressão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13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13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13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13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14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14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15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15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16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16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16"/>
        </w:numPr>
        <w:pStyle w:val="Compact"/>
      </w:pPr>
      <w:r>
        <w:t xml:space="preserve">Forneça feedback construtivo e específico</w:t>
      </w:r>
    </w:p>
    <w:p>
      <w:pPr>
        <w:numPr>
          <w:ilvl w:val="0"/>
          <w:numId w:val="1016"/>
        </w:numPr>
        <w:pStyle w:val="Compact"/>
      </w:pPr>
      <w:r>
        <w:t xml:space="preserve">Verifique se o terapeuta diferenciou adequadamente entre transtorno bipolar e depressão unipolar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