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Cs/>
          <w:b/>
        </w:rPr>
        <w:t xml:space="preserve">quinta sessão</w:t>
      </w:r>
      <w:r>
        <w:t xml:space="preserve">. Você deve: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numPr>
          <w:ilvl w:val="0"/>
          <w:numId w:val="1001"/>
        </w:numPr>
        <w:pStyle w:val="Compact"/>
      </w:pPr>
      <w:r>
        <w:t xml:space="preserve">Ter trabalhado no</w:t>
      </w:r>
      <w:r>
        <w:t xml:space="preserve"> </w:t>
      </w:r>
      <w:r>
        <w:rPr>
          <w:bCs/>
          <w:b/>
        </w:rPr>
        <w:t xml:space="preserve">mapeamento de vida</w:t>
      </w:r>
      <w:r>
        <w:t xml:space="preserve"> </w:t>
      </w:r>
      <w:r>
        <w:t xml:space="preserve">(histórico de episódios)</w:t>
      </w:r>
    </w:p>
    <w:p>
      <w:pPr>
        <w:numPr>
          <w:ilvl w:val="0"/>
          <w:numId w:val="1001"/>
        </w:numPr>
        <w:pStyle w:val="Compact"/>
      </w:pPr>
      <w:r>
        <w:t xml:space="preserve">Ter anotado</w:t>
      </w:r>
      <w:r>
        <w:t xml:space="preserve"> </w:t>
      </w:r>
      <w:r>
        <w:rPr>
          <w:bCs/>
          <w:b/>
        </w:rPr>
        <w:t xml:space="preserve">pensamentos automáticos negativos</w:t>
      </w:r>
      <w:r>
        <w:t xml:space="preserve"> </w:t>
      </w:r>
      <w:r>
        <w:t xml:space="preserve">por escrito</w:t>
      </w:r>
    </w:p>
    <w:p>
      <w:pPr>
        <w:numPr>
          <w:ilvl w:val="0"/>
          <w:numId w:val="1001"/>
        </w:numPr>
        <w:pStyle w:val="Compact"/>
      </w:pPr>
      <w:r>
        <w:t xml:space="preserve">Estar começando a perceber que esses pensamentos são</w:t>
      </w:r>
      <w:r>
        <w:t xml:space="preserve"> </w:t>
      </w:r>
      <w:r>
        <w:rPr>
          <w:bCs/>
          <w:b/>
        </w:rPr>
        <w:t xml:space="preserve">distorcidos, enviesados, excessivos</w:t>
      </w:r>
    </w:p>
    <w:p>
      <w:pPr>
        <w:numPr>
          <w:ilvl w:val="0"/>
          <w:numId w:val="1001"/>
        </w:numPr>
        <w:pStyle w:val="Compact"/>
      </w:pPr>
      <w:r>
        <w:t xml:space="preserve">Pode ter um</w:t>
      </w:r>
      <w:r>
        <w:t xml:space="preserve"> </w:t>
      </w:r>
      <w:r>
        <w:t xml:space="preserve">“</w:t>
      </w:r>
      <w:r>
        <w:t xml:space="preserve">general</w:t>
      </w:r>
      <w:r>
        <w:t xml:space="preserve">”</w:t>
      </w:r>
      <w:r>
        <w:t xml:space="preserve"> </w:t>
      </w:r>
      <w:r>
        <w:t xml:space="preserve">interno que questiona tudo (metacognição)</w:t>
      </w:r>
    </w:p>
    <w:p>
      <w:pPr>
        <w:numPr>
          <w:ilvl w:val="0"/>
          <w:numId w:val="1001"/>
        </w:numPr>
        <w:pStyle w:val="Compact"/>
      </w:pPr>
      <w:r>
        <w:t xml:space="preserve">Estar mais consciente de como os pensamentos atrapalham a relação e as atividades</w:t>
      </w:r>
    </w:p>
    <w:p>
      <w:pPr>
        <w:numPr>
          <w:ilvl w:val="0"/>
          <w:numId w:val="1001"/>
        </w:numPr>
        <w:pStyle w:val="Compact"/>
      </w:pPr>
      <w:r>
        <w:t xml:space="preserve">Continuar com o registro de atividades e humor</w:t>
      </w:r>
    </w:p>
    <w:p>
      <w:pPr>
        <w:numPr>
          <w:ilvl w:val="0"/>
          <w:numId w:val="1001"/>
        </w:numPr>
        <w:pStyle w:val="Compact"/>
      </w:pPr>
      <w:r>
        <w:t xml:space="preserve">Estar desenvolvendo maior consciência dos</w:t>
      </w:r>
      <w:r>
        <w:t xml:space="preserve"> </w:t>
      </w:r>
      <w:r>
        <w:rPr>
          <w:bCs/>
          <w:b/>
        </w:rPr>
        <w:t xml:space="preserve">sinais precoces</w:t>
      </w:r>
      <w:r>
        <w:t xml:space="preserve"> </w:t>
      </w:r>
      <w:r>
        <w:t xml:space="preserve">de recaída (tanto para mania/hipomania quanto depressão)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numPr>
          <w:ilvl w:val="0"/>
          <w:numId w:val="1002"/>
        </w:numPr>
        <w:pStyle w:val="Compact"/>
      </w:pPr>
      <w:r>
        <w:t xml:space="preserve">Você já tem</w:t>
      </w:r>
      <w:r>
        <w:t xml:space="preserve"> </w:t>
      </w:r>
      <w:r>
        <w:rPr>
          <w:bCs/>
          <w:b/>
        </w:rPr>
        <w:t xml:space="preserve">diagnóstico confirmado de Transtorno Bipolar</w:t>
      </w:r>
    </w:p>
    <w:p>
      <w:pPr>
        <w:numPr>
          <w:ilvl w:val="0"/>
          <w:numId w:val="1002"/>
        </w:numPr>
        <w:pStyle w:val="Compact"/>
      </w:pPr>
      <w:r>
        <w:t xml:space="preserve">Você está em tratamento com</w:t>
      </w:r>
      <w:r>
        <w:t xml:space="preserve"> </w:t>
      </w:r>
      <w:r>
        <w:rPr>
          <w:bCs/>
          <w:b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numPr>
          <w:ilvl w:val="0"/>
          <w:numId w:val="1002"/>
        </w:numPr>
        <w:pStyle w:val="Compact"/>
      </w:pPr>
      <w:r>
        <w:t xml:space="preserve">Se o terapeuta perguntar sobre medicação, você pode mencionar que toma lítio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numPr>
          <w:ilvl w:val="0"/>
          <w:numId w:val="1002"/>
        </w:numPr>
        <w:pStyle w:val="Compact"/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</w:p>
    <w:p>
      <w:pPr>
        <w:numPr>
          <w:ilvl w:val="0"/>
          <w:numId w:val="1003"/>
        </w:numPr>
        <w:pStyle w:val="Compact"/>
      </w:pPr>
      <w:r>
        <w:t xml:space="preserve">Estabelecer a agenda da sessão</w:t>
      </w:r>
    </w:p>
    <w:p>
      <w:pPr>
        <w:numPr>
          <w:ilvl w:val="0"/>
          <w:numId w:val="1003"/>
        </w:numPr>
        <w:pStyle w:val="Compact"/>
      </w:pPr>
      <w:r>
        <w:t xml:space="preserve">Revisar as tarefas de casa (com ênfase ao mapeamento de vida que você trouxe)</w:t>
      </w:r>
    </w:p>
    <w:p>
      <w:pPr>
        <w:numPr>
          <w:ilvl w:val="0"/>
          <w:numId w:val="1003"/>
        </w:numPr>
        <w:pStyle w:val="Compact"/>
      </w:pPr>
      <w:r>
        <w:t xml:space="preserve">Continuar identificando pensamentos automáticos negativos</w:t>
      </w:r>
    </w:p>
    <w:p>
      <w:pPr>
        <w:numPr>
          <w:ilvl w:val="0"/>
          <w:numId w:val="1003"/>
        </w:numPr>
        <w:pStyle w:val="Compact"/>
      </w:pPr>
      <w:r>
        <w:t xml:space="preserve">Enfatizar que esses pensamentos são distorcidos, enviesados, excessivos</w:t>
      </w:r>
    </w:p>
    <w:p>
      <w:pPr>
        <w:numPr>
          <w:ilvl w:val="0"/>
          <w:numId w:val="1003"/>
        </w:numPr>
        <w:pStyle w:val="Compact"/>
      </w:pPr>
      <w:r>
        <w:t xml:space="preserve">Mostrar como esses pensamentos atrapalham a relação e as atividades</w:t>
      </w:r>
    </w:p>
    <w:p>
      <w:pPr>
        <w:numPr>
          <w:ilvl w:val="0"/>
          <w:numId w:val="1003"/>
        </w:numPr>
        <w:pStyle w:val="Compact"/>
      </w:pPr>
      <w:r>
        <w:t xml:space="preserve">Trabalhar no</w:t>
      </w:r>
      <w:r>
        <w:t xml:space="preserve"> </w:t>
      </w:r>
      <w:r>
        <w:rPr>
          <w:bCs/>
          <w:b/>
        </w:rPr>
        <w:t xml:space="preserve">sistema de alerta precoce</w:t>
      </w:r>
      <w:r>
        <w:t xml:space="preserve"> </w:t>
      </w:r>
      <w:r>
        <w:t xml:space="preserve">para reconhecer sintomas iniciais</w:t>
      </w:r>
    </w:p>
    <w:p>
      <w:pPr>
        <w:numPr>
          <w:ilvl w:val="0"/>
          <w:numId w:val="1003"/>
        </w:numPr>
        <w:pStyle w:val="Compact"/>
      </w:pPr>
      <w:r>
        <w:t xml:space="preserve">Continuar o planejamento de atividades</w:t>
      </w:r>
    </w:p>
    <w:p>
      <w:pPr>
        <w:numPr>
          <w:ilvl w:val="0"/>
          <w:numId w:val="1003"/>
        </w:numPr>
        <w:pStyle w:val="Compact"/>
      </w:pPr>
      <w:r>
        <w:t xml:space="preserve">Trabalhar na identificação de</w:t>
      </w:r>
      <w:r>
        <w:t xml:space="preserve"> </w:t>
      </w:r>
      <w:r>
        <w:rPr>
          <w:bCs/>
          <w:b/>
        </w:rPr>
        <w:t xml:space="preserve">fatores desencadeantes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gatilhos</w:t>
      </w:r>
      <w:r>
        <w:t xml:space="preserve"> </w:t>
      </w:r>
      <w:r>
        <w:t xml:space="preserve">para episódios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Colabore</w:t>
      </w:r>
      <w:r>
        <w:t xml:space="preserve"> </w:t>
      </w:r>
      <w:r>
        <w:t xml:space="preserve">na identificação de gatilhos e sinais precoces de recaída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numPr>
          <w:ilvl w:val="0"/>
          <w:numId w:val="1004"/>
        </w:numPr>
        <w:pStyle w:val="Compact"/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