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34fed51ac4f023772839803dc5c9bf8527415e"/>
    <w:p>
      <w:pPr>
        <w:pStyle w:val="Heading1"/>
      </w:pPr>
      <w:r>
        <w:t xml:space="preserve">Sessão 7 - Aperfeiçoamento do Questionamento e Identificação de Crenças Subjacentes</w:t>
      </w:r>
    </w:p>
    <w:bookmarkStart w:id="20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(sempre presente)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Permitir que o paciente traga novos tópicos para terapia</w:t>
      </w:r>
    </w:p>
    <w:p>
      <w:pPr>
        <w:numPr>
          <w:ilvl w:val="0"/>
          <w:numId w:val="1001"/>
        </w:numPr>
        <w:pStyle w:val="Compact"/>
      </w:pPr>
      <w:r>
        <w:t xml:space="preserve">Identificar o que está impedindo o paciente de voltar ao funcionamento anterior</w:t>
      </w:r>
    </w:p>
    <w:p>
      <w:pPr>
        <w:numPr>
          <w:ilvl w:val="0"/>
          <w:numId w:val="1001"/>
        </w:numPr>
        <w:pStyle w:val="Compact"/>
      </w:pPr>
      <w:r>
        <w:t xml:space="preserve">Aperfeiçoar o questionamento de pensamentos preocupantes distorcidos</w:t>
      </w:r>
    </w:p>
    <w:p>
      <w:pPr>
        <w:numPr>
          <w:ilvl w:val="0"/>
          <w:numId w:val="1001"/>
        </w:numPr>
        <w:pStyle w:val="Compact"/>
      </w:pPr>
      <w:r>
        <w:t xml:space="preserve">Procurar sempre aperfeiçoar a resposta mais adaptativa e mais racional</w:t>
      </w:r>
    </w:p>
    <w:p>
      <w:pPr>
        <w:numPr>
          <w:ilvl w:val="0"/>
          <w:numId w:val="1001"/>
        </w:numPr>
        <w:pStyle w:val="Compact"/>
      </w:pPr>
      <w:r>
        <w:t xml:space="preserve">Começar a identificar as crenças subjacentes relacionadas à preocupação</w:t>
      </w:r>
    </w:p>
    <w:p>
      <w:pPr>
        <w:numPr>
          <w:ilvl w:val="0"/>
          <w:numId w:val="1001"/>
        </w:numPr>
        <w:pStyle w:val="Compact"/>
      </w:pPr>
      <w:r>
        <w:t xml:space="preserve">Continuar incentivando os exercícios entre as sessões</w:t>
      </w:r>
    </w:p>
    <w:bookmarkEnd w:id="20"/>
    <w:bookmarkStart w:id="26" w:name="procedimentos-e-protocolo"/>
    <w:p>
      <w:pPr>
        <w:pStyle w:val="Heading2"/>
      </w:pPr>
      <w:r>
        <w:t xml:space="preserve">Procedimentos e Protocolo</w:t>
      </w:r>
    </w:p>
    <w:bookmarkStart w:id="21" w:name="Xe01d639a1e4a3bb17f572005720676a47171c63"/>
    <w:p>
      <w:pPr>
        <w:pStyle w:val="Heading3"/>
      </w:pPr>
      <w:r>
        <w:t xml:space="preserve">1. Fazer a Agenda</w:t>
      </w:r>
    </w:p>
    <w:p>
      <w:pPr>
        <w:pStyle w:val="FirstParagraph"/>
      </w:pPr>
      <w:r>
        <w:rPr>
          <w:bCs/>
          <w:b/>
        </w:rPr>
        <w:t xml:space="preserve">Lembrando sempre</w:t>
      </w:r>
      <w:r>
        <w:t xml:space="preserve"> </w:t>
      </w:r>
      <w:r>
        <w:t xml:space="preserve">que o paciente pode trazer novos tópicos para terapia, inclusive tópicos que ele sentia vergonha de falar, de repente assuntos mais delicados:</w:t>
      </w:r>
    </w:p>
    <w:p>
      <w:pPr>
        <w:numPr>
          <w:ilvl w:val="0"/>
          <w:numId w:val="1002"/>
        </w:numPr>
        <w:pStyle w:val="Compact"/>
      </w:pPr>
      <w:r>
        <w:t xml:space="preserve">Assuntos relacionados a problemas com a justiça</w:t>
      </w:r>
    </w:p>
    <w:p>
      <w:pPr>
        <w:numPr>
          <w:ilvl w:val="0"/>
          <w:numId w:val="1002"/>
        </w:numPr>
        <w:pStyle w:val="Compact"/>
      </w:pPr>
      <w:r>
        <w:t xml:space="preserve">Problemas com a sexualidade</w:t>
      </w:r>
    </w:p>
    <w:p>
      <w:pPr>
        <w:numPr>
          <w:ilvl w:val="0"/>
          <w:numId w:val="1002"/>
        </w:numPr>
        <w:pStyle w:val="Compact"/>
      </w:pPr>
      <w:r>
        <w:t xml:space="preserve">Comportamentos moralmente questionáveis</w:t>
      </w:r>
    </w:p>
    <w:p>
      <w:pPr>
        <w:numPr>
          <w:ilvl w:val="0"/>
          <w:numId w:val="1002"/>
        </w:numPr>
        <w:pStyle w:val="Compact"/>
      </w:pPr>
      <w:r>
        <w:t xml:space="preserve">Preocupações que ele não tinha coragem de compartilhar</w:t>
      </w:r>
    </w:p>
    <w:p>
      <w:pPr>
        <w:pStyle w:val="FirstParagraph"/>
      </w:pPr>
      <w:r>
        <w:rPr>
          <w:bCs/>
          <w:b/>
        </w:rPr>
        <w:t xml:space="preserve">O paciente pode e deve trazer novos conteúdos</w:t>
      </w:r>
      <w:r>
        <w:t xml:space="preserve"> </w:t>
      </w:r>
      <w:r>
        <w:t xml:space="preserve">para que vocês discutam.</w:t>
      </w:r>
    </w:p>
    <w:bookmarkEnd w:id="21"/>
    <w:bookmarkStart w:id="22" w:name="X31d1f22ba369f6f1ae517bd7300f37d6a68fccd"/>
    <w:p>
      <w:pPr>
        <w:pStyle w:val="Heading3"/>
      </w:pPr>
      <w:r>
        <w:t xml:space="preserve">2. Identificar Obstáculos ao Funcionamento</w:t>
      </w:r>
    </w:p>
    <w:p>
      <w:pPr>
        <w:pStyle w:val="FirstParagraph"/>
      </w:pPr>
      <w:r>
        <w:rPr>
          <w:bCs/>
          <w:b/>
        </w:rPr>
        <w:t xml:space="preserve">Nós também vamos começar a identificar o que está impedindo esse paciente de voltar ao funcionamento que ele tinha antes da ansiedade se tornar tão intensa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Principalmente se foi uma ansiedade que começou há menos de 6 meses, menos de um ano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Perguntas importantes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O que falta para que ele haja como ele agia antes?</w:t>
      </w:r>
    </w:p>
    <w:p>
      <w:pPr>
        <w:numPr>
          <w:ilvl w:val="0"/>
          <w:numId w:val="1003"/>
        </w:numPr>
        <w:pStyle w:val="Compact"/>
      </w:pPr>
      <w:r>
        <w:t xml:space="preserve">É um problema de ansiedade?</w:t>
      </w:r>
    </w:p>
    <w:p>
      <w:pPr>
        <w:numPr>
          <w:ilvl w:val="0"/>
          <w:numId w:val="1003"/>
        </w:numPr>
        <w:pStyle w:val="Compact"/>
      </w:pPr>
      <w:r>
        <w:t xml:space="preserve">É um problema de comportamento (evitação)?</w:t>
      </w:r>
    </w:p>
    <w:p>
      <w:pPr>
        <w:numPr>
          <w:ilvl w:val="0"/>
          <w:numId w:val="1003"/>
        </w:numPr>
        <w:pStyle w:val="Compact"/>
      </w:pPr>
      <w:r>
        <w:t xml:space="preserve">São problemas do ambiente que ele precisa resolver?</w:t>
      </w:r>
    </w:p>
    <w:p>
      <w:pPr>
        <w:numPr>
          <w:ilvl w:val="0"/>
          <w:numId w:val="1003"/>
        </w:numPr>
        <w:pStyle w:val="Compact"/>
      </w:pPr>
      <w:r>
        <w:t xml:space="preserve">São problemas com suas próprias crenças nucleares sobre preocupação e controle?</w:t>
      </w:r>
    </w:p>
    <w:p>
      <w:pPr>
        <w:pStyle w:val="FirstParagraph"/>
      </w:pPr>
      <w:r>
        <w:rPr>
          <w:bCs/>
          <w:b/>
        </w:rPr>
        <w:t xml:space="preserve">E a depender de quais sejam esses problemas</w:t>
      </w:r>
      <w:r>
        <w:t xml:space="preserve">, nós vamos começar a utilizar até outras técnicas:</w:t>
      </w:r>
    </w:p>
    <w:p>
      <w:pPr>
        <w:numPr>
          <w:ilvl w:val="0"/>
          <w:numId w:val="1004"/>
        </w:numPr>
        <w:pStyle w:val="Compact"/>
      </w:pPr>
      <w:r>
        <w:t xml:space="preserve">Habilidades sociais</w:t>
      </w:r>
    </w:p>
    <w:p>
      <w:pPr>
        <w:numPr>
          <w:ilvl w:val="0"/>
          <w:numId w:val="1004"/>
        </w:numPr>
        <w:pStyle w:val="Compact"/>
      </w:pPr>
      <w:r>
        <w:t xml:space="preserve">Formas de lidar com a raiva</w:t>
      </w:r>
    </w:p>
    <w:p>
      <w:pPr>
        <w:numPr>
          <w:ilvl w:val="0"/>
          <w:numId w:val="1004"/>
        </w:numPr>
        <w:pStyle w:val="Compact"/>
      </w:pPr>
      <w:r>
        <w:t xml:space="preserve">Regulação emocional</w:t>
      </w:r>
    </w:p>
    <w:p>
      <w:pPr>
        <w:numPr>
          <w:ilvl w:val="0"/>
          <w:numId w:val="1004"/>
        </w:numPr>
        <w:pStyle w:val="Compact"/>
      </w:pPr>
      <w:r>
        <w:t xml:space="preserve">Técnicas de relaxamento</w:t>
      </w:r>
    </w:p>
    <w:bookmarkEnd w:id="22"/>
    <w:bookmarkStart w:id="23" w:name="X931c51e8060492cec19a4d4b2f8fbebc25bb02e"/>
    <w:p>
      <w:pPr>
        <w:pStyle w:val="Heading3"/>
      </w:pPr>
      <w:r>
        <w:t xml:space="preserve">3. Aperfeiçoar o Questionamento de Pensamentos Preocupantes</w:t>
      </w:r>
    </w:p>
    <w:p>
      <w:pPr>
        <w:pStyle w:val="FirstParagraph"/>
      </w:pPr>
      <w:r>
        <w:rPr>
          <w:bCs/>
          <w:b/>
        </w:rPr>
        <w:t xml:space="preserve">E nós vamos aqui nessas sessões aperfeiçoando o questionamento de pensamentos preocupantes distorcidos</w:t>
      </w:r>
      <w:r>
        <w:t xml:space="preserve">, procurando sempre aperfeiçoar a resposta mais adaptativa e mais racional.</w:t>
      </w:r>
    </w:p>
    <w:p>
      <w:pPr>
        <w:pStyle w:val="BodyText"/>
      </w:pPr>
      <w:r>
        <w:rPr>
          <w:bCs/>
          <w:b/>
        </w:rPr>
        <w:t xml:space="preserve">Perguntas socráticas mais avançadas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Quais são as evidências a favor e contra essa preocupação?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Qual é a probabilidade real de isso acontecer?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O que é mais provável que aconteça?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O que você diria para um amigo que tivesse essa preocupação?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O que aconteceu outras vezes que você teve essa preocupação?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Como você lidou com situações similares no passado?</w:t>
      </w:r>
      <w:r>
        <w:t xml:space="preserve">”</w:t>
      </w:r>
    </w:p>
    <w:bookmarkEnd w:id="23"/>
    <w:bookmarkStart w:id="24" w:name="X69221e2e564e946eb5bdab39c5b2a3fe187f9a2"/>
    <w:p>
      <w:pPr>
        <w:pStyle w:val="Heading3"/>
      </w:pPr>
      <w:r>
        <w:t xml:space="preserve">4. Começar a Identificar as Crenças Subjacentes</w:t>
      </w:r>
    </w:p>
    <w:p>
      <w:pPr>
        <w:pStyle w:val="FirstParagraph"/>
      </w:pPr>
      <w:r>
        <w:rPr>
          <w:bCs/>
          <w:b/>
        </w:rPr>
        <w:t xml:space="preserve">Também entre as sessões 7, 8 e 9, nós vamos começar a identificar as crenças subjacentes relacionadas à preocupação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Exemplos de crenças subjacentes relacionadas à ansiedade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Eu não vou conseguir lidar se algo ruim acontecer.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Se eu não me preocupar, algo ruim vai acontecer.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Eu preciso me preocupar para estar preparado.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Se eu me preocupar, posso evitar problemas.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Se eu não controlar tudo, tudo vai dar errado.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Se eu relaxar, algo ruim vai acontecer.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As crenças subjacentes são essas regras que influenciam o comportamento</w:t>
      </w:r>
      <w:r>
        <w:t xml:space="preserve">, geralmente expressas sobre a forma de: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Se eu fizer tal coisa, então vai acontecer tal coisa.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Portanto, eu tenho que fazer isso.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Entenderam?</w:t>
      </w:r>
      <w:r>
        <w:t xml:space="preserve"> </w:t>
      </w:r>
      <w:r>
        <w:t xml:space="preserve">Vou tentar melhorar a minha expressão. As crenças subjacentes são feitas assim, são expressas assim: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Se eu não me preocupar, algo ruim vai acontecer.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Se eu relaxar, vou perder o controle.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Portanto, eu tenho que me preocupar constantemente, eu tenho que estar sempre alerta.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Então são pensamentos que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Descrevem consequências futuras</w:t>
      </w:r>
    </w:p>
    <w:p>
      <w:pPr>
        <w:numPr>
          <w:ilvl w:val="0"/>
          <w:numId w:val="1009"/>
        </w:numPr>
        <w:pStyle w:val="Compact"/>
      </w:pPr>
      <w:r>
        <w:t xml:space="preserve">Descrevem o que a pessoa tem que fazer para não acontecer o pior</w:t>
      </w:r>
    </w:p>
    <w:p>
      <w:pPr>
        <w:pStyle w:val="FirstParagraph"/>
      </w:pPr>
      <w:r>
        <w:rPr>
          <w:bCs/>
          <w:b/>
        </w:rPr>
        <w:t xml:space="preserve">Isso também acontece na ansiedade</w:t>
      </w:r>
      <w:r>
        <w:t xml:space="preserve">.</w:t>
      </w:r>
    </w:p>
    <w:bookmarkEnd w:id="24"/>
    <w:bookmarkStart w:id="25" w:name="Xc70202a733af5b49c2437be623df9ec2deb5008"/>
    <w:p>
      <w:pPr>
        <w:pStyle w:val="Heading3"/>
      </w:pPr>
      <w:r>
        <w:t xml:space="preserve">5. Continuar Incentivando os Exercícios</w:t>
      </w:r>
    </w:p>
    <w:p>
      <w:pPr>
        <w:pStyle w:val="FirstParagraph"/>
      </w:pPr>
      <w:r>
        <w:rPr>
          <w:bCs/>
          <w:b/>
        </w:rPr>
        <w:t xml:space="preserve">E você continua incentivando também, como tarefa de casa, os exercícios entre as sessões</w:t>
      </w:r>
      <w:r>
        <w:t xml:space="preserve">.</w:t>
      </w:r>
    </w:p>
    <w:bookmarkEnd w:id="25"/>
    <w:bookmarkEnd w:id="26"/>
    <w:bookmarkStart w:id="27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Continuar registro de preocupações e sintomas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Anotar pensamentos preocupantes e pensar em respostas racionais</w:t>
      </w:r>
      <w:r>
        <w:t xml:space="preserve">: Aperfeiçoar as respostas alternativas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Identificar crenças subjacentes</w:t>
      </w:r>
      <w:r>
        <w:t xml:space="preserve">: Começar a notar as regras que influenciam o comportamento relacionado à preocupação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Continuar planejamento de atividades</w:t>
      </w:r>
      <w:r>
        <w:t xml:space="preserve">: Manter atividades que reduzem ansiedade</w:t>
      </w:r>
    </w:p>
    <w:bookmarkEnd w:id="27"/>
    <w:bookmarkStart w:id="28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11"/>
        </w:numPr>
        <w:pStyle w:val="Compact"/>
      </w:pPr>
      <w:r>
        <w:t xml:space="preserve">As sessões 7, 8 e 9 têm conteúdo muito parecido</w:t>
      </w:r>
    </w:p>
    <w:p>
      <w:pPr>
        <w:numPr>
          <w:ilvl w:val="0"/>
          <w:numId w:val="1011"/>
        </w:numPr>
        <w:pStyle w:val="Compact"/>
      </w:pPr>
      <w:r>
        <w:t xml:space="preserve">É importante identificar o que está impedindo o paciente de voltar ao funcionamento anterior</w:t>
      </w:r>
    </w:p>
    <w:p>
      <w:pPr>
        <w:numPr>
          <w:ilvl w:val="0"/>
          <w:numId w:val="1011"/>
        </w:numPr>
        <w:pStyle w:val="Compact"/>
      </w:pPr>
      <w:r>
        <w:t xml:space="preserve">As crenças subjacentes relacionadas à preocupação começam a ser identificadas nesta fase</w:t>
      </w:r>
    </w:p>
    <w:p>
      <w:pPr>
        <w:numPr>
          <w:ilvl w:val="0"/>
          <w:numId w:val="1011"/>
        </w:numPr>
        <w:pStyle w:val="Compact"/>
      </w:pPr>
      <w:r>
        <w:t xml:space="preserve">O questionamento de pensamentos preocupantes deve ser aperfeiçoado continuamente</w:t>
      </w:r>
    </w:p>
    <w:p>
      <w:pPr>
        <w:numPr>
          <w:ilvl w:val="0"/>
          <w:numId w:val="1011"/>
        </w:numPr>
        <w:pStyle w:val="Compact"/>
      </w:pPr>
      <w:r>
        <w:t xml:space="preserve">Novos tópicos devem sempre ser acolhidos, mesmo que sejam delicados ou difíceis</w:t>
      </w:r>
    </w:p>
    <w:p>
      <w:pPr>
        <w:numPr>
          <w:ilvl w:val="0"/>
          <w:numId w:val="1011"/>
        </w:numPr>
        <w:pStyle w:val="Compact"/>
      </w:pPr>
      <w:r>
        <w:t xml:space="preserve">As crenças sobre a necessidade de preocupação são centrais no TAG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