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77ed2374a7b6495b7d2810474417e210410b9a"/>
    <w:p>
      <w:pPr>
        <w:pStyle w:val="Heading1"/>
      </w:pPr>
      <w:r>
        <w:t xml:space="preserve">Sessão 8 - Trabalho com Crenças e Regras Disfuncionais</w:t>
      </w:r>
    </w:p>
    <w:bookmarkStart w:id="20" w:name="objetivos-da-sessão"/>
    <w:p>
      <w:pPr>
        <w:pStyle w:val="Heading2"/>
      </w:pPr>
      <w:r>
        <w:t xml:space="preserve">Objetivos da Sessão</w:t>
      </w:r>
    </w:p>
    <w:p>
      <w:pPr>
        <w:numPr>
          <w:ilvl w:val="0"/>
          <w:numId w:val="1001"/>
        </w:numPr>
        <w:pStyle w:val="Compact"/>
      </w:pPr>
      <w:r>
        <w:t xml:space="preserve">Fazer a agenda</w:t>
      </w:r>
    </w:p>
    <w:p>
      <w:pPr>
        <w:numPr>
          <w:ilvl w:val="0"/>
          <w:numId w:val="1001"/>
        </w:numPr>
        <w:pStyle w:val="Compact"/>
      </w:pPr>
      <w:r>
        <w:t xml:space="preserve">Revisar as tarefas de casa</w:t>
      </w:r>
    </w:p>
    <w:p>
      <w:pPr>
        <w:numPr>
          <w:ilvl w:val="0"/>
          <w:numId w:val="1001"/>
        </w:numPr>
        <w:pStyle w:val="Compact"/>
      </w:pPr>
      <w:r>
        <w:t xml:space="preserve">Permitir que o paciente traga novos tópicos</w:t>
      </w:r>
    </w:p>
    <w:p>
      <w:pPr>
        <w:numPr>
          <w:ilvl w:val="0"/>
          <w:numId w:val="1001"/>
        </w:numPr>
        <w:pStyle w:val="Compact"/>
      </w:pPr>
      <w:r>
        <w:t xml:space="preserve">Continuar aperfeiçoando o questionamento de pensamentos preocupantes distorcidos</w:t>
      </w:r>
    </w:p>
    <w:p>
      <w:pPr>
        <w:numPr>
          <w:ilvl w:val="0"/>
          <w:numId w:val="1001"/>
        </w:numPr>
        <w:pStyle w:val="Compact"/>
      </w:pPr>
      <w:r>
        <w:t xml:space="preserve">Continuar identificando e trabalhando com crenças subjacentes</w:t>
      </w:r>
    </w:p>
    <w:p>
      <w:pPr>
        <w:numPr>
          <w:ilvl w:val="0"/>
          <w:numId w:val="1001"/>
        </w:numPr>
        <w:pStyle w:val="Compact"/>
      </w:pPr>
      <w:r>
        <w:t xml:space="preserve">Trabalhar com regras disfuncionais sobre preocupação e controle</w:t>
      </w:r>
    </w:p>
    <w:p>
      <w:pPr>
        <w:numPr>
          <w:ilvl w:val="0"/>
          <w:numId w:val="1001"/>
        </w:numPr>
        <w:pStyle w:val="Compact"/>
      </w:pPr>
      <w:r>
        <w:t xml:space="preserve">Procurar sempre aperfeiçoar a resposta mais adaptativa e mais racional</w:t>
      </w:r>
    </w:p>
    <w:p>
      <w:pPr>
        <w:numPr>
          <w:ilvl w:val="0"/>
          <w:numId w:val="1001"/>
        </w:numPr>
        <w:pStyle w:val="Compact"/>
      </w:pPr>
      <w:r>
        <w:t xml:space="preserve">Continuar incentivando os exercícios entre as sessões</w:t>
      </w:r>
    </w:p>
    <w:bookmarkEnd w:id="20"/>
    <w:bookmarkStart w:id="26" w:name="procedimentos-e-protocolo"/>
    <w:p>
      <w:pPr>
        <w:pStyle w:val="Heading2"/>
      </w:pPr>
      <w:r>
        <w:t xml:space="preserve">Procedimentos e Protocolo</w:t>
      </w:r>
    </w:p>
    <w:bookmarkStart w:id="21" w:name="Xe01d639a1e4a3bb17f572005720676a47171c63"/>
    <w:p>
      <w:pPr>
        <w:pStyle w:val="Heading3"/>
      </w:pPr>
      <w:r>
        <w:t xml:space="preserve">1. Fazer a Agenda</w:t>
      </w:r>
    </w:p>
    <w:p>
      <w:pPr>
        <w:pStyle w:val="FirstParagraph"/>
      </w:pPr>
      <w:r>
        <w:t xml:space="preserve">Seguir a estrutura padrão da agenda:</w:t>
      </w:r>
    </w:p>
    <w:p>
      <w:pPr>
        <w:numPr>
          <w:ilvl w:val="0"/>
          <w:numId w:val="1002"/>
        </w:numPr>
        <w:pStyle w:val="Compact"/>
      </w:pPr>
      <w:r>
        <w:t xml:space="preserve">Revisar tarefas de casa</w:t>
      </w:r>
    </w:p>
    <w:p>
      <w:pPr>
        <w:numPr>
          <w:ilvl w:val="0"/>
          <w:numId w:val="1002"/>
        </w:numPr>
        <w:pStyle w:val="Compact"/>
      </w:pPr>
      <w:r>
        <w:t xml:space="preserve">Tópicos novos do paciente</w:t>
      </w:r>
    </w:p>
    <w:p>
      <w:pPr>
        <w:numPr>
          <w:ilvl w:val="0"/>
          <w:numId w:val="1002"/>
        </w:numPr>
        <w:pStyle w:val="Compact"/>
      </w:pPr>
      <w:r>
        <w:t xml:space="preserve">Planejamento de novas tarefas</w:t>
      </w:r>
    </w:p>
    <w:bookmarkEnd w:id="21"/>
    <w:bookmarkStart w:id="22" w:name="Xcd651841de28ec1d33e5e57f810f74ab007366b"/>
    <w:p>
      <w:pPr>
        <w:pStyle w:val="Heading3"/>
      </w:pPr>
      <w:r>
        <w:t xml:space="preserve">2. Continuar Aperfeiçoando o Questionamento</w:t>
      </w:r>
    </w:p>
    <w:p>
      <w:pPr>
        <w:pStyle w:val="FirstParagraph"/>
      </w:pPr>
      <w:r>
        <w:rPr>
          <w:bCs/>
          <w:b/>
        </w:rPr>
        <w:t xml:space="preserve">E nós vamos aqui nessas sessões aperfeiçoando o questionamento de pensamentos preocupantes distorcidos</w:t>
      </w:r>
      <w:r>
        <w:t xml:space="preserve">, procurando sempre aperfeiçoar a resposta mais adaptativa e mais racional.</w:t>
      </w:r>
    </w:p>
    <w:bookmarkEnd w:id="22"/>
    <w:bookmarkStart w:id="23" w:name="Xeb29d9f429a01d2a09a2c89b07c2aafb8b32348"/>
    <w:p>
      <w:pPr>
        <w:pStyle w:val="Heading3"/>
      </w:pPr>
      <w:r>
        <w:t xml:space="preserve">3. Continuar Identificando Crenças Subjacentes</w:t>
      </w:r>
    </w:p>
    <w:p>
      <w:pPr>
        <w:pStyle w:val="FirstParagraph"/>
      </w:pPr>
      <w:r>
        <w:rPr>
          <w:bCs/>
          <w:b/>
        </w:rPr>
        <w:t xml:space="preserve">Também entre as sessões 7, 8 e 9, nós vamos continuar a identificar as crenças subjacentes relacionadas à preocupação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As crenças subjacentes são regras que influenciam o comportamento</w:t>
      </w:r>
      <w:r>
        <w:t xml:space="preserve">, geralmente expressas como: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Se eu fizer tal coisa, então vai acontecer tal coisa.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“</w:t>
      </w:r>
      <w:r>
        <w:t xml:space="preserve">Portanto, eu tenho que fazer isso.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Exemplos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Se eu não me preocupar, algo ruim vai acontecer.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Se eu relaxar, vou perder o controle.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“</w:t>
      </w:r>
      <w:r>
        <w:t xml:space="preserve">Portanto, eu tenho que me preocupar constantemente, eu tenho que estar sempre alerta.</w:t>
      </w:r>
      <w:r>
        <w:t xml:space="preserve">”</w:t>
      </w:r>
    </w:p>
    <w:bookmarkEnd w:id="23"/>
    <w:bookmarkStart w:id="24" w:name="X0acc3e5f6aa83f55b6c076b23b610dd5a0f1ef2"/>
    <w:p>
      <w:pPr>
        <w:pStyle w:val="Heading3"/>
      </w:pPr>
      <w:r>
        <w:t xml:space="preserve">4. Trabalhar com Regras Disfuncionais</w:t>
      </w:r>
    </w:p>
    <w:p>
      <w:pPr>
        <w:pStyle w:val="FirstParagraph"/>
      </w:pPr>
      <w:r>
        <w:rPr>
          <w:bCs/>
          <w:b/>
        </w:rPr>
        <w:t xml:space="preserve">Regras disfuncionais são crenças sobre como as coisas devem ser</w:t>
      </w:r>
      <w:r>
        <w:t xml:space="preserve">. No TAG, essas regras geralmente envolvem:</w:t>
      </w:r>
    </w:p>
    <w:p>
      <w:pPr>
        <w:pStyle w:val="BodyText"/>
      </w:pPr>
      <w:r>
        <w:rPr>
          <w:bCs/>
          <w:b/>
        </w:rPr>
        <w:t xml:space="preserve">Regras sobre preocupação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Eu devo me preocupar para estar preparado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Se eu não me preocupar, sou irresponsável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Preocupação me protege de problemas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Regras sobre controle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Eu devo ter controle sobre tudo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Se eu não controlar, tudo vai dar errado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Eu não posso relaxar porque preciso estar no controle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Regras sobre perfeição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Eu devo fazer tudo perfeitamente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Se eu cometer um erro, será terrível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Eu não posso falhar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Nós vamos trabalhar com essas regras</w:t>
      </w:r>
      <w:r>
        <w:t xml:space="preserve">, questionando: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Essa regra é realista?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Essa regra te ajuda ou te atrapalha?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O que aconteceria se você não seguisse essa regra?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Você conhece alguém que não segue essa regra? Como é a vida dessa pessoa?</w:t>
      </w:r>
      <w:r>
        <w:t xml:space="preserve">”</w:t>
      </w:r>
    </w:p>
    <w:bookmarkEnd w:id="24"/>
    <w:bookmarkStart w:id="25" w:name="Xc70202a733af5b49c2437be623df9ec2deb5008"/>
    <w:p>
      <w:pPr>
        <w:pStyle w:val="Heading3"/>
      </w:pPr>
      <w:r>
        <w:t xml:space="preserve">5. Continuar Incentivando os Exercícios</w:t>
      </w:r>
    </w:p>
    <w:p>
      <w:pPr>
        <w:pStyle w:val="FirstParagraph"/>
      </w:pPr>
      <w:r>
        <w:rPr>
          <w:bCs/>
          <w:b/>
        </w:rPr>
        <w:t xml:space="preserve">E você continua incentivando também, como tarefa de casa, os exercícios entre as sessões</w:t>
      </w:r>
      <w:r>
        <w:t xml:space="preserve">.</w:t>
      </w:r>
    </w:p>
    <w:bookmarkEnd w:id="25"/>
    <w:bookmarkEnd w:id="26"/>
    <w:bookmarkStart w:id="27" w:name="tarefas-de-casa"/>
    <w:p>
      <w:pPr>
        <w:pStyle w:val="Heading2"/>
      </w:pPr>
      <w:r>
        <w:t xml:space="preserve">Tarefas de Casa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Continuar registro de preocupações e sintomas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Anotar pensamentos preocupantes e pensar em respostas racionais</w:t>
      </w:r>
      <w:r>
        <w:t xml:space="preserve">: Continuar aperfeiçoando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Identificar crenças subjacentes e regras disfuncionais</w:t>
      </w:r>
      <w:r>
        <w:t xml:space="preserve">: Trazer exemplos de regras que influenciam o comportamento relacionado à preocupação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Continuar planejamento de atividades</w:t>
      </w:r>
    </w:p>
    <w:bookmarkEnd w:id="27"/>
    <w:bookmarkStart w:id="28" w:name="observações-importantes"/>
    <w:p>
      <w:pPr>
        <w:pStyle w:val="Heading2"/>
      </w:pPr>
      <w:r>
        <w:t xml:space="preserve">Observações Importantes</w:t>
      </w:r>
    </w:p>
    <w:p>
      <w:pPr>
        <w:numPr>
          <w:ilvl w:val="0"/>
          <w:numId w:val="1010"/>
        </w:numPr>
        <w:pStyle w:val="Compact"/>
      </w:pPr>
      <w:r>
        <w:t xml:space="preserve">As sessões 7, 8 e 9 têm conteúdo muito parecido</w:t>
      </w:r>
    </w:p>
    <w:p>
      <w:pPr>
        <w:numPr>
          <w:ilvl w:val="0"/>
          <w:numId w:val="1010"/>
        </w:numPr>
        <w:pStyle w:val="Compact"/>
      </w:pPr>
      <w:r>
        <w:t xml:space="preserve">O foco continua no aperfeiçoamento do questionamento cognitivo</w:t>
      </w:r>
    </w:p>
    <w:p>
      <w:pPr>
        <w:numPr>
          <w:ilvl w:val="0"/>
          <w:numId w:val="1010"/>
        </w:numPr>
        <w:pStyle w:val="Compact"/>
      </w:pPr>
      <w:r>
        <w:t xml:space="preserve">As crenças subjacentes e regras disfuncionais são trabalhadas de forma mais intensa</w:t>
      </w:r>
    </w:p>
    <w:p>
      <w:pPr>
        <w:numPr>
          <w:ilvl w:val="0"/>
          <w:numId w:val="1010"/>
        </w:numPr>
        <w:pStyle w:val="Compact"/>
      </w:pPr>
      <w:r>
        <w:t xml:space="preserve">A flexibilização continua sendo importante</w:t>
      </w:r>
    </w:p>
    <w:p>
      <w:pPr>
        <w:numPr>
          <w:ilvl w:val="0"/>
          <w:numId w:val="1010"/>
        </w:numPr>
        <w:pStyle w:val="Compact"/>
      </w:pPr>
      <w:r>
        <w:t xml:space="preserve">As regras disfuncionais sobre preocupação e controle são centrais no TAG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