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  <w:keepNext/>
        <w:widowControl/>
      </w:pPr>
      <w:r>
        <w:t>MOUNTIER  |  ECOSSISTEMA AGRO</w:t>
      </w:r>
    </w:p>
    <w:p>
      <w:pPr>
        <w:widowControl/>
        <w:spacing w:after="20"/>
      </w:pPr>
      <w:r>
        <w:t>Mountier Agro e Tier Trade</w:t>
      </w:r>
    </w:p>
    <w:p>
      <w:pPr>
        <w:widowControl/>
        <w:spacing w:after="240"/>
      </w:pPr>
      <w:r>
        <w:t>Arquitetura Futura e Princípios de Domínio 1.2</w:t>
      </w:r>
    </w:p>
    <w:p>
      <w:pPr>
        <w:pStyle w:val="Lead"/>
        <w:widowControl/>
      </w:pPr>
      <w:r>
        <w:t>Decisões estruturais para evoluir o aplicativo Mountier Agro e o Tier Trade sem misturar domínios, dados ou ciclos de produto, preservando integrações por contratos explícitos.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DF1EB"/>
            <w:tcBorders>
              <w:left w:val="single" w:sz="18" w:color="EB5E28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EB5E28"/>
                <w:sz w:val="20"/>
              </w:rPr>
              <w:t>OBJETIVO</w:t>
            </w:r>
          </w:p>
          <w:p>
            <w:pPr>
              <w:spacing w:after="20" w:line="259" w:lineRule="auto"/>
            </w:pPr>
            <w:r>
              <w:rPr>
                <w:rFonts w:ascii="Inter" w:hAnsi="Inter" w:eastAsia="Inter"/>
                <w:color w:val="191F1C"/>
                <w:sz w:val="19"/>
              </w:rPr>
              <w:t>Evitar retrofits caros, dados inconsistentes, regras duplicadas e gargalos de performance sem cair no extremo oposto de construir funcionalidades futuras antes da hora.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376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7"/>
              </w:rPr>
              <w:t>PREMISSA</w:t>
            </w:r>
          </w:p>
        </w:tc>
        <w:tc>
          <w:tcPr>
            <w:tcW w:type="dxa" w:w="7128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7"/>
              </w:rPr>
              <w:t>DECISÃO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7"/>
              </w:rPr>
              <w:t>Canais desde o início</w:t>
            </w:r>
          </w:p>
        </w:tc>
        <w:tc>
          <w:tcPr>
            <w:tcW w:type="dxa" w:w="712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7"/>
              </w:rPr>
              <w:t>Web + aplicativo mobile consumindo o mesmo backend e o mesmo modelo de domínio.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7"/>
              </w:rPr>
              <w:t>Banco de dados</w:t>
            </w:r>
          </w:p>
        </w:tc>
        <w:tc>
          <w:tcPr>
            <w:tcW w:type="dxa" w:w="7128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7"/>
              </w:rPr>
              <w:t>Banco próprio do Mountier Agro; nenhuma integração externa acessa o banco diretamente.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7"/>
              </w:rPr>
              <w:t>Integração Mountier</w:t>
            </w:r>
          </w:p>
        </w:tc>
        <w:tc>
          <w:tcPr>
            <w:tcW w:type="dxa" w:w="712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7"/>
              </w:rPr>
              <w:t>Troca via API/eventos com o sistema principal da Mountier, com ownership explícito de dados.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7"/>
              </w:rPr>
              <w:t>Integrações B2B</w:t>
            </w:r>
          </w:p>
        </w:tc>
        <w:tc>
          <w:tcPr>
            <w:tcW w:type="dxa" w:w="7128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7"/>
              </w:rPr>
              <w:t>Arquitetura preparada para tradings, casas de crédito, bancos/FIDCs, escritórios e outros parceiros.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7"/>
              </w:rPr>
              <w:t>Escopo produtivo da V1</w:t>
            </w:r>
          </w:p>
        </w:tc>
        <w:tc>
          <w:tcPr>
            <w:tcW w:type="dxa" w:w="712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7"/>
              </w:rPr>
              <w:t>Agricultura; a estrutura já registra explicitamente o tipo de atividade para pecuária entrar sem retrofit.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7"/>
              </w:rPr>
              <w:t>Estratégia backend</w:t>
            </w:r>
          </w:p>
        </w:tc>
        <w:tc>
          <w:tcPr>
            <w:tcW w:type="dxa" w:w="7128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7"/>
              </w:rPr>
              <w:t>Backend-first, API-first, domínio modular, Postgres como system of record e processamento assíncrono para tarefas pesadas.</w:t>
            </w:r>
          </w:p>
        </w:tc>
      </w:tr>
    </w:tbl>
    <w:p>
      <w:pPr>
        <w:widowControl/>
        <w:spacing w:after="20"/>
      </w:pPr>
    </w:p>
    <w:p>
      <w:pPr>
        <w:pStyle w:val="Small"/>
        <w:widowControl/>
      </w:pPr>
      <w:r>
        <w:t>Este documento define princípios e fronteiras arquiteturais. Ele não substitui a Especificação Funcional V1 nem a futura especificação detalhada de banco/API.</w:t>
      </w:r>
    </w:p>
    <w:p>
      <w:pPr>
        <w:pStyle w:val="Small"/>
        <w:widowControl/>
      </w:pPr>
      <w:r>
        <w:t>Convenção de nome  Tier Trade é o nome provisório do sistema de trading agrícola e commodities da Mountier Agro. O nome poderá mudar sem alterar bounded contexts, eventos, APIs, bancos ou ownership. Mountier Agro identifica o produto voltado ao produtor e permanece independente.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1. Por que este documento existe</w:t>
      </w:r>
    </w:p>
    <w:p>
      <w:pPr>
        <w:widowControl/>
      </w:pPr>
      <w:r>
        <w:rPr>
          <w:rFonts w:ascii="Inter" w:hAnsi="Inter" w:eastAsia="Inter"/>
          <w:sz w:val="19"/>
        </w:rPr>
        <w:t>O Mountier Agro já tem uma direção de produto definida: a V1 começa em agricultura e precisa mostrar de forma simples como está financeiramente a operação e o que merece atenção agora. O risco, a partir daqui, não é apenas construir a funcionalidade errada; é codificar a primeira versão de um jeito que torne cada expansão futura uma migração perigosa.</w:t>
      </w:r>
    </w:p>
    <w:p>
      <w:pPr>
        <w:widowControl/>
      </w:pPr>
      <w:r>
        <w:rPr>
          <w:rFonts w:ascii="Inter" w:hAnsi="Inter" w:eastAsia="Inter"/>
          <w:sz w:val="19"/>
        </w:rPr>
        <w:t>O objetivo desta etapa é identificar decisões que são baratas de acertar agora e caras de corrigir depois. A regra é: não construir a funcionalidade futura, mas construir a junta em que ela vai se encaixar.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FF4F0"/>
            <w:tcBorders>
              <w:left w:val="single" w:sz="18" w:color="385B46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385B46"/>
                <w:sz w:val="20"/>
              </w:rPr>
              <w:t>PRINCÍPIO CENTRAL</w:t>
            </w:r>
          </w:p>
          <w:p>
            <w:pPr>
              <w:spacing w:after="20" w:line="259" w:lineRule="auto"/>
            </w:pPr>
            <w:r>
              <w:rPr>
                <w:rFonts w:ascii="Inter" w:hAnsi="Inter" w:eastAsia="Inter"/>
                <w:color w:val="191F1C"/>
                <w:sz w:val="19"/>
              </w:rPr>
              <w:t>A V1 deve ser simples na experiência e deliberadamente sólida no domínio, na integridade de dados e nas fronteiras de integração.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1.1 O que este documento evita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Tipos de usuário rígidos que precisem ser reclassificados quando entrarem novos papéis.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Tabelas agrícolas com colunas pecuárias nulas — ou vice-versa.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Campos que eram opcionais e depois viram obrigatórios sem estratégia para registros antigos.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Regras de negócio duplicadas no web, mobile, banco e funções isoladas.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Dados copiados entre Mountier Core e Mountier Agro sem definição de fonte da verdade.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Contratos e cotações históricas recalculados com regras ou fontes novas, alterando o passado.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Integrações externas criando duplicidade por retry de webhook ou requisição.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Dashboards lentos porque toda abertura da Home exige dezenas de joins e agregações pesadas.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Deploys que exigem que todos os usuários atualizem o app mobile imediatamente.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Logs insuficientes para suporte reconstruir o que aconteceu com um dado financeiro.</w:t>
      </w:r>
    </w:p>
    <w:p>
      <w:pPr>
        <w:pStyle w:val="Heading1"/>
        <w:keepNext/>
        <w:widowControl/>
      </w:pPr>
      <w:r>
        <w:t>2. North Star arquitetural</w:t>
      </w:r>
    </w:p>
    <w:p>
      <w:pPr>
        <w:widowControl/>
      </w:pPr>
      <w:r>
        <w:rPr>
          <w:rFonts w:ascii="Inter" w:hAnsi="Inter" w:eastAsia="Inter"/>
          <w:sz w:val="19"/>
        </w:rPr>
        <w:t>O Mountier Agro deve nascer como um produto independente dentro do ecossistema Mountier. Ele possui experiência, backend, banco e contratos de integração próprios. Mountier Core, parceiros e canais externos se conectam a ele por interfaces explícitas.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Web App (Next.js ou equivalente)        Mobile App (Expo / React Native)</w:t>
              <w:br/>
              <w:t xml:space="preserve">              \                           /</w:t>
              <w:br/>
              <w:t xml:space="preserve">               \                         /</w:t>
              <w:br/>
              <w:t xml:space="preserve">                └────── Mountier Agro API ──────┐</w:t>
              <w:br/>
              <w:t xml:space="preserve">                         Domain / RBAC           │</w:t>
              <w:br/>
              <w:t xml:space="preserve">                         Application Services    │</w:t>
              <w:br/>
              <w:t xml:space="preserve">                         Integrations            │</w:t>
              <w:br/>
              <w:t xml:space="preserve">                         Workers / Events        │</w:t>
              <w:br/>
              <w:t xml:space="preserve">                              │                  │</w:t>
              <w:br/>
              <w:t xml:space="preserve">                        PostgreSQL          Object Storage</w:t>
              <w:br/>
              <w:t xml:space="preserve">                              │</w:t>
              <w:br/>
              <w:t xml:space="preserve">                   Integration / Event Layer</w:t>
              <w:br/>
              <w:t xml:space="preserve">                 ┌────────────┼─────────────┐</w:t>
              <w:br/>
              <w:t xml:space="preserve">             Mountier Core  Tradings    Crédito / FIDCs / Bancos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2.1 Regras não negociáveis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FF4F0"/>
            <w:tcBorders>
              <w:left w:val="single" w:sz="18" w:color="385B46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385B46"/>
                <w:sz w:val="20"/>
              </w:rPr>
              <w:t>Uma regra de negócio, uma fonte</w:t>
            </w:r>
          </w:p>
          <w:p>
            <w:pPr>
              <w:spacing w:after="20" w:line="259" w:lineRule="auto"/>
            </w:pPr>
            <w:r>
              <w:rPr>
                <w:rFonts w:ascii="Inter" w:hAnsi="Inter" w:eastAsia="Inter"/>
                <w:color w:val="191F1C"/>
                <w:sz w:val="19"/>
              </w:rPr>
              <w:t>A regra vive no backend/domínio. Web e mobile apresentam e enviam comandos; não implementam versões concorrentes da mesma lógica.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FF4F0"/>
            <w:tcBorders>
              <w:left w:val="single" w:sz="18" w:color="385B46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385B46"/>
                <w:sz w:val="20"/>
              </w:rPr>
              <w:t>API antes de banco</w:t>
            </w:r>
          </w:p>
          <w:p>
            <w:pPr>
              <w:spacing w:after="20" w:line="259" w:lineRule="auto"/>
            </w:pPr>
            <w:r>
              <w:rPr>
                <w:rFonts w:ascii="Inter" w:hAnsi="Inter" w:eastAsia="Inter"/>
                <w:color w:val="191F1C"/>
                <w:sz w:val="19"/>
              </w:rPr>
              <w:t>Frontends e parceiros não consultam tabelas diretamente. Todo acesso de domínio passa por API/serviço autorizado.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FF4F0"/>
            <w:tcBorders>
              <w:left w:val="single" w:sz="18" w:color="385B46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385B46"/>
                <w:sz w:val="20"/>
              </w:rPr>
              <w:t>Banco do Agro é proprietário do Agro</w:t>
            </w:r>
          </w:p>
          <w:p>
            <w:pPr>
              <w:spacing w:after="20" w:line="259" w:lineRule="auto"/>
            </w:pPr>
            <w:r>
              <w:rPr>
                <w:rFonts w:ascii="Inter" w:hAnsi="Inter" w:eastAsia="Inter"/>
                <w:color w:val="191F1C"/>
                <w:sz w:val="19"/>
              </w:rPr>
              <w:t>Dados nativos do domínio agro são mantidos no banco do Mountier Agro; sistemas externos referenciam ou consomem via contrato.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FF4F0"/>
            <w:tcBorders>
              <w:left w:val="single" w:sz="18" w:color="385B46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385B46"/>
                <w:sz w:val="20"/>
              </w:rPr>
              <w:t>Integração por contrato</w:t>
            </w:r>
          </w:p>
          <w:p>
            <w:pPr>
              <w:spacing w:after="20" w:line="259" w:lineRule="auto"/>
            </w:pPr>
            <w:r>
              <w:rPr>
                <w:rFonts w:ascii="Inter" w:hAnsi="Inter" w:eastAsia="Inter"/>
                <w:color w:val="191F1C"/>
                <w:sz w:val="19"/>
              </w:rPr>
              <w:t>Mountier Core e terceiros trocam dados por API, eventos e webhooks versionados — não por SELECT em banco alheio.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FF4F0"/>
            <w:tcBorders>
              <w:left w:val="single" w:sz="18" w:color="385B46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385B46"/>
                <w:sz w:val="20"/>
              </w:rPr>
              <w:t>Modular monolith primeiro</w:t>
            </w:r>
          </w:p>
          <w:p>
            <w:pPr>
              <w:spacing w:after="20" w:line="259" w:lineRule="auto"/>
            </w:pPr>
            <w:r>
              <w:rPr>
                <w:rFonts w:ascii="Inter" w:hAnsi="Inter" w:eastAsia="Inter"/>
                <w:color w:val="191F1C"/>
                <w:sz w:val="19"/>
              </w:rPr>
              <w:t>Um backend implantável como unidade, mas dividido em módulos com fronteiras claras. Microservices só quando escala/equipe/isolamento justificarem.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FF4F0"/>
            <w:tcBorders>
              <w:left w:val="single" w:sz="18" w:color="385B46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385B46"/>
                <w:sz w:val="20"/>
              </w:rPr>
              <w:t>Postgres como system of record</w:t>
            </w:r>
          </w:p>
          <w:p>
            <w:pPr>
              <w:spacing w:after="20" w:line="259" w:lineRule="auto"/>
            </w:pPr>
            <w:r>
              <w:rPr>
                <w:rFonts w:ascii="Inter" w:hAnsi="Inter" w:eastAsia="Inter"/>
                <w:color w:val="191F1C"/>
                <w:sz w:val="19"/>
              </w:rPr>
              <w:t>Dados transacionais e financeiros centrais permanecem relacionais, com constraints e migrations versionadas.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FF4F0"/>
            <w:tcBorders>
              <w:left w:val="single" w:sz="18" w:color="385B46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385B46"/>
                <w:sz w:val="20"/>
              </w:rPr>
              <w:t>Assíncrono para trabalho pesado</w:t>
            </w:r>
          </w:p>
          <w:p>
            <w:pPr>
              <w:spacing w:after="20" w:line="259" w:lineRule="auto"/>
            </w:pPr>
            <w:r>
              <w:rPr>
                <w:rFonts w:ascii="Inter" w:hAnsi="Inter" w:eastAsia="Inter"/>
                <w:color w:val="191F1C"/>
                <w:sz w:val="19"/>
              </w:rPr>
              <w:t>IA, importações, relatórios, sincronizações e reprocessamentos não bloqueiam requisições de usuário.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FF4F0"/>
            <w:tcBorders>
              <w:left w:val="single" w:sz="18" w:color="385B46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385B46"/>
                <w:sz w:val="20"/>
              </w:rPr>
              <w:t>Observabilidade desde a primeira produção</w:t>
            </w:r>
          </w:p>
          <w:p>
            <w:pPr>
              <w:spacing w:after="20" w:line="259" w:lineRule="auto"/>
            </w:pPr>
            <w:r>
              <w:rPr>
                <w:rFonts w:ascii="Inter" w:hAnsi="Inter" w:eastAsia="Inter"/>
                <w:color w:val="191F1C"/>
                <w:sz w:val="19"/>
              </w:rPr>
              <w:t>Logs estruturados, error tracking, métricas e auditoria não são adicionados só depois do primeiro incidente.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3. Identidade, organizações e tenancy</w:t>
      </w:r>
    </w:p>
    <w:p>
      <w:pPr>
        <w:widowControl/>
      </w:pPr>
      <w:r>
        <w:rPr>
          <w:rFonts w:ascii="Inter" w:hAnsi="Inter" w:eastAsia="Inter"/>
          <w:sz w:val="19"/>
        </w:rPr>
        <w:t>A entidade “usuário” não deve carregar a identidade de negócio inteira. Uma pessoa pode ser dona de um grupo produtor, pertencer a uma trading, atuar como assessor da Mountier ou possuir mais de um vínculo ao longo do tempo.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DF1EB"/>
            <w:tcBorders>
              <w:left w:val="single" w:sz="18" w:color="EB5E28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EB5E28"/>
                <w:sz w:val="20"/>
              </w:rPr>
              <w:t>DECISÃO</w:t>
            </w:r>
          </w:p>
          <w:p>
            <w:pPr>
              <w:spacing w:after="20" w:line="259" w:lineRule="auto"/>
            </w:pPr>
            <w:r>
              <w:rPr>
                <w:rFonts w:ascii="Inter" w:hAnsi="Inter" w:eastAsia="Inter"/>
                <w:color w:val="191F1C"/>
                <w:sz w:val="19"/>
              </w:rPr>
              <w:t>User ≠ Producer ≠ Organization ≠ Operation ≠ Activity Type. Essa separação elimina uma classe inteira de retrofits futuros.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3.1 Modelo conceitual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User</w:t>
              <w:br/>
              <w:t>└── Organization Membership(s)</w:t>
              <w:br/>
              <w:t xml:space="preserve">    ├── Grupo Produtor A → OWNER</w:t>
              <w:br/>
              <w:t xml:space="preserve">    │   ├── Operation 1</w:t>
              <w:br/>
              <w:t xml:space="preserve">    │   └── Operation 2</w:t>
              <w:br/>
              <w:t xml:space="preserve">    ├── Trading XYZ → VIEWER / TRADER</w:t>
              <w:br/>
              <w:t xml:space="preserve">    └── Mountier → ADVISOR / ADMIN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ENTIDADE</w:t>
            </w:r>
          </w:p>
        </w:tc>
        <w:tc>
          <w:tcPr>
            <w:tcW w:type="dxa" w:w="4320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RESPONSABILIDADE</w:t>
            </w:r>
          </w:p>
        </w:tc>
        <w:tc>
          <w:tcPr>
            <w:tcW w:type="dxa" w:w="3240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NÃO DEVE VIRAR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User</w:t>
            </w:r>
          </w:p>
        </w:tc>
        <w:tc>
          <w:tcPr>
            <w:tcW w:type="dxa" w:w="432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Identidade da pessoa, autenticação e preferências pessoais.</w:t>
            </w:r>
          </w:p>
        </w:tc>
        <w:tc>
          <w:tcPr>
            <w:tcW w:type="dxa" w:w="324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“Tipo de negócio” permanente do usuário.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Organization</w:t>
            </w:r>
          </w:p>
        </w:tc>
        <w:tc>
          <w:tcPr>
            <w:tcW w:type="dxa" w:w="432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Pessoa jurídica, grupo econômico ou unidade organizacional que possui operações e membros.</w:t>
            </w:r>
          </w:p>
        </w:tc>
        <w:tc>
          <w:tcPr>
            <w:tcW w:type="dxa" w:w="324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Substituto para operação/fazenda.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Membership</w:t>
            </w:r>
          </w:p>
        </w:tc>
        <w:tc>
          <w:tcPr>
            <w:tcW w:type="dxa" w:w="432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Relação User ↔ Organization + papel/capacidades.</w:t>
            </w:r>
          </w:p>
        </w:tc>
        <w:tc>
          <w:tcPr>
            <w:tcW w:type="dxa" w:w="324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Enum global único de role.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Operation</w:t>
            </w:r>
          </w:p>
        </w:tc>
        <w:tc>
          <w:tcPr>
            <w:tcW w:type="dxa" w:w="432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Unidade econômica/agro acompanhada pelo produto.</w:t>
            </w:r>
          </w:p>
        </w:tc>
        <w:tc>
          <w:tcPr>
            <w:tcW w:type="dxa" w:w="324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Sinônimo obrigatório de propriedade física.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Activity</w:t>
            </w:r>
          </w:p>
        </w:tc>
        <w:tc>
          <w:tcPr>
            <w:tcW w:type="dxa" w:w="432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Tipo produtivo associado à operação: AGRICULTURE hoje; LIVESTOCK futuramente.</w:t>
            </w:r>
          </w:p>
        </w:tc>
        <w:tc>
          <w:tcPr>
            <w:tcW w:type="dxa" w:w="324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Coluna espalhada em todas as tabelas.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3.2 Multi-tenant desde a V1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Toda entidade de negócio relevante deve possuir ownership resolvível até uma organization/tenant.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Consultas operacionais devem filtrar tenant no backend por padrão, não depender da boa vontade de cada tela.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IDs externos não substituem o tenant interno; um mesmo parceiro pode integrar várias organizações.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Permissão deve ser verificada por recurso/capability, não somente por rota ou nome do papel.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Suporte interno e usuários master devem usar acesso administrativo auditado, não “bypass invisível”.</w:t>
      </w:r>
    </w:p>
    <w:p>
      <w:pPr>
        <w:pStyle w:val="Heading2"/>
        <w:keepNext/>
        <w:widowControl/>
      </w:pPr>
      <w:r>
        <w:t>3.3 Aplicação da tenancy ao Tier Trade</w:t>
      </w:r>
    </w:p>
    <w:p>
      <w:pPr>
        <w:widowControl/>
      </w:pPr>
      <w:r>
        <w:t>O Tier Trade utiliza tenant como fronteira SaaS e poderá operar em célula compartilhada, banco isolado ou célula dedicada. Tenant é diferente de empresa legal, estabelecimento, unidade e usuário. O detalhamento obrigatório está em Tier Trade Arquitetura de Multitenancy Dados e Implantação 1.0.</w:t>
      </w:r>
    </w:p>
    <w:p>
      <w:pPr>
        <w:pStyle w:val="ListBullet"/>
        <w:widowControl/>
      </w:pPr>
      <w:r>
        <w:t>Todas as entidades do Tier Trade carregam tenant_id quando pertencem ao cliente.</w:t>
      </w:r>
    </w:p>
    <w:p>
      <w:pPr>
        <w:pStyle w:val="ListBullet"/>
        <w:widowControl/>
      </w:pPr>
      <w:r>
        <w:t>O contexto de tenant atravessa API, banco, filas, storage, cache, logs e jobs.</w:t>
      </w:r>
    </w:p>
    <w:p>
      <w:pPr>
        <w:pStyle w:val="ListBullet"/>
        <w:widowControl/>
      </w:pPr>
      <w:r>
        <w:t>A diferença entre planos de isolamento não cria versões distintas do produto.</w:t>
      </w:r>
    </w:p>
    <w:p>
      <w:pPr>
        <w:pStyle w:val="Heading1"/>
        <w:keepNext/>
        <w:widowControl/>
      </w:pPr>
      <w:r>
        <w:t>4. Agricultura agora, pecuária depois — sem retrofit</w:t>
      </w:r>
    </w:p>
    <w:p>
      <w:pPr>
        <w:widowControl/>
      </w:pPr>
      <w:r>
        <w:rPr>
          <w:rFonts w:ascii="Inter" w:hAnsi="Inter" w:eastAsia="Inter"/>
          <w:sz w:val="19"/>
        </w:rPr>
        <w:t>A V1 exibe apenas agricultura. Mesmo assim, o banco deve registrar explicitamente que a atividade é agricultura. O usuário não precisa escolher nada na interface enquanto só existe uma opção; o backend cria a atividade AGRICULTURE automaticamente.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Ao criar a primeira operação na V1:</w:t>
              <w:br/>
              <w:t>operation_activity.type = AGRICULTURE</w:t>
              <w:br/>
              <w:t>operation_activity.status = ACTIVE</w:t>
              <w:br/>
              <w:br/>
              <w:t>Na versão futura:</w:t>
              <w:br/>
              <w:t>operation_activity.type ∈ { AGRICULTURE, LIVESTOCK, ... }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4.1 O que fica compartilhado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Organizations, users, memberships e permissões.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Properties/locations quando aplicável.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Documents, extractions e confirmações de IA.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Counterparties e relacionamento com compradores/fornecedores.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Contracts em sua camada comercial comum, quando o instrumento permitir.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Financial Events e projeção de caixa.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Credit opportunities, tax opportunities e M&amp;A.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Notifications, audit, integrations, feature flags e consentimentos.</w:t>
      </w:r>
    </w:p>
    <w:p>
      <w:pPr>
        <w:pStyle w:val="Heading2"/>
        <w:keepNext/>
        <w:widowControl/>
      </w:pPr>
      <w:r>
        <w:t>4.2 O que deve ser separado por domínio produtivo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680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AGRICULTURE</w:t>
            </w:r>
          </w:p>
        </w:tc>
        <w:tc>
          <w:tcPr>
            <w:tcW w:type="dxa" w:w="4680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LIVESTOCK FUTURO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plots / talhões</w:t>
            </w:r>
          </w:p>
        </w:tc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herds / rebanhos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crop_cycles / safras</w:t>
            </w:r>
          </w:p>
        </w:tc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livestock_cycles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crops / culturas</w:t>
            </w:r>
          </w:p>
        </w:tc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species / categories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yield / produtividade</w:t>
            </w:r>
          </w:p>
        </w:tc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weight / arrobas / ganho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planting / harvest milestones</w:t>
            </w:r>
          </w:p>
        </w:tc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entry / finishing / slaughter milestones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Inter" w:hAnsi="Inter" w:eastAsia="Inter"/>
          <w:sz w:val="19"/>
        </w:rPr>
        <w:t>Não criar uma tabela genérica de produção com dezenas de colunas que ficam NULL conforme o tipo de atividade. O compartilhamento ocorre na camada financeira e documental; o modelo produtivo permanece especializado.</w:t>
      </w:r>
    </w:p>
    <w:p>
      <w:pPr>
        <w:pStyle w:val="Heading1"/>
        <w:keepNext/>
        <w:widowControl/>
      </w:pPr>
      <w:r>
        <w:t>5. Modelo financeiro canônico</w:t>
      </w:r>
    </w:p>
    <w:p>
      <w:pPr>
        <w:widowControl/>
      </w:pPr>
      <w:r>
        <w:rPr>
          <w:rFonts w:ascii="Inter" w:hAnsi="Inter" w:eastAsia="Inter"/>
          <w:sz w:val="19"/>
        </w:rPr>
        <w:t>Este é o núcleo mais importante para evitar duplicação. Contratos, custeio, barter, tributos, crédito e outros módulos não devem calcular caixa cada um à sua maneira. Todos convergem para um modelo comum de eventos financeiros.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FinancialEvent</w:t>
              <w:br/>
              <w:t>- id</w:t>
              <w:br/>
              <w:t>- organization_id / operation_id</w:t>
              <w:br/>
              <w:t>- direction: INFLOW | OUTFLOW</w:t>
              <w:br/>
              <w:t>- category</w:t>
              <w:br/>
              <w:t>- amount + currency</w:t>
              <w:br/>
              <w:t>- expected_date</w:t>
              <w:br/>
              <w:t>- actual_date?</w:t>
              <w:br/>
              <w:t>- status</w:t>
              <w:br/>
              <w:t>- source_type + source_id</w:t>
              <w:br/>
              <w:t>- confidence / coverage metadata</w:t>
              <w:br/>
              <w:t>- version / audit metadata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5.1 Exemplos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880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ORIGEM</w:t>
            </w:r>
          </w:p>
        </w:tc>
        <w:tc>
          <w:tcPr>
            <w:tcW w:type="dxa" w:w="6480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EVENTO FINANCEIRO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Contrato de venda</w:t>
            </w:r>
          </w:p>
        </w:tc>
        <w:tc>
          <w:tcPr>
            <w:tcW w:type="dxa" w:w="64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Entrada prevista de R$ X na data/condição de pagamento.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Custeio</w:t>
            </w:r>
          </w:p>
        </w:tc>
        <w:tc>
          <w:tcPr>
            <w:tcW w:type="dxa" w:w="64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Saída prevista da parcela no vencimento.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Barter</w:t>
            </w:r>
          </w:p>
        </w:tc>
        <w:tc>
          <w:tcPr>
            <w:tcW w:type="dxa" w:w="64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Obrigação/entrega com representação financeira compatível com a regra definida.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Tributo</w:t>
            </w:r>
          </w:p>
        </w:tc>
        <w:tc>
          <w:tcPr>
            <w:tcW w:type="dxa" w:w="64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Saída prevista com jurisdição/regra de origem.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Crédito contratado</w:t>
            </w:r>
          </w:p>
        </w:tc>
        <w:tc>
          <w:tcPr>
            <w:tcW w:type="dxa" w:w="64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Entrada de liberação + saídas futuras de amortização/juros, quando modeladas.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5.2 Fonte da verdade versus read model</w:t>
      </w:r>
    </w:p>
    <w:p>
      <w:pPr>
        <w:widowControl/>
      </w:pPr>
      <w:r>
        <w:rPr>
          <w:rFonts w:ascii="Inter" w:hAnsi="Inter" w:eastAsia="Inter"/>
          <w:sz w:val="19"/>
        </w:rPr>
        <w:t>Os eventos são fonte transacional. A Home não deve recalcular tudo do zero a cada abertura. O sistema pode manter snapshots derivados para leitura rápida, desde que seja sempre possível reconstruí-los a partir das fontes canônicas.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Source tables → Financial Events → Projection Engine → Operation Financial Snapshot → Web/Mobile Home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EF3F6"/>
            <w:tcBorders>
              <w:left w:val="single" w:sz="18" w:color="324F65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324F65"/>
                <w:sz w:val="20"/>
              </w:rPr>
              <w:t>REGRA</w:t>
            </w:r>
          </w:p>
          <w:p>
            <w:pPr>
              <w:spacing w:after="20" w:line="259" w:lineRule="auto"/>
            </w:pPr>
            <w:r>
              <w:rPr>
                <w:rFonts w:ascii="Inter" w:hAnsi="Inter" w:eastAsia="Inter"/>
                <w:color w:val="191F1C"/>
                <w:sz w:val="19"/>
              </w:rPr>
              <w:t>Snapshot é cache/read model derivado. Nunca se torna a única cópia de um contrato, custo ou obrigação.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6. Contratos, contrapartes e obrigações</w:t>
      </w:r>
    </w:p>
    <w:p>
      <w:pPr>
        <w:widowControl/>
      </w:pPr>
      <w:r>
        <w:rPr>
          <w:rFonts w:ascii="Inter" w:hAnsi="Inter" w:eastAsia="Inter"/>
          <w:sz w:val="19"/>
        </w:rPr>
        <w:t>O contrato da V1 pode ser simples na UI, mas não deve nascer como “contrato de soja com uma data e um comprador em texto”. A modelagem precisa suportar evolução para múltiplas entregas, pagamentos, indexação, barter e instrumentos adicionais sem alterar o conceito-base.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Contract</w:t>
              <w:br/>
              <w:t>├── Parties[]</w:t>
              <w:br/>
              <w:t>├── Commodity / Instrument</w:t>
              <w:br/>
              <w:t>├── Quantity + Unit</w:t>
              <w:br/>
              <w:t>├── Pricing Terms</w:t>
              <w:br/>
              <w:t>├── Deliveries[]</w:t>
              <w:br/>
              <w:t>├── Payments[]</w:t>
              <w:br/>
              <w:t>└── Obligations[]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6.1 Counterparty desde a V1</w:t>
      </w:r>
    </w:p>
    <w:p>
      <w:pPr>
        <w:widowControl/>
      </w:pPr>
      <w:r>
        <w:rPr>
          <w:rFonts w:ascii="Inter" w:hAnsi="Inter" w:eastAsia="Inter"/>
          <w:sz w:val="19"/>
        </w:rPr>
        <w:t>Comprador/fornecedor deve ser uma entidade própria. Na V1, “Trading ABC” pode existir apenas como counterparty sem usuário na plataforma. Quando a empresa se integrar no futuro, a counterparty é vinculada à organization real, preservando todos os contratos históricos.</w:t>
      </w:r>
    </w:p>
    <w:p>
      <w:pPr>
        <w:pStyle w:val="Heading2"/>
        <w:keepNext/>
        <w:widowControl/>
      </w:pPr>
      <w:r>
        <w:t>6.2 Quantidades e unidades</w:t>
      </w:r>
    </w:p>
    <w:p>
      <w:pPr>
        <w:widowControl/>
      </w:pPr>
      <w:r>
        <w:rPr>
          <w:rFonts w:ascii="Inter" w:hAnsi="Inter" w:eastAsia="Inter"/>
          <w:sz w:val="19"/>
        </w:rPr>
        <w:t>Nunca codificar “sacas” dentro do nome da coluna ou regra central. Quantidade e unidade são separadas para permitir SC_60KG, tonelada, kg, arroba, cabeça e outras unidades futuras.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quantity = 10_000</w:t>
              <w:br/>
              <w:t>unit = SC_60KG</w:t>
              <w:br/>
              <w:t>price = 110.00</w:t>
              <w:br/>
              <w:t>price_unit = BRL_PER_SC_60KG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7. Documentos e IA como plataforma interna</w:t>
      </w:r>
    </w:p>
    <w:p>
      <w:pPr>
        <w:widowControl/>
      </w:pPr>
      <w:r>
        <w:rPr>
          <w:rFonts w:ascii="Inter" w:hAnsi="Inter" w:eastAsia="Inter"/>
          <w:sz w:val="19"/>
        </w:rPr>
        <w:t>A V1 já utiliza upload e extração de contratos. Essa infraestrutura deve nascer genérica, porque amanhã o mesmo pipeline poderá processar financiamento, barter, CPR, nota, documento fiscal e outros arquivos.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Document</w:t>
              <w:br/>
              <w:t>→ ExtractionRun (modelo/versão)</w:t>
              <w:br/>
              <w:t>→ ExtractedField(s)</w:t>
              <w:br/>
              <w:t>→ Human Confirmation / Correction</w:t>
              <w:br/>
              <w:t>→ Domain Command</w:t>
              <w:br/>
              <w:t>→ Persisted Entity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7.1 Regras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Dado extraído por IA nunca substitui silenciosamente um dado confirmado.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Guardar valor sugerido, valor confirmado/corrigido, versão do extrator e timestamp.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Documento original permanece armazenado com hash, ownership e política de retenção.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Extração é assíncrona e idempotente; reprocessamento cria nova execução, não apaga a anterior.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Campos não reconhecidos são estado explícito de extração, não “NULL misterioso”.</w:t>
      </w:r>
    </w:p>
    <w:p>
      <w:pPr>
        <w:pStyle w:val="Heading1"/>
        <w:keepNext/>
        <w:widowControl/>
      </w:pPr>
      <w:r>
        <w:t>8. Mercado, tradings e compartilhamento futuro</w:t>
      </w:r>
    </w:p>
    <w:p>
      <w:pPr>
        <w:widowControl/>
      </w:pPr>
      <w:r>
        <w:rPr>
          <w:rFonts w:ascii="Inter" w:hAnsi="Inter" w:eastAsia="Inter"/>
          <w:sz w:val="19"/>
        </w:rPr>
        <w:t>A Fase 2 adicionará compradores, mas não deve expor a operação interna do produtor. Mercado precisa trabalhar com projeções/publicações explicitamente compartilhadas.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Private Operation Data                      Market Projection</w:t>
              <w:br/>
              <w:t>- costs                                     - commodity</w:t>
              <w:br/>
              <w:t>- cash                                      - quantity</w:t>
              <w:br/>
              <w:t>- debts            ── explicit share ──►    - region</w:t>
              <w:br/>
              <w:t>- private contracts                         - delivery window</w:t>
              <w:br/>
              <w:t>- margins                                   - seller-approved terms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8.1 Evolução prevista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84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4824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CAPACIDADE</w:t>
            </w:r>
          </w:p>
        </w:tc>
        <w:tc>
          <w:tcPr>
            <w:tcW w:type="dxa" w:w="3096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RISCO ASSUMIDO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Discovery</w:t>
            </w:r>
          </w:p>
        </w:tc>
        <w:tc>
          <w:tcPr>
            <w:tcW w:type="dxa" w:w="482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Compradores e produtores encontram oportunidades.</w:t>
            </w:r>
          </w:p>
        </w:tc>
        <w:tc>
          <w:tcPr>
            <w:tcW w:type="dxa" w:w="309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Baixo; informação controlada.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RFQ</w:t>
            </w:r>
          </w:p>
        </w:tc>
        <w:tc>
          <w:tcPr>
            <w:tcW w:type="dxa" w:w="482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Produtor publica intenção e compradores enviam propostas.</w:t>
            </w:r>
          </w:p>
        </w:tc>
        <w:tc>
          <w:tcPr>
            <w:tcW w:type="dxa" w:w="309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Baixo/médio; precisa permissão, auditoria e expiração.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Negotiation</w:t>
            </w:r>
          </w:p>
        </w:tc>
        <w:tc>
          <w:tcPr>
            <w:tcW w:type="dxa" w:w="482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Proposta, contraproposta, chat/registro e aceite.</w:t>
            </w:r>
          </w:p>
        </w:tc>
        <w:tc>
          <w:tcPr>
            <w:tcW w:type="dxa" w:w="309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Médio; contrato de estado e idempotência.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Contract</w:t>
            </w:r>
          </w:p>
        </w:tc>
        <w:tc>
          <w:tcPr>
            <w:tcW w:type="dxa" w:w="482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Geração/assinatura e ingestão automática no financeiro.</w:t>
            </w:r>
          </w:p>
        </w:tc>
        <w:tc>
          <w:tcPr>
            <w:tcW w:type="dxa" w:w="309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Médio/alto; validade documental e integrações.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Settlement futuro</w:t>
            </w:r>
          </w:p>
        </w:tc>
        <w:tc>
          <w:tcPr>
            <w:tcW w:type="dxa" w:w="482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Liquidação, garantias, escrow/parceiros regulados.</w:t>
            </w:r>
          </w:p>
        </w:tc>
        <w:tc>
          <w:tcPr>
            <w:tcW w:type="dxa" w:w="309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Alto; não construir sem desenho jurídico/regulatório.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9. API externa e ecossistema B2B</w:t>
      </w:r>
    </w:p>
    <w:p>
      <w:pPr>
        <w:widowControl/>
      </w:pPr>
      <w:r>
        <w:rPr>
          <w:rFonts w:ascii="Inter" w:hAnsi="Inter" w:eastAsia="Inter"/>
          <w:sz w:val="19"/>
        </w:rPr>
        <w:t>A API externa não precisa ser pública na V1, mas o backend deve nascer com contratos que possam ser expostos futuramente sem abrir o banco. O objetivo é permitir que uma trading opere via ERP próprio ou uma casa de crédito receba oportunidades diretamente.</w:t>
      </w:r>
    </w:p>
    <w:p>
      <w:pPr>
        <w:pStyle w:val="Heading2"/>
        <w:keepNext/>
        <w:widowControl/>
      </w:pPr>
      <w:r>
        <w:t>9.1 Capacidades previstas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API versionada (ex.: /api/v1) e documentação OpenAPI.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Clientes de integração separados de usuários humanos.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OAuth2 Client Credentials ou mecanismo equivalente para server-to-server.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Scopes/capabilities granulares por parceiro.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Rate limiting, rotação de credenciais e revogação.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Idempotency-Key em comandos externos sensíveis.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Webhooks assinados, retries controlados e delivery log.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Correlation/request IDs para rastreio ponta a ponta.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Sandbox/ambiente de teste para parceiros antes de produção.</w:t>
      </w:r>
    </w:p>
    <w:p>
      <w:pPr>
        <w:pStyle w:val="Heading2"/>
        <w:keepNext/>
        <w:widowControl/>
      </w:pPr>
      <w:r>
        <w:t>9.2 Exemplo de scopes futuros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016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PARCEIRO</w:t>
            </w:r>
          </w:p>
        </w:tc>
        <w:tc>
          <w:tcPr>
            <w:tcW w:type="dxa" w:w="4032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PODE</w:t>
            </w:r>
          </w:p>
        </w:tc>
        <w:tc>
          <w:tcPr>
            <w:tcW w:type="dxa" w:w="3456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NÃO PODE POR PADRÃO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Trading</w:t>
            </w:r>
          </w:p>
        </w:tc>
        <w:tc>
          <w:tcPr>
            <w:tcW w:type="dxa" w:w="4032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Ler RFQs autorizadas; enviar/atualizar oferta; consultar seus contratos.</w:t>
            </w:r>
          </w:p>
        </w:tc>
        <w:tc>
          <w:tcPr>
            <w:tcW w:type="dxa" w:w="345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Ler custos, dívidas, margem, outros contratos privados.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Casa de crédito</w:t>
            </w:r>
          </w:p>
        </w:tc>
        <w:tc>
          <w:tcPr>
            <w:tcW w:type="dxa" w:w="4032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Ler oportunidade autorizada; atualizar status; anexar proposta.</w:t>
            </w:r>
          </w:p>
        </w:tc>
        <w:tc>
          <w:tcPr>
            <w:tcW w:type="dxa" w:w="345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Navegar toda a operação ou acessar dados sem consentimento.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Mountier Core</w:t>
            </w:r>
          </w:p>
        </w:tc>
        <w:tc>
          <w:tcPr>
            <w:tcW w:type="dxa" w:w="4032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Receber eventos e contexto conforme integração interna definida.</w:t>
            </w:r>
          </w:p>
        </w:tc>
        <w:tc>
          <w:tcPr>
            <w:tcW w:type="dxa" w:w="345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Virar fonte duplicada dos dados agro nativos.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10. Ownership de dados entre Mountier Agro e Mountier Core</w:t>
      </w:r>
    </w:p>
    <w:p>
      <w:pPr>
        <w:widowControl/>
      </w:pPr>
      <w:r>
        <w:rPr>
          <w:rFonts w:ascii="Inter" w:hAnsi="Inter" w:eastAsia="Inter"/>
          <w:sz w:val="19"/>
        </w:rPr>
        <w:t>Integração só é estável quando cada dado possui uma fonte da verdade. Copiar é permitido quando existe motivo de performance/resiliência, desde que a cópia seja declaradamente derivada e tenha estratégia de sincronização.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096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DADO</w:t>
            </w:r>
          </w:p>
        </w:tc>
        <w:tc>
          <w:tcPr>
            <w:tcW w:type="dxa" w:w="3384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SOURCE OF TRUTH</w:t>
            </w:r>
          </w:p>
        </w:tc>
        <w:tc>
          <w:tcPr>
            <w:tcW w:type="dxa" w:w="3024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OBSERVAÇÃO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Usuário/autenticação</w:t>
            </w:r>
          </w:p>
        </w:tc>
        <w:tc>
          <w:tcPr>
            <w:tcW w:type="dxa" w:w="338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A definir na arquitetura de identidade do ecossistema</w:t>
            </w:r>
          </w:p>
        </w:tc>
        <w:tc>
          <w:tcPr>
            <w:tcW w:type="dxa" w:w="302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Pode existir identidade compartilhada, sem banco compartilhado de domínio.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Propriedade / safra / produção</w:t>
            </w:r>
          </w:p>
        </w:tc>
        <w:tc>
          <w:tcPr>
            <w:tcW w:type="dxa" w:w="338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Mountier Agro</w:t>
            </w:r>
          </w:p>
        </w:tc>
        <w:tc>
          <w:tcPr>
            <w:tcW w:type="dxa" w:w="302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Core referencia por ID ou recebe resumo/evento quando necessário.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Contrato agrícola</w:t>
            </w:r>
          </w:p>
        </w:tc>
        <w:tc>
          <w:tcPr>
            <w:tcW w:type="dxa" w:w="338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Mountier Agro</w:t>
            </w:r>
          </w:p>
        </w:tc>
        <w:tc>
          <w:tcPr>
            <w:tcW w:type="dxa" w:w="302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Parceiros podem ter external IDs mapeados.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Posição financeira agro</w:t>
            </w:r>
          </w:p>
        </w:tc>
        <w:tc>
          <w:tcPr>
            <w:tcW w:type="dxa" w:w="338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Mountier Agro</w:t>
            </w:r>
          </w:p>
        </w:tc>
        <w:tc>
          <w:tcPr>
            <w:tcW w:type="dxa" w:w="302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Core consome snapshot/contexto autorizado.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Produto financeiro contratado</w:t>
            </w:r>
          </w:p>
        </w:tc>
        <w:tc>
          <w:tcPr>
            <w:tcW w:type="dxa" w:w="338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Sistema financeiro responsável</w:t>
            </w:r>
          </w:p>
        </w:tc>
        <w:tc>
          <w:tcPr>
            <w:tcW w:type="dxa" w:w="302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Agro mantém referência/status necessário para experiência.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Cotação de mercado</w:t>
            </w:r>
          </w:p>
        </w:tc>
        <w:tc>
          <w:tcPr>
            <w:tcW w:type="dxa" w:w="338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Provedor externo + cache/histórico Agro</w:t>
            </w:r>
          </w:p>
        </w:tc>
        <w:tc>
          <w:tcPr>
            <w:tcW w:type="dxa" w:w="302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Guardar provenance: fonte, praça, unidade e timestamp.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Dados patrimoniais globais Mountier</w:t>
            </w:r>
          </w:p>
        </w:tc>
        <w:tc>
          <w:tcPr>
            <w:tcW w:type="dxa" w:w="338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Mountier Core</w:t>
            </w:r>
          </w:p>
        </w:tc>
        <w:tc>
          <w:tcPr>
            <w:tcW w:type="dxa" w:w="302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Agro consulta somente o que precisa e quando autorizado.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DF1EB"/>
            <w:tcBorders>
              <w:left w:val="single" w:sz="18" w:color="EB5E28"/>
            </w:tcBorders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EB5E28"/>
                <w:sz w:val="20"/>
              </w:rPr>
              <w:t>REGRA</w:t>
            </w:r>
          </w:p>
          <w:p>
            <w:pPr>
              <w:spacing w:after="20" w:line="259" w:lineRule="auto"/>
            </w:pPr>
            <w:r>
              <w:rPr>
                <w:rFonts w:ascii="Inter" w:hAnsi="Inter" w:eastAsia="Inter"/>
                <w:color w:val="191F1C"/>
                <w:sz w:val="19"/>
              </w:rPr>
              <w:t>Nenhum sistema externo recebe acesso direto às tabelas do Mountier Agro. Integração ocorre por API/eventos e external mappings.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10.1 Fronteira do Tier Trade</w:t>
      </w:r>
    </w:p>
    <w:p>
      <w:pPr>
        <w:widowControl/>
      </w:pPr>
      <w:r>
        <w:t>O Tier Trade possui banco, backend, regras, trilha de auditoria e ciclo de implantação próprios. O Mountier Agro não consulta tabelas do Tier Trade e o Tier Trade não consulta tabelas privadas do produtor. O compartilhamento acontece por API ou evento versionado, com finalidade, consentimento e escopo explícitos.</w:t>
      </w:r>
    </w:p>
    <w:p>
      <w:pPr>
        <w:pStyle w:val="Heading1"/>
        <w:keepNext/>
        <w:widowControl/>
      </w:pPr>
      <w:r>
        <w:t>11. Backend modular: monólito bem dividido</w:t>
      </w:r>
    </w:p>
    <w:p>
      <w:pPr>
        <w:widowControl/>
      </w:pPr>
      <w:r>
        <w:rPr>
          <w:rFonts w:ascii="Inter" w:hAnsi="Inter" w:eastAsia="Inter"/>
          <w:sz w:val="19"/>
        </w:rPr>
        <w:t>Escalabilidade não exige microservices no primeiro dia. O objetivo é um modular monolith com dependências explícitas, testável e preparado para extração futura.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modules/</w:t>
              <w:br/>
              <w:t xml:space="preserve">  identity/</w:t>
              <w:br/>
              <w:t xml:space="preserve">  organizations/</w:t>
              <w:br/>
              <w:t xml:space="preserve">  operations/</w:t>
              <w:br/>
              <w:t xml:space="preserve">  agriculture/</w:t>
              <w:br/>
              <w:t xml:space="preserve">  contracts/</w:t>
              <w:br/>
              <w:t xml:space="preserve">  financial/</w:t>
              <w:br/>
              <w:t xml:space="preserve">  documents/</w:t>
              <w:br/>
              <w:t xml:space="preserve">  market-data/</w:t>
              <w:br/>
              <w:t xml:space="preserve">  benchmark/</w:t>
              <w:br/>
              <w:t xml:space="preserve">  credit/</w:t>
              <w:br/>
              <w:t xml:space="preserve">  tax/</w:t>
              <w:br/>
              <w:t xml:space="preserve">  marketplace/</w:t>
              <w:br/>
              <w:t xml:space="preserve">  integrations/</w:t>
              <w:br/>
              <w:t xml:space="preserve">  notifications/</w:t>
              <w:br/>
              <w:t xml:space="preserve">  audit/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11.1 Fronteiras internas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Um módulo não consulta tabelas privadas de outro módulo como atalho; usa serviço/contrato interno quando a fronteira importar.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Controllers/HTTP não contêm regra de negócio substantiva.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Repositories encapsulam persistência; o domínio não depende de detalhes de ORM.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Integrações externas ficam atrás de adapters/interfaces.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Eventos internos reduzem acoplamento para efeitos colaterais, mas não substituem transações onde atomicidade é necessária.</w:t>
      </w:r>
    </w:p>
    <w:p>
      <w:pPr>
        <w:pStyle w:val="Heading2"/>
        <w:keepNext/>
        <w:widowControl/>
      </w:pPr>
      <w:r>
        <w:t>11.2 Quando extrair um microservice</w:t>
      </w:r>
    </w:p>
    <w:p>
      <w:pPr>
        <w:widowControl/>
      </w:pPr>
      <w:r>
        <w:rPr>
          <w:rFonts w:ascii="Inter" w:hAnsi="Inter" w:eastAsia="Inter"/>
          <w:sz w:val="19"/>
        </w:rPr>
        <w:t>Somente quando houver pressão real: escala muito diferente, isolamento de falha, exigência de segurança/compliance, cadência de equipe independente ou tecnologia especializada. “Pode crescer” não é motivo suficiente.</w:t>
      </w:r>
    </w:p>
    <w:p>
      <w:pPr>
        <w:pStyle w:val="Heading1"/>
        <w:keepNext/>
        <w:widowControl/>
      </w:pPr>
      <w:r>
        <w:t>12. Banco de dados: integridade antes de conveniência</w:t>
      </w:r>
    </w:p>
    <w:p>
      <w:pPr>
        <w:widowControl/>
      </w:pPr>
      <w:r>
        <w:rPr>
          <w:rFonts w:ascii="Inter" w:hAnsi="Inter" w:eastAsia="Inter"/>
          <w:sz w:val="19"/>
        </w:rPr>
        <w:t>O banco não deve aceitar estados impossíveis só porque a V1 ainda está mudando. Ao mesmo tempo, regras obrigatórias precisam acompanhar o ciclo de vida para não bloquear rascunhos legítimos.</w:t>
      </w:r>
    </w:p>
    <w:p>
      <w:pPr>
        <w:pStyle w:val="Heading2"/>
        <w:keepNext/>
        <w:widowControl/>
      </w:pPr>
      <w:r>
        <w:t>12.1 NULL não é estado de negócio</w:t>
      </w:r>
    </w:p>
    <w:p>
      <w:pPr>
        <w:widowControl/>
      </w:pPr>
      <w:r>
        <w:rPr>
          <w:rFonts w:ascii="Inter" w:hAnsi="Inter" w:eastAsia="Inter"/>
          <w:sz w:val="19"/>
        </w:rPr>
        <w:t>NULL deve significar ausência de valor segundo um significado documentado. Quando a ausência possui semântica própria, modelar estado explicitamente.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Ruim: payment_date = NULL  // desconhecido? não aplicável? pendente?</w:t>
              <w:br/>
              <w:br/>
              <w:t>Melhor:</w:t>
              <w:br/>
              <w:t>contract.status = DRAFT</w:t>
              <w:br/>
              <w:t>extraction_status = PENDING_CONFIRMATION</w:t>
              <w:br/>
              <w:t>payment_terms_status = NOT_DEFINED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12.2 Constraints por estado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Quantidade e preço &gt; 0 quando aplicáveis.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Organization/operation ownership NOT NULL em registros que já pertencem ao tenant.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Campos obrigatórios para CONFIRMED/PUBLISHED podem ser opcionais em DRAFT.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Unicidade deve considerar tenant quando o identificador é local ao cliente.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Foreign keys para relacionamentos essenciais; não confiar somente na aplicação.</w:t>
      </w:r>
    </w:p>
    <w:p>
      <w:pPr>
        <w:pStyle w:val="Heading2"/>
        <w:keepNext/>
        <w:widowControl/>
      </w:pPr>
      <w:r>
        <w:t>12.3 IDs e metadados</w:t>
      </w:r>
    </w:p>
    <w:p>
      <w:pPr>
        <w:widowControl/>
      </w:pPr>
      <w:r>
        <w:rPr>
          <w:rFonts w:ascii="Inter" w:hAnsi="Inter" w:eastAsia="Inter"/>
          <w:sz w:val="19"/>
        </w:rPr>
        <w:t>Entidades expostas a integrações devem usar identificadores não sequenciais e globalmente seguros (ex.: UUID/UUIDv7 ou equivalente). Tabelas relevantes devem ter created_at, updated_at, ownership, version e campos de auditoria compatíveis com seu domínio.</w:t>
      </w:r>
    </w:p>
    <w:p>
      <w:pPr>
        <w:pStyle w:val="Heading2"/>
        <w:keepNext/>
        <w:widowControl/>
      </w:pPr>
      <w:r>
        <w:t>12.4 JSON com disciplina</w:t>
      </w:r>
    </w:p>
    <w:p>
      <w:pPr>
        <w:widowControl/>
      </w:pPr>
      <w:r>
        <w:rPr>
          <w:rFonts w:ascii="Inter" w:hAnsi="Inter" w:eastAsia="Inter"/>
          <w:sz w:val="19"/>
        </w:rPr>
        <w:t>JSONB é adequado para payload externo, metadata e campos realmente variáveis. Não deve substituir entidades centrais, relações, constraints e dados consultados frequentemente.</w:t>
      </w:r>
    </w:p>
    <w:p>
      <w:pPr>
        <w:pStyle w:val="Heading1"/>
        <w:keepNext/>
        <w:widowControl/>
      </w:pPr>
      <w:r>
        <w:t>13. Migrations e compatibilidade evolutiva</w:t>
      </w:r>
    </w:p>
    <w:p>
      <w:pPr>
        <w:widowControl/>
      </w:pPr>
      <w:r>
        <w:rPr>
          <w:rFonts w:ascii="Inter" w:hAnsi="Inter" w:eastAsia="Inter"/>
          <w:sz w:val="19"/>
        </w:rPr>
        <w:t>Aplicativo mobile torna migrations destrutivas ainda mais perigosas porque versões antigas permanecem em circulação. A estratégia padrão deve ser expand → migrate → contract.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1. EXPAND   → adiciona campo/tabela/API nova sem remover a antiga</w:t>
              <w:br/>
              <w:t>2. MIGRATE  → backfill + dupla leitura/escrita temporária quando necessário</w:t>
              <w:br/>
              <w:t>3. VALIDATE → mede cobertura e inconsistências</w:t>
              <w:br/>
              <w:t>4. CONTRACT → remove legado somente quando clientes antigos deixaram de depender dele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13.1 Exemplo: atividade agrícola</w:t>
      </w:r>
    </w:p>
    <w:p>
      <w:pPr>
        <w:widowControl/>
      </w:pPr>
      <w:r>
        <w:rPr>
          <w:rFonts w:ascii="Inter" w:hAnsi="Inter" w:eastAsia="Inter"/>
          <w:sz w:val="19"/>
        </w:rPr>
        <w:t>A V1 já cria operation_activity = AGRICULTURE. Quando LIVESTOCK for lançado, a UI passa a oferecer a escolha para novos casos sem exigir backfill para descobrir o que eram os usuários antigos.</w:t>
      </w:r>
    </w:p>
    <w:p>
      <w:pPr>
        <w:pStyle w:val="Heading2"/>
        <w:keepNext/>
        <w:widowControl/>
      </w:pPr>
      <w:r>
        <w:t>13.2 Regras para schema change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Nenhuma coluna vira NOT NULL em produção sem backfill e validação prévios.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Renome de coluna em produção é tratado como adicionar nova + migrar + remover depois.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Migrations são versionadas no repositório e executadas por pipeline controlado.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Alterações de alto risco devem ter rollback/forward fix definido antes do deploy.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Backfills grandes rodam em batches e não travam tabelas por longos períodos.</w:t>
      </w:r>
    </w:p>
    <w:p>
      <w:pPr>
        <w:pStyle w:val="Heading1"/>
        <w:keepNext/>
        <w:widowControl/>
      </w:pPr>
      <w:r>
        <w:t>14. Versionamento de regras, algoritmos e fontes</w:t>
      </w:r>
    </w:p>
    <w:p>
      <w:pPr>
        <w:widowControl/>
      </w:pPr>
      <w:r>
        <w:rPr>
          <w:rFonts w:ascii="Inter" w:hAnsi="Inter" w:eastAsia="Inter"/>
          <w:sz w:val="19"/>
        </w:rPr>
        <w:t>O passado não pode mudar silenciosamente porque o algoritmo ou fornecedor mudou. Sempre que um cálculo influencia uma decisão ou aparece historicamente, registrar a versão que o produziu.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448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6912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O QUE VERSIONAR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Benchmark</w:t>
            </w:r>
          </w:p>
        </w:tc>
        <w:tc>
          <w:tcPr>
            <w:tcW w:type="dxa" w:w="6912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Versão do algoritmo, cohort/região, threshold, timestamp e snapshot utilizado.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Cotação</w:t>
            </w:r>
          </w:p>
        </w:tc>
        <w:tc>
          <w:tcPr>
            <w:tcW w:type="dxa" w:w="6912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Provider, instrumento, praça, unidade, timestamp e valor usado no cálculo.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IA</w:t>
            </w:r>
          </w:p>
        </w:tc>
        <w:tc>
          <w:tcPr>
            <w:tcW w:type="dxa" w:w="6912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Modelo/extrator, prompt/schema version, confidence e execução.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Tributário</w:t>
            </w:r>
          </w:p>
        </w:tc>
        <w:tc>
          <w:tcPr>
            <w:tcW w:type="dxa" w:w="6912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Regra, jurisdição, effective_from/effective_until e versão.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Opportunity engine</w:t>
            </w:r>
          </w:p>
        </w:tc>
        <w:tc>
          <w:tcPr>
            <w:tcW w:type="dxa" w:w="6912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Regra que gerou o alerta/oportunidade e data da avaliação.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15. Eventos, outbox e idempotência</w:t>
      </w:r>
    </w:p>
    <w:p>
      <w:pPr>
        <w:widowControl/>
      </w:pPr>
      <w:r>
        <w:rPr>
          <w:rFonts w:ascii="Inter" w:hAnsi="Inter" w:eastAsia="Inter"/>
          <w:sz w:val="19"/>
        </w:rPr>
        <w:t>O produto vai integrar múltiplos sistemas. A consistência entre banco, workers e APIs externas precisa ser arquitetada — não improvisada.</w:t>
      </w:r>
    </w:p>
    <w:p>
      <w:pPr>
        <w:pStyle w:val="Heading2"/>
        <w:keepNext/>
        <w:widowControl/>
      </w:pPr>
      <w:r>
        <w:t>15.1 Eventos internos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CONTRACT_CONFIRMED</w:t>
              <w:br/>
              <w:t xml:space="preserve">   ├── recalcular posição financeira</w:t>
              <w:br/>
              <w:t xml:space="preserve">   ├── atualizar snapshot da Home</w:t>
              <w:br/>
              <w:t xml:space="preserve">   ├── avaliar oportunidades</w:t>
              <w:br/>
              <w:t xml:space="preserve">   └── publicar integração autorizada com Mountier Core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15.2 Transactional Outbox</w:t>
      </w:r>
    </w:p>
    <w:p>
      <w:pPr>
        <w:widowControl/>
      </w:pPr>
      <w:r>
        <w:rPr>
          <w:rFonts w:ascii="Inter" w:hAnsi="Inter" w:eastAsia="Inter"/>
          <w:sz w:val="19"/>
        </w:rPr>
        <w:t>Quando uma mudança de banco precisa gerar evento externo, gravar a entidade e o outbox_event na mesma transação. Worker entrega depois com retry. Isso impede o cenário “contrato salvo, integração falhou e ninguém sabe”.</w:t>
      </w:r>
    </w:p>
    <w:p>
      <w:pPr>
        <w:pStyle w:val="Heading2"/>
        <w:keepNext/>
        <w:widowControl/>
      </w:pPr>
      <w:r>
        <w:t>15.3 Idempotência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Requisições de parceiros que criam/confirmam entidades aceitam Idempotency-Key.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Webhooks recebidos guardam external_event_id e não são processados duas vezes.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Jobs assíncronos críticos devem poder ser executados novamente sem duplicar efeitos.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Delivery de webhook possui status, tentativas e última resposta para suporte.</w:t>
      </w:r>
    </w:p>
    <w:p>
      <w:pPr>
        <w:pStyle w:val="Heading1"/>
        <w:keepNext/>
        <w:widowControl/>
      </w:pPr>
      <w:r>
        <w:t>16. Filas, workers e processamento assíncrono</w:t>
      </w:r>
    </w:p>
    <w:p>
      <w:pPr>
        <w:widowControl/>
      </w:pPr>
      <w:r>
        <w:rPr>
          <w:rFonts w:ascii="Inter" w:hAnsi="Inter" w:eastAsia="Inter"/>
          <w:sz w:val="19"/>
        </w:rPr>
        <w:t>A API deve responder rápido. Trabalho pesado sai do ciclo da requisição e vai para jobs observáveis.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608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SÍNCRONO</w:t>
            </w:r>
          </w:p>
        </w:tc>
        <w:tc>
          <w:tcPr>
            <w:tcW w:type="dxa" w:w="4752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ASSÍNCRONO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Criar operação / editar dados simples</w:t>
            </w:r>
          </w:p>
        </w:tc>
        <w:tc>
          <w:tcPr>
            <w:tcW w:type="dxa" w:w="4752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OCR/LLM e extração de documentos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Consultar snapshot da Home</w:t>
            </w:r>
          </w:p>
        </w:tc>
        <w:tc>
          <w:tcPr>
            <w:tcW w:type="dxa" w:w="4752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Importações de planilhas/arquivos grandes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Enviar comando de confirmação</w:t>
            </w:r>
          </w:p>
        </w:tc>
        <w:tc>
          <w:tcPr>
            <w:tcW w:type="dxa" w:w="4752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Reprocessamento de benchmark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Listar contratos / eventos</w:t>
            </w:r>
          </w:p>
        </w:tc>
        <w:tc>
          <w:tcPr>
            <w:tcW w:type="dxa" w:w="4752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Geração de relatórios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Criar RFQ / oferta</w:t>
            </w:r>
          </w:p>
        </w:tc>
        <w:tc>
          <w:tcPr>
            <w:tcW w:type="dxa" w:w="4752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Sincronização com parceiros e retries de webhook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Inter" w:hAnsi="Inter" w:eastAsia="Inter"/>
          <w:sz w:val="19"/>
        </w:rPr>
        <w:t>A implementação pode começar pequena, mas a fronteira deve existir desde cedo: API process, worker process, queue abstraction e job IDs/status. Redis/BullMQ, SQS ou equivalente é decisão da spec técnica, não deste documento.</w:t>
      </w:r>
    </w:p>
    <w:p>
      <w:pPr>
        <w:pStyle w:val="Heading1"/>
        <w:keepNext/>
        <w:widowControl/>
      </w:pPr>
      <w:r>
        <w:t>17. Performance e crescimento do banco</w:t>
      </w:r>
    </w:p>
    <w:p>
      <w:pPr>
        <w:widowControl/>
      </w:pPr>
      <w:r>
        <w:rPr>
          <w:rFonts w:ascii="Inter" w:hAnsi="Inter" w:eastAsia="Inter"/>
          <w:sz w:val="19"/>
        </w:rPr>
        <w:t>O objetivo não é “otimizar tudo” antes de ter usuários. É evitar padrões estruturalmente caros e desenhar índices a partir de access patterns reais.</w:t>
      </w:r>
    </w:p>
    <w:p>
      <w:pPr>
        <w:pStyle w:val="Heading2"/>
        <w:keepNext/>
        <w:widowControl/>
      </w:pPr>
      <w:r>
        <w:t>17.1 Access patterns que a spec técnica deve mapear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Contratos ativos de uma operação/safra ordenados por data.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Eventos financeiros de uma operação em uma janela de 12–18 meses.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Clientes vinculados a um assessor e seus alertas recentes.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RFQs abertas por commodity, região, janela e status.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Webhooks pendentes/falhos por integração.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Documentos/extractions pendentes por usuário/operação.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Snapshots financeiros por operação e data de atualização.</w:t>
      </w:r>
    </w:p>
    <w:p>
      <w:pPr>
        <w:pStyle w:val="Heading2"/>
        <w:keepNext/>
        <w:widowControl/>
      </w:pPr>
      <w:r>
        <w:t>17.2 Índices e partição</w:t>
      </w:r>
    </w:p>
    <w:p>
      <w:pPr>
        <w:widowControl/>
      </w:pPr>
      <w:r>
        <w:rPr>
          <w:rFonts w:ascii="Inter" w:hAnsi="Inter" w:eastAsia="Inter"/>
          <w:sz w:val="19"/>
        </w:rPr>
        <w:t>Índices compostos devem refletir filtros e ordenações predominantes. Particionamento não deve ser aplicado por antecipação em todas as tabelas; fica previsto para eventos/auditoria/market data quando volume justificar.</w:t>
      </w:r>
    </w:p>
    <w:p>
      <w:pPr>
        <w:pStyle w:val="Heading2"/>
        <w:keepNext/>
        <w:widowControl/>
      </w:pPr>
      <w:r>
        <w:t>17.3 Read models</w:t>
      </w:r>
    </w:p>
    <w:p>
      <w:pPr>
        <w:widowControl/>
      </w:pPr>
      <w:r>
        <w:rPr>
          <w:rFonts w:ascii="Inter" w:hAnsi="Inter" w:eastAsia="Inter"/>
          <w:sz w:val="19"/>
        </w:rPr>
        <w:t>Home, carteira de assessor e dashboards de mercado podem usar tabelas/materializações de leitura atualizadas por evento. Isso reduz joins e agregações pesadas sem sacrificar a integridade das fontes.</w:t>
      </w:r>
    </w:p>
    <w:p>
      <w:pPr>
        <w:pStyle w:val="Heading2"/>
        <w:keepNext/>
        <w:widowControl/>
      </w:pPr>
      <w:r>
        <w:t>17.4 Células relatórios e crescimento do Tier Trade</w:t>
      </w:r>
    </w:p>
    <w:p>
      <w:pPr>
        <w:widowControl/>
      </w:pPr>
      <w:r>
        <w:t>O Tier Trade cresce por células. O PostgreSQL operacional preserva o registro oficial; dashboards usam read models; relatórios pesados e exportações são assíncronos ou executados em réplica e camada analítica. Quotas e métricas por tenant protegem a célula contra noisy neighbor.</w:t>
      </w:r>
    </w:p>
    <w:p>
      <w:pPr>
        <w:pStyle w:val="Heading1"/>
        <w:keepNext/>
        <w:widowControl/>
      </w:pPr>
      <w:r>
        <w:t>18. Observabilidade, suporte e auditoria</w:t>
      </w:r>
    </w:p>
    <w:p>
      <w:pPr>
        <w:widowControl/>
      </w:pPr>
      <w:r>
        <w:rPr>
          <w:rFonts w:ascii="Inter" w:hAnsi="Inter" w:eastAsia="Inter"/>
          <w:sz w:val="19"/>
        </w:rPr>
        <w:t>O sistema precisa ser operável, não apenas funcional. Quando um cliente disser “o valor mudou” ou “o contrato não apareceu”, suporte precisa conseguir reconstruir o caminho sem acessar o banco de forma improvisada.</w:t>
      </w:r>
    </w:p>
    <w:p>
      <w:pPr>
        <w:pStyle w:val="Heading2"/>
        <w:keepNext/>
        <w:widowControl/>
      </w:pPr>
      <w:r>
        <w:t>18.1 Observabilidade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Logs estruturados com request_id/correlation_id.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Error tracking para web, mobile, API e workers.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APM/tracing para latência de API e chamadas externas.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Métricas de Postgres: conexões, slow queries, locks, storage, cache hit.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Métricas de queue: backlog, idade do job, falhas e retries.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Métricas de integrações: sucesso, latency e webhooks falhos.</w:t>
      </w:r>
    </w:p>
    <w:p>
      <w:pPr>
        <w:pStyle w:val="Heading2"/>
        <w:keepNext/>
        <w:widowControl/>
      </w:pPr>
      <w:r>
        <w:t>18.2 Audit trail</w:t>
      </w:r>
    </w:p>
    <w:p>
      <w:pPr>
        <w:widowControl/>
      </w:pPr>
      <w:r>
        <w:rPr>
          <w:rFonts w:ascii="Inter" w:hAnsi="Inter" w:eastAsia="Inter"/>
          <w:sz w:val="19"/>
        </w:rPr>
        <w:t>Audit log é diferente de log técnico. Deve registrar ações humanas/sistêmicas relevantes em dados financeiros, contratos, permissões, documentos, consentimentos e mudanças administrativas.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Exemplo: usuário X alterou contract.price de 98.00 para 102.00</w:t>
              <w:br/>
              <w:t>quando: 2026-09-27T...</w:t>
              <w:br/>
              <w:t>origem: web | mobile | integration</w:t>
              <w:br/>
              <w:t>request_id: ...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19. Segurança, privacidade e consentimento</w:t>
      </w:r>
    </w:p>
    <w:p>
      <w:pPr>
        <w:widowControl/>
      </w:pPr>
      <w:r>
        <w:rPr>
          <w:rFonts w:ascii="Inter" w:hAnsi="Inter" w:eastAsia="Inter"/>
          <w:sz w:val="19"/>
        </w:rPr>
        <w:t>O produto manipulará contratos, projeções de caixa e informações patrimoniais/comerciais. Segurança não pode depender somente de “usuário autenticado”.</w:t>
      </w:r>
    </w:p>
    <w:p>
      <w:pPr>
        <w:pStyle w:val="Heading2"/>
        <w:keepNext/>
        <w:widowControl/>
      </w:pPr>
      <w:r>
        <w:t>19.1 Princípios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Least privilege por capability e recurso.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Segregação de tenant aplicada no backend e testada automaticamente.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Dados sensíveis em trânsito e repouso protegidos pela infraestrutura adequada.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Secrets somente em secret manager/env seguro; nunca no repositório.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Uploads com validação de tipo/tamanho, armazenamento privado e URLs temporárias.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Consentimento explícito para compartilhar classe de dado com assessor/parceiro.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Revogação de acesso deve surtir efeito sem reescrever histórico transacional.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Ações administrativas e impersonation/suporte devem ser auditadas.</w:t>
      </w:r>
    </w:p>
    <w:p>
      <w:pPr>
        <w:pStyle w:val="Heading2"/>
        <w:keepNext/>
        <w:widowControl/>
      </w:pPr>
      <w:r>
        <w:t>19.2 Mercado não herda permissão da operação</w:t>
      </w:r>
    </w:p>
    <w:p>
      <w:pPr>
        <w:widowControl/>
      </w:pPr>
      <w:r>
        <w:rPr>
          <w:rFonts w:ascii="Inter" w:hAnsi="Inter" w:eastAsia="Inter"/>
          <w:sz w:val="19"/>
        </w:rPr>
        <w:t>Publicar uma intenção de venda não concede acesso à operação. A publicação é um objeto separado, derivado e explicitamente autorizado, com seus próprios campos e lifecycle.</w:t>
      </w:r>
    </w:p>
    <w:p>
      <w:pPr>
        <w:pStyle w:val="Heading1"/>
        <w:keepNext/>
        <w:widowControl/>
      </w:pPr>
      <w:r>
        <w:t>20. Backups, recuperação e ambientes</w:t>
      </w:r>
    </w:p>
    <w:p>
      <w:pPr>
        <w:widowControl/>
      </w:pPr>
      <w:r>
        <w:rPr>
          <w:rFonts w:ascii="Inter" w:hAnsi="Inter" w:eastAsia="Inter"/>
          <w:sz w:val="19"/>
        </w:rPr>
        <w:t>Contrato e posição financeira são dados que não podem depender de “temos backup automático” sem saber se restauram.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PITR/backup contínuo compatível com o provedor de Postgres escolhido.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Backups automáticos com política de retenção definida.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Teste periódico de restauração em ambiente isolado.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Object storage com versionamento/retenção compatível com documentos críticos.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Development, staging e production com bancos/credenciais separados.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Staging preferencialmente com dados sintéticos ou anonimizados.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Migrations passam por staging antes de produção.</w:t>
      </w:r>
    </w:p>
    <w:p>
      <w:pPr>
        <w:pStyle w:val="Heading2"/>
        <w:keepNext/>
        <w:widowControl/>
      </w:pPr>
      <w:r>
        <w:t>20.1 Recuperação e movimentação de tenants do Tier Trade</w:t>
      </w:r>
    </w:p>
    <w:p>
      <w:pPr>
        <w:widowControl/>
      </w:pPr>
      <w:r>
        <w:t>Backups, PITR, restauração por célula e recuperação por tenant devem ser ensaiados. Clientes que exigirem RPO, RTO ou restauração totalmente independentes podem usar banco dedicado. A movimentação entre células preserva IDs, configurações, histórico e contratos técnicos.</w:t>
      </w:r>
    </w:p>
    <w:p>
      <w:pPr>
        <w:pStyle w:val="Heading1"/>
        <w:keepNext/>
        <w:widowControl/>
      </w:pPr>
      <w:r>
        <w:t>21. Feature flags, releases e compatibilidade de cliente</w:t>
      </w:r>
    </w:p>
    <w:p>
      <w:pPr>
        <w:widowControl/>
      </w:pPr>
      <w:r>
        <w:rPr>
          <w:rFonts w:ascii="Inter" w:hAnsi="Inter" w:eastAsia="Inter"/>
          <w:sz w:val="19"/>
        </w:rPr>
        <w:t>Novos domínios devem poder ser ativados progressivamente. Pecuária, Mercado, nova regra de benchmark ou integração não precisam ser lançados para toda a base no mesmo deploy.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feature: livestock      → internal → pilot cohort → selected customers → all</w:t>
              <w:br/>
              <w:t>feature: marketplace    → off → pilot → regional rollout → all</w:t>
            </w:r>
          </w:p>
        </w:tc>
      </w:tr>
    </w:tbl>
    <w:p>
      <w:pPr>
        <w:widowControl/>
        <w:spacing w:after="20"/>
      </w:pP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Backend mantém compatibilidade com pelo menos as versões mobile suportadas.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Breaking API change exige nova versão ou período de compatibilidade.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Feature flag não substitui autorização; ela controla disponibilidade, não permissão.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Migrations não podem assumir que todos atualizaram o app no mesmo dia.</w:t>
      </w:r>
    </w:p>
    <w:p>
      <w:pPr>
        <w:pStyle w:val="Heading1"/>
        <w:keepNext/>
        <w:widowControl/>
      </w:pPr>
      <w:r>
        <w:t>22. Analytics e camada de dados futura</w:t>
      </w:r>
    </w:p>
    <w:p>
      <w:pPr>
        <w:widowControl/>
      </w:pPr>
      <w:r>
        <w:rPr>
          <w:rFonts w:ascii="Inter" w:hAnsi="Inter" w:eastAsia="Inter"/>
          <w:sz w:val="19"/>
        </w:rPr>
        <w:t>Postgres pode atender analytics iniciais, mas benchmark, inteligência longitudinal e BI tendem a crescer. O desenho deve permitir replicar eventos/dados para uma camada analítica sem transformar o banco transacional em warehouse.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Operational Postgres</w:t>
              <w:br/>
              <w:t xml:space="preserve">      │</w:t>
              <w:br/>
              <w:t xml:space="preserve">      ├── application reads/writes</w:t>
              <w:br/>
              <w:t xml:space="preserve">      │</w:t>
              <w:br/>
              <w:t xml:space="preserve">      └── events / CDC (futuro)</w:t>
              <w:br/>
              <w:t xml:space="preserve">               ↓</w:t>
              <w:br/>
              <w:t xml:space="preserve">        Analytical Store / Warehouse</w:t>
              <w:br/>
              <w:t xml:space="preserve">               ↓</w:t>
              <w:br/>
              <w:t xml:space="preserve">      BI • Benchmark • Cohorts • ML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Inter" w:hAnsi="Inter" w:eastAsia="Inter"/>
          <w:sz w:val="19"/>
        </w:rPr>
        <w:t>A camada analítica é derivada. Permissões, contratos e transações continuam sendo decididos no sistema operacional.</w:t>
      </w:r>
    </w:p>
    <w:p>
      <w:pPr>
        <w:pStyle w:val="Heading1"/>
        <w:keepNext/>
        <w:widowControl/>
      </w:pPr>
      <w:r>
        <w:t>23. Antipadrões proibidos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744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ANTIPADRÃO</w:t>
            </w:r>
          </w:p>
        </w:tc>
        <w:tc>
          <w:tcPr>
            <w:tcW w:type="dxa" w:w="5616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POR QUE É PERIGOSO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user.role = “producer” como identidade fixa</w:t>
            </w:r>
          </w:p>
        </w:tc>
        <w:tc>
          <w:tcPr>
            <w:tcW w:type="dxa" w:w="561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Impede múltiplos vínculos e cria explosão de roles combinadas.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Frontend acessando banco diretamente</w:t>
            </w:r>
          </w:p>
        </w:tc>
        <w:tc>
          <w:tcPr>
            <w:tcW w:type="dxa" w:w="561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Espalha regra, dificulta API externa e cria versões divergentes entre web/mobile.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Tabela production universal com dezenas de NULLs</w:t>
            </w:r>
          </w:p>
        </w:tc>
        <w:tc>
          <w:tcPr>
            <w:tcW w:type="dxa" w:w="561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Mistura agricultura/pecuária e torna constraints e consultas frágeis.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buyer_name como único comprador</w:t>
            </w:r>
          </w:p>
        </w:tc>
        <w:tc>
          <w:tcPr>
            <w:tcW w:type="dxa" w:w="561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Impede vincular trading real no futuro sem migração de histórico.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quantity_sacks / price_per_sack hardcoded</w:t>
            </w:r>
          </w:p>
        </w:tc>
        <w:tc>
          <w:tcPr>
            <w:tcW w:type="dxa" w:w="561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Bloqueia unidades e outros domínios produtivos.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JSON para todo o domínio</w:t>
            </w:r>
          </w:p>
        </w:tc>
        <w:tc>
          <w:tcPr>
            <w:tcW w:type="dxa" w:w="561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Perde constraints, joins, índices e analytics confiável.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Cada módulo calcula caixa</w:t>
            </w:r>
          </w:p>
        </w:tc>
        <w:tc>
          <w:tcPr>
            <w:tcW w:type="dxa" w:w="561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Gera números divergentes para a mesma operação.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Webhook sem idempotência</w:t>
            </w:r>
          </w:p>
        </w:tc>
        <w:tc>
          <w:tcPr>
            <w:tcW w:type="dxa" w:w="561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Cria registros duplicados em retry.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Evento externo sem outbox</w:t>
            </w:r>
          </w:p>
        </w:tc>
        <w:tc>
          <w:tcPr>
            <w:tcW w:type="dxa" w:w="561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Banco e parceiros ficam inconsistentes em falhas parciais.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Renomear/remover coluna em deploy único</w:t>
            </w:r>
          </w:p>
        </w:tc>
        <w:tc>
          <w:tcPr>
            <w:tcW w:type="dxa" w:w="561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Quebra versões mobile antigas e rollback.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Snapshot como fonte da verdade</w:t>
            </w:r>
          </w:p>
        </w:tc>
        <w:tc>
          <w:tcPr>
            <w:tcW w:type="dxa" w:w="561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Impossibilita reconstrução e auditoria.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Logs sem tenant/request IDs</w:t>
            </w:r>
          </w:p>
        </w:tc>
        <w:tc>
          <w:tcPr>
            <w:tcW w:type="dxa" w:w="561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Suporte não consegue rastrear incidentes de forma segura.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24. Bounded contexts previstos</w:t>
      </w:r>
    </w:p>
    <w:p>
      <w:pPr>
        <w:widowControl/>
      </w:pPr>
      <w:r>
        <w:rPr>
          <w:rFonts w:ascii="Inter" w:hAnsi="Inter" w:eastAsia="Inter"/>
          <w:sz w:val="19"/>
        </w:rPr>
        <w:t>A lista abaixo não significa criar todas as tabelas na V1. Ela define fronteiras para impedir que o crescimento misture responsabilidades.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376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CONTEXTO</w:t>
            </w:r>
          </w:p>
        </w:tc>
        <w:tc>
          <w:tcPr>
            <w:tcW w:type="dxa" w:w="6984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Identity &amp; Access</w:t>
            </w:r>
          </w:p>
        </w:tc>
        <w:tc>
          <w:tcPr>
            <w:tcW w:type="dxa" w:w="698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Users, organizations, memberships, capabilities, sessions.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Agro Core</w:t>
            </w:r>
          </w:p>
        </w:tc>
        <w:tc>
          <w:tcPr>
            <w:tcW w:type="dxa" w:w="698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Operations, properties, activities, base geography.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Agriculture</w:t>
            </w:r>
          </w:p>
        </w:tc>
        <w:tc>
          <w:tcPr>
            <w:tcW w:type="dxa" w:w="698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Crop cycles, plots, production estimates e colheita.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Commercial</w:t>
            </w:r>
          </w:p>
        </w:tc>
        <w:tc>
          <w:tcPr>
            <w:tcW w:type="dxa" w:w="698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Contracts, counterparties, deliveries, payments, obligations.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Financial</w:t>
            </w:r>
          </w:p>
        </w:tc>
        <w:tc>
          <w:tcPr>
            <w:tcW w:type="dxa" w:w="698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Financial events, projection engine, snapshots, opportunities.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Documents &amp; AI</w:t>
            </w:r>
          </w:p>
        </w:tc>
        <w:tc>
          <w:tcPr>
            <w:tcW w:type="dxa" w:w="698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Files, extraction runs, extracted fields, confirmations.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Market Data</w:t>
            </w:r>
          </w:p>
        </w:tc>
        <w:tc>
          <w:tcPr>
            <w:tcW w:type="dxa" w:w="698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Commodities, instruments, prices, source/provenance.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Benchmark</w:t>
            </w:r>
          </w:p>
        </w:tc>
        <w:tc>
          <w:tcPr>
            <w:tcW w:type="dxa" w:w="698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Cost inputs, cohorts, versions, snapshots.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Services</w:t>
            </w:r>
          </w:p>
        </w:tc>
        <w:tc>
          <w:tcPr>
            <w:tcW w:type="dxa" w:w="698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Credit, tax, M&amp;A requests/status.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Marketplace</w:t>
            </w:r>
          </w:p>
        </w:tc>
        <w:tc>
          <w:tcPr>
            <w:tcW w:type="dxa" w:w="698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Listings/RFQs, offers, negotiations; fase futura.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Integrations</w:t>
            </w:r>
          </w:p>
        </w:tc>
        <w:tc>
          <w:tcPr>
            <w:tcW w:type="dxa" w:w="6984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Clients, external mappings, webhooks, outbox, credentials metadata.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Governance</w:t>
            </w:r>
          </w:p>
        </w:tc>
        <w:tc>
          <w:tcPr>
            <w:tcW w:type="dxa" w:w="6984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Audit, consent, feature flags, retention policies.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25. Modelo conceitual inicial de dados</w:t>
      </w:r>
    </w:p>
    <w:p>
      <w:pPr>
        <w:widowControl/>
      </w:pPr>
      <w:r>
        <w:rPr>
          <w:rFonts w:ascii="Inter" w:hAnsi="Inter" w:eastAsia="Inter"/>
          <w:sz w:val="19"/>
        </w:rPr>
        <w:t>A futura especificação de Data Model &amp; API poderá alterar nomes e cardinalidades. O que deve permanecer é a separação conceitual abaixo.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4F6F4"/>
            <w:tcBorders>
              <w:left w:val="single" w:sz="8" w:color="96A399"/>
            </w:tcBorders>
          </w:tcPr>
          <w:p>
            <w:pPr>
              <w:pStyle w:val="Code"/>
              <w:spacing w:after="40"/>
            </w:pPr>
            <w:r>
              <w:rPr>
                <w:rFonts w:ascii="Liberation Mono" w:hAnsi="Liberation Mono" w:eastAsia="Liberation Mono"/>
                <w:color w:val="191F1C"/>
                <w:sz w:val="16"/>
              </w:rPr>
              <w:t>Identity</w:t>
              <w:br/>
              <w:t xml:space="preserve">  users</w:t>
              <w:br/>
              <w:t xml:space="preserve">  organizations</w:t>
              <w:br/>
              <w:t xml:space="preserve">  organization_memberships</w:t>
              <w:br/>
              <w:br/>
              <w:t>Agro Core</w:t>
              <w:br/>
              <w:t xml:space="preserve">  operations</w:t>
              <w:br/>
              <w:t xml:space="preserve">  properties</w:t>
              <w:br/>
              <w:t xml:space="preserve">  operation_activities</w:t>
              <w:br/>
              <w:t xml:space="preserve">  counterparties</w:t>
              <w:br/>
              <w:br/>
              <w:t>Agriculture</w:t>
              <w:br/>
              <w:t xml:space="preserve">  plots</w:t>
              <w:br/>
              <w:t xml:space="preserve">  crop_cycles</w:t>
              <w:br/>
              <w:t xml:space="preserve">  production_estimates</w:t>
              <w:br/>
              <w:br/>
              <w:t>Commercial</w:t>
              <w:br/>
              <w:t xml:space="preserve">  contracts</w:t>
              <w:br/>
              <w:t xml:space="preserve">  contract_parties</w:t>
              <w:br/>
              <w:t xml:space="preserve">  contract_deliveries</w:t>
              <w:br/>
              <w:t xml:space="preserve">  contract_payments</w:t>
              <w:br/>
              <w:t xml:space="preserve">  contract_obligations</w:t>
              <w:br/>
              <w:br/>
              <w:t>Financial</w:t>
              <w:br/>
              <w:t xml:space="preserve">  financial_events</w:t>
              <w:br/>
              <w:t xml:space="preserve">  financial_snapshots</w:t>
              <w:br/>
              <w:t xml:space="preserve">  opportunity_events</w:t>
              <w:br/>
              <w:br/>
              <w:t>Documents &amp; AI</w:t>
              <w:br/>
              <w:t xml:space="preserve">  documents</w:t>
              <w:br/>
              <w:t xml:space="preserve">  extraction_runs</w:t>
              <w:br/>
              <w:t xml:space="preserve">  extracted_fields</w:t>
              <w:br/>
              <w:t xml:space="preserve">  confirmations</w:t>
              <w:br/>
              <w:br/>
              <w:t>Platform</w:t>
              <w:br/>
              <w:t xml:space="preserve">  integrations</w:t>
              <w:br/>
              <w:t xml:space="preserve">  external_mappings</w:t>
              <w:br/>
              <w:t xml:space="preserve">  webhook_deliveries</w:t>
              <w:br/>
              <w:t xml:space="preserve">  outbox_events</w:t>
              <w:br/>
              <w:t xml:space="preserve">  audit_events</w:t>
              <w:br/>
              <w:t xml:space="preserve">  feature_flags</w:t>
              <w:br/>
              <w:t xml:space="preserve">  data_consents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26. O que deve ser decidido agora vs. depois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4680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DECIDIR / FIXAR AGORA</w:t>
            </w:r>
          </w:p>
        </w:tc>
        <w:tc>
          <w:tcPr>
            <w:tcW w:type="dxa" w:w="4680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5"/>
              </w:rPr>
              <w:t>PODE FICAR PARA A SPEC TÉCNICA OU FASE FUTURA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User/Organization/Operation/Activity separados</w:t>
            </w:r>
          </w:p>
        </w:tc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Framework backend exato.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Agriculture explicitamente registrada como activity</w:t>
            </w:r>
          </w:p>
        </w:tc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Provedor definitivo de queue/cache.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Banco Agro próprio + API-owned access</w:t>
            </w:r>
          </w:p>
        </w:tc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Cloud provider e serviço gerenciado de Postgres.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Web + mobile no mesmo backend</w:t>
            </w:r>
          </w:p>
        </w:tc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Data warehouse específico.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Canonical Financial Event model</w:t>
            </w:r>
          </w:p>
        </w:tc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Particionamento físico antes de volume justificar.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Counterparty como entidade</w:t>
            </w:r>
          </w:p>
        </w:tc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Schema completo de pecuária.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Document/Extraction/Confirmation separados</w:t>
            </w:r>
          </w:p>
        </w:tc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Liquidação financeira do marketplace.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Outbox + idempotency como padrões</w:t>
            </w:r>
          </w:p>
        </w:tc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Protocolo final de parceiros regulados.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Audit + observability desde produção</w:t>
            </w:r>
          </w:p>
        </w:tc>
        <w:tc>
          <w:tcPr>
            <w:tcW w:type="dxa" w:w="4680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Microservices.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Expand/migrate/contract para schema changes</w:t>
            </w:r>
          </w:p>
        </w:tc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5"/>
              </w:rPr>
              <w:t>Otimizações prematuras sem access pattern.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Tier Trade por células com isolamento progressivo</w:t>
            </w:r>
          </w:p>
        </w:tc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Limites físicos definitivos de cada célula após testes de carga.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Pipeline canônico de implantação e reconciliação</w:t>
            </w:r>
          </w:p>
        </w:tc>
        <w:tc>
          <w:tcPr>
            <w:tcW w:type="dxa" w:w="4680"/>
            <w:vAlign w:val="center"/>
            <w:shd w:fill="F4F6F4"/>
            <w:tcBorders>
              <w:bottom w:val="single" w:sz="4" w:color="D9DEDA"/>
            </w:tcBorders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Adapters específicos conforme sistemas encontrados nos clientes.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27. Sequência recomendada a partir daqui</w:t>
      </w:r>
    </w:p>
    <w:p>
      <w:pPr>
        <w:pStyle w:val="ListNumber"/>
        <w:widowControl/>
        <w:spacing w:after="50" w:line="257" w:lineRule="auto"/>
      </w:pPr>
      <w:r>
        <w:rPr>
          <w:rFonts w:ascii="Inter" w:hAnsi="Inter" w:eastAsia="Inter"/>
          <w:sz w:val="19"/>
        </w:rPr>
        <w:t>Fechar este documento como conjunto de princípios arquiteturais e fronteiras de domínio.</w:t>
      </w:r>
    </w:p>
    <w:p>
      <w:pPr>
        <w:pStyle w:val="ListNumber"/>
        <w:widowControl/>
        <w:spacing w:after="50" w:line="257" w:lineRule="auto"/>
      </w:pPr>
      <w:r>
        <w:rPr>
          <w:rFonts w:ascii="Inter" w:hAnsi="Inter" w:eastAsia="Inter"/>
          <w:sz w:val="19"/>
        </w:rPr>
        <w:t>Gerar a Especificação Funcional V1: fluxos, telas, estados, regras e critérios de aceite — sem ainda fixar schema físico.</w:t>
      </w:r>
    </w:p>
    <w:p>
      <w:pPr>
        <w:pStyle w:val="ListNumber"/>
        <w:widowControl/>
        <w:spacing w:after="50" w:line="257" w:lineRule="auto"/>
      </w:pPr>
      <w:r>
        <w:rPr>
          <w:rFonts w:ascii="Inter" w:hAnsi="Inter" w:eastAsia="Inter"/>
          <w:sz w:val="19"/>
        </w:rPr>
        <w:t>Gerar Data Model &amp; API Specification: ERD, cardinalidades, constraints, indexes, endpoints, events, webhooks, auth e migrations.</w:t>
      </w:r>
    </w:p>
    <w:p>
      <w:pPr>
        <w:pStyle w:val="ListNumber"/>
        <w:widowControl/>
        <w:spacing w:after="50" w:line="257" w:lineRule="auto"/>
      </w:pPr>
      <w:r>
        <w:rPr>
          <w:rFonts w:ascii="Inter" w:hAnsi="Inter" w:eastAsia="Inter"/>
          <w:sz w:val="19"/>
        </w:rPr>
        <w:t>Definir a stack física e infraestrutura: backend framework, Postgres provider, object storage, queue/worker, cache, observability e CI/CD.</w:t>
      </w:r>
    </w:p>
    <w:p>
      <w:pPr>
        <w:pStyle w:val="ListNumber"/>
        <w:widowControl/>
        <w:spacing w:after="50" w:line="257" w:lineRule="auto"/>
      </w:pPr>
      <w:r>
        <w:rPr>
          <w:rFonts w:ascii="Inter" w:hAnsi="Inter" w:eastAsia="Inter"/>
          <w:sz w:val="19"/>
        </w:rPr>
        <w:t>Redesenhar web e mobile sobre os mesmos contratos funcionais e de API.</w:t>
      </w:r>
    </w:p>
    <w:p>
      <w:pPr>
        <w:pStyle w:val="ListNumber"/>
        <w:widowControl/>
        <w:spacing w:after="50" w:line="257" w:lineRule="auto"/>
      </w:pPr>
      <w:r>
        <w:rPr>
          <w:rFonts w:ascii="Inter" w:hAnsi="Inter" w:eastAsia="Inter"/>
          <w:sz w:val="19"/>
        </w:rPr>
        <w:t>Implementar vertical slices: onboarding/operação → safra → contratos/documentos → financeiro/Home → demais capacidades.</w:t>
      </w:r>
    </w:p>
    <w:p>
      <w:pPr>
        <w:pStyle w:val="ListNumber"/>
        <w:widowControl/>
        <w:spacing w:after="50" w:line="257" w:lineRule="auto"/>
      </w:pPr>
      <w:r>
        <w:rPr>
          <w:rFonts w:ascii="Inter" w:hAnsi="Inter" w:eastAsia="Inter"/>
          <w:sz w:val="19"/>
        </w:rPr>
        <w:t>Executar testes de carga e migrations antes do piloto real, usando volumes sintéticos maiores que a primeira base esperada.</w:t>
      </w:r>
    </w:p>
    <w:p>
      <w:pPr>
        <w:pStyle w:val="Heading2"/>
        <w:keepNext/>
        <w:widowControl/>
      </w:pPr>
      <w:r>
        <w:t>27.1 Vertical slices, não “todas as tabelas primeiro”</w:t>
      </w:r>
    </w:p>
    <w:p>
      <w:pPr>
        <w:widowControl/>
      </w:pPr>
      <w:r>
        <w:rPr>
          <w:rFonts w:ascii="Inter" w:hAnsi="Inter" w:eastAsia="Inter"/>
          <w:sz w:val="19"/>
        </w:rPr>
        <w:t>Embora o backend deva nascer sólido, não é necessário implementar todo o roadmap estrutural de uma vez. Cada slice cria somente as tabelas e contratos necessários, respeitando as fronteiras futuras já decididas.</w:t>
      </w:r>
    </w:p>
    <w:p>
      <w:pPr>
        <w:pStyle w:val="Heading1"/>
        <w:keepNext/>
        <w:widowControl/>
      </w:pPr>
      <w:r>
        <w:t>28. Critérios de pronto para iniciar a Especificação Funcional 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6768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2592"/>
            <w:vAlign w:val="center"/>
            <w:shd w:fill="385B46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/>
                <w:color w:val="FFFFFF"/>
                <w:sz w:val="16"/>
              </w:rPr>
              <w:t>STATUS APÓS ESTE DOCUMENTO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Web e mobile como canais de primeira classe</w:t>
            </w:r>
          </w:p>
        </w:tc>
        <w:tc>
          <w:tcPr>
            <w:tcW w:type="dxa" w:w="2592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Definido.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Banco próprio e ownership do Mountier Agro</w:t>
            </w:r>
          </w:p>
        </w:tc>
        <w:tc>
          <w:tcPr>
            <w:tcW w:type="dxa" w:w="2592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Definido.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Integração com Mountier e terceiros sem acesso direto ao banco</w:t>
            </w:r>
          </w:p>
        </w:tc>
        <w:tc>
          <w:tcPr>
            <w:tcW w:type="dxa" w:w="2592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Definido.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Separação User / Organization / Operation / Activity</w:t>
            </w:r>
          </w:p>
        </w:tc>
        <w:tc>
          <w:tcPr>
            <w:tcW w:type="dxa" w:w="2592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Definido.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Agricultura V1 sem bloquear pecuária futura</w:t>
            </w:r>
          </w:p>
        </w:tc>
        <w:tc>
          <w:tcPr>
            <w:tcW w:type="dxa" w:w="2592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Definido.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Modelo financeiro canônico compartilhado</w:t>
            </w:r>
          </w:p>
        </w:tc>
        <w:tc>
          <w:tcPr>
            <w:tcW w:type="dxa" w:w="2592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Definido como princípio.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Estratégia de contratos/counterparties extensível</w:t>
            </w:r>
          </w:p>
        </w:tc>
        <w:tc>
          <w:tcPr>
            <w:tcW w:type="dxa" w:w="2592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Definido como princípio.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Pipeline de documentos/IA extensível</w:t>
            </w:r>
          </w:p>
        </w:tc>
        <w:tc>
          <w:tcPr>
            <w:tcW w:type="dxa" w:w="2592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Definido como princípio.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API externa e permissões B2B previstas</w:t>
            </w:r>
          </w:p>
        </w:tc>
        <w:tc>
          <w:tcPr>
            <w:tcW w:type="dxa" w:w="2592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Definido como princípio.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Migration strategy, audit, observability e idempotência</w:t>
            </w:r>
          </w:p>
        </w:tc>
        <w:tc>
          <w:tcPr>
            <w:tcW w:type="dxa" w:w="2592"/>
            <w:vAlign w:val="center"/>
            <w:shd w:fill="F4F6F4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Definidos como padrões.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Detalhe físico de schema/API</w:t>
            </w:r>
          </w:p>
        </w:tc>
        <w:tc>
          <w:tcPr>
            <w:tcW w:type="dxa" w:w="2592"/>
            <w:vAlign w:val="center"/>
            <w:shd w:fill="FFFFFF"/>
            <w:tcBorders>
              <w:bottom w:val="single" w:sz="4" w:color="D9DEDA"/>
            </w:tcBorders>
          </w:tcPr>
          <w:p>
            <w:pPr>
              <w:spacing w:before="30" w:after="30" w:line="245" w:lineRule="auto"/>
            </w:pPr>
            <w:r>
              <w:rPr>
                <w:rFonts w:ascii="Inter" w:hAnsi="Inter" w:eastAsia="Inter"/>
                <w:b w:val="0"/>
                <w:color w:val="191F1C"/>
                <w:sz w:val="16"/>
              </w:rPr>
              <w:t>Intencionalmente pendente para a etapa após a spec funcional.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FFFFF"/>
            <w:tcBorders>
              <w:bottom w:val="single" w:sz="4" w:color="D9DEDA"/>
            </w:tcBorders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Tier Trade compartilhado isolado ou dedicado sem fork</w:t>
            </w:r>
          </w:p>
        </w:tc>
        <w:tc>
          <w:tcPr>
            <w:tcW w:type="dxa" w:w="2592"/>
            <w:vAlign w:val="center"/>
            <w:shd w:fill="FFFFFF"/>
            <w:tcBorders>
              <w:bottom w:val="single" w:sz="4" w:color="D9DEDA"/>
            </w:tcBorders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Definido como princípio e detalhado no documento de multitenancy.</w:t>
            </w:r>
          </w:p>
        </w:tc>
      </w:tr>
      <w:tr>
        <w:trPr>
          <w:cantSplit/>
        </w:trPr>
        <w:tc>
          <w:tcPr>
            <w:tcW w:type="dxa" w:w="6768"/>
            <w:vAlign w:val="center"/>
            <w:shd w:fill="FFFFFF"/>
            <w:tcBorders>
              <w:bottom w:val="single" w:sz="4" w:color="D9DEDA"/>
            </w:tcBorders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Migração e relatórios protegidos do OLTP</w:t>
            </w:r>
          </w:p>
        </w:tc>
        <w:tc>
          <w:tcPr>
            <w:tcW w:type="dxa" w:w="2592"/>
            <w:vAlign w:val="center"/>
            <w:shd w:fill="FFFFFF"/>
            <w:tcBorders>
              <w:bottom w:val="single" w:sz="4" w:color="D9DEDA"/>
            </w:tcBorders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Definidos como padrões obrigatórios.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DF1EB"/>
            <w:tcBorders>
              <w:left w:val="single" w:sz="18" w:color="EB5E28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t>CONCLUSÃO</w:t>
              <w:br/>
              <w:t>Com estas decisões, Mountier Agro e Tier Trade podem evoluir como produtos independentes e integrados por contratos explícitos. O Tier Trade possui uma estratégia definida de multitenancy por células, implantação reconciliada e isolamento progressivo, sem cristalizar uma arquitetura descartável nem criar versões particulares por cliente.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Anexo A — ADRs que a próxima etapa deve formalizar</w:t>
      </w:r>
    </w:p>
    <w:p>
      <w:pPr>
        <w:widowControl/>
      </w:pPr>
      <w:r>
        <w:rPr>
          <w:rFonts w:ascii="Inter" w:hAnsi="Inter" w:eastAsia="Inter"/>
          <w:sz w:val="19"/>
        </w:rPr>
        <w:t>Na especificação técnica, recomenda-se transformar as decisões abaixo em Architecture Decision Records (ADRs) curtos, para que futuras mudanças registrem contexto e consequências.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ADR-001 — Mountier Agro possui banco próprio e integra por API/eventos.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ADR-002 — Web e mobile consomem a mesma API de domínio.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ADR-003 — Modular monolith como arquitetura inicial.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ADR-004 — User, Organization, Operation e Activity são entidades separadas.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ADR-005 — Agricultura e pecuária compartilham financeiro, não o modelo produtivo.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ADR-006 — FinancialEvent como modelo canônico de projeção.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ADR-007 — Counterparty independente de organization integrada.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ADR-008 — Document extraction exige confirmação humana e mantém provenance.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ADR-009 — Transactional outbox para eventos externos.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ADR-010 — Idempotência obrigatória em comandos externos críticos.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ADR-011 — Schema evolution usa expand → migrate → contract.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ADR-012 — Read models/snapshots são derivados e reconstruíveis.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ADR-013 — Regras e fontes históricas relevantes são versionadas.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ADR-014 — Integrações externas usam scopes/capabilities e nunca acesso direto ao DB.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ADR-015 — Observabilidade e audit trail fazem parte da definição de produção.</w:t>
      </w:r>
    </w:p>
    <w:p>
      <w:pPr>
        <w:pStyle w:val="ListBullet"/>
        <w:widowControl/>
      </w:pPr>
      <w:r>
        <w:t>ADR-016 — Tier Trade usa arquitetura SaaS híbrida por células.</w:t>
      </w:r>
    </w:p>
    <w:p>
      <w:pPr>
        <w:pStyle w:val="ListBullet"/>
        <w:widowControl/>
      </w:pPr>
      <w:r>
        <w:t>ADR-017 — Shared Cell é o padrão; banco e célula dedicados são níveis de isolamento.</w:t>
      </w:r>
    </w:p>
    <w:p>
      <w:pPr>
        <w:pStyle w:val="ListBullet"/>
        <w:widowControl/>
      </w:pPr>
      <w:r>
        <w:t>ADR-018 — Tier Trade e Mountier Agro possuem bancos e ciclos de produto independentes.</w:t>
      </w:r>
    </w:p>
    <w:p>
      <w:pPr>
        <w:pStyle w:val="ListBullet"/>
        <w:widowControl/>
      </w:pPr>
      <w:r>
        <w:t>ADR-019 — Implantação do Tier Trade usa pipeline canônico com staging, idempotência e reconciliação.</w:t>
      </w:r>
    </w:p>
    <w:p>
      <w:pPr>
        <w:pStyle w:val="ListBullet"/>
        <w:widowControl/>
      </w:pPr>
      <w:r>
        <w:t>ADR-020 — Dashboards usam read models e relatórios pesados não competem com o OLTP.</w:t>
      </w:r>
    </w:p>
    <w:p>
      <w:pPr>
        <w:pStyle w:val="Heading1"/>
        <w:keepNext/>
        <w:widowControl/>
      </w:pPr>
      <w:r>
        <w:t>Anexo B — Documentos de referência do projeto</w:t>
      </w:r>
    </w:p>
    <w:p>
      <w:pPr>
        <w:widowControl/>
      </w:pPr>
      <w:r>
        <w:rPr>
          <w:rFonts w:ascii="Inter" w:hAnsi="Inter" w:eastAsia="Inter"/>
          <w:sz w:val="19"/>
        </w:rPr>
        <w:t>Este documento foi consolidado a partir da Visão de Produto e Negócio 2.0 e dos materiais anteriores do Mountier Agro, somados às decisões de arquitetura tomadas na evolução da proposta. Os nomes de tabelas e exemplos de código aqui são conceituais; a especificação física será produzida depois da Especificação Funcional V1.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Mountier Agro — Visão de Produto e Negócio 2.0.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Mountier Agro — Visão Completa do Produto.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Mountier Agro — Escopo de Negócio (Fase 1).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Prompt para Claude Code — Protótipo de UI/UX do Mountier Agro.</w:t>
      </w:r>
    </w:p>
    <w:p>
      <w:pPr>
        <w:pStyle w:val="ListBullet"/>
        <w:widowControl/>
        <w:spacing w:after="48" w:line="257" w:lineRule="auto"/>
      </w:pPr>
      <w:r>
        <w:rPr>
          <w:rFonts w:ascii="Inter" w:hAnsi="Inter" w:eastAsia="Inter"/>
          <w:sz w:val="19"/>
        </w:rPr>
        <w:t>Prompt para Codex — Build técnico do Mountier Agro (Expo).</w:t>
      </w:r>
    </w:p>
    <w:p>
      <w:pPr>
        <w:pStyle w:val="ListBullet"/>
        <w:widowControl/>
      </w:pPr>
      <w:r>
        <w:t>Tier Trade — Arquitetura de Multitenancy Dados e Implantação 1.0.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MOUNTIER AGRO E TIER TRADE  |  ARQUITETURA FUTURA 1.2  |  </w:t>
    </w:r>
    <w:fldSimple w:instr="PAGE">
      <w:r>
        <w:rPr>
          <w:sz w:val="16"/>
          <w:color w:val="6464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MOUNTIER AGRO E TIER TRADE  /  ARQUITETURA FUTURA 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Inter" w:hAnsi="Inter"/>
      <w:color w:val="191F1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Inter" w:hAnsi="Inter"/>
      <w:b/>
      <w:bCs/>
      <w:color w:val="191F1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Inter" w:hAnsi="Inter"/>
      <w:b/>
      <w:bCs/>
      <w:color w:val="385B4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Inter" w:hAnsi="Inter"/>
      <w:b/>
      <w:bCs/>
      <w:color w:val="191F1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191F1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140"/>
    </w:pPr>
    <w:rPr>
      <w:rFonts w:ascii="Inter" w:hAnsi="Inter"/>
      <w:b/>
      <w:color w:val="EB5E28"/>
      <w:sz w:val="16"/>
    </w:rPr>
  </w:style>
  <w:style w:type="paragraph" w:customStyle="1" w:styleId="Lead">
    <w:name w:val="Lead"/>
    <w:pPr>
      <w:spacing w:after="200" w:line="288" w:lineRule="auto"/>
    </w:pPr>
    <w:rPr>
      <w:rFonts w:ascii="Inter" w:hAnsi="Inter"/>
      <w:color w:val="191F1C"/>
      <w:sz w:val="26"/>
    </w:rPr>
  </w:style>
  <w:style w:type="paragraph" w:customStyle="1" w:styleId="Small">
    <w:name w:val="Small"/>
    <w:pPr>
      <w:spacing w:after="60"/>
    </w:pPr>
    <w:rPr>
      <w:rFonts w:ascii="Inter" w:hAnsi="Inter"/>
      <w:color w:val="606763"/>
      <w:sz w:val="16"/>
    </w:rPr>
  </w:style>
  <w:style w:type="paragraph" w:customStyle="1" w:styleId="Code">
    <w:name w:val="Code"/>
    <w:pPr>
      <w:spacing w:after="120" w:line="240" w:lineRule="auto"/>
      <w:ind w:left="259" w:right="115"/>
    </w:pPr>
    <w:rPr>
      <w:rFonts w:ascii="Liberation Mono" w:hAnsi="Liberation Mono"/>
      <w:color w:val="191F1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Mountier Agro e Tier Trade Arquitetura Futura e Princípios de Domínio 1.2</dc:title>
  <dc:subject>Princípios arquiteturais e fronteiras entre os produtos do ecossistema agro</dc:subject>
  <dc:creator>Mountier</dc:creator>
  <cp:keywords/>
  <dc:description>Atualizado em 1 de outubro de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