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  <w:r>
        <w:t>MOUNTIER  |  VERTICAL AGRO</w:t>
      </w:r>
    </w:p>
    <w:p>
      <w:pPr>
        <w:widowControl/>
      </w:pPr>
    </w:p>
    <w:p>
      <w:pPr>
        <w:pStyle w:val="Title"/>
        <w:widowControl/>
      </w:pPr>
      <w:r>
        <w:t>Tier Trade</w:t>
        <w:br/>
        <w:t>Arquitetura de Multitenancy Dados e Implantação 1.1</w:t>
      </w:r>
    </w:p>
    <w:p>
      <w:pPr>
        <w:widowControl/>
      </w:pPr>
      <w:r>
        <w:t>Decisões estruturais para o SaaS de trading agrícola e commodities da Mountier Agro</w:t>
      </w:r>
    </w:p>
    <w:p>
      <w:pPr>
        <w:pStyle w:val="Metadata"/>
        <w:widowControl/>
        <w:spacing w:after="20"/>
      </w:pPr>
      <w:r>
        <w:t>Nome de trabalho  Tier Trade</w:t>
      </w:r>
    </w:p>
    <w:p>
      <w:pPr>
        <w:pStyle w:val="Metadata"/>
        <w:widowControl/>
        <w:spacing w:after="20"/>
      </w:pPr>
      <w:r>
        <w:t>Referência organizacional  Sistema de trading agrícola e commodities da Mountier Agro</w:t>
      </w:r>
    </w:p>
    <w:p>
      <w:pPr>
        <w:pStyle w:val="Metadata"/>
        <w:widowControl/>
        <w:spacing w:after="20"/>
      </w:pPr>
      <w:r>
        <w:t>Status do nome  Provisório e substituível sem alterar domínio arquitetura ou contratos técnicos</w:t>
      </w:r>
    </w:p>
    <w:p>
      <w:pPr>
        <w:pStyle w:val="Metadata"/>
        <w:widowControl/>
        <w:spacing w:after="20"/>
      </w:pPr>
      <w:r>
        <w:t>Escopo  Multitenancy células dados migração relatórios segurança estabilidade e escala</w:t>
      </w:r>
    </w:p>
    <w:p>
      <w:pPr>
        <w:pStyle w:val="Metadata"/>
        <w:widowControl/>
        <w:spacing w:after="20"/>
      </w:pPr>
      <w:r>
        <w:t>Data  1 de outubro de 2026</w:t>
      </w:r>
    </w:p>
    <w:p>
      <w:pPr>
        <w:widowControl/>
      </w:pPr>
    </w:p>
    <w:p>
      <w:pPr>
        <w:widowControl/>
      </w:pPr>
      <w:r>
        <w:t>Este documento define como o Tier Trade, nome provisório do sistema de trading agrícola e commodities da Mountier Agro, deverá operar como SaaS sem concentrar todos os clientes em uma única fronteira de falha e sem obrigar a empresa a manter uma infraestrutura diferente para cada cliente desde o início.</w:t>
      </w:r>
    </w:p>
    <w:p>
      <w:pPr>
        <w:widowControl/>
      </w:pPr>
      <w:r>
        <w:t>A decisão central é adotar multitenancy híbrida por células. Clientes com perfil compatível compartilham uma célula e um banco PostgreSQL protegido por tenant. Clientes com exigência regulatória, volume, desempenho ou recuperação diferenciados podem usar banco ou célula dedicada, mantendo o mesmo código, versão e experiência operacional.</w:t>
      </w:r>
    </w:p>
    <w:p>
      <w:pPr>
        <w:widowControl/>
      </w:pPr>
      <w:r>
        <w:t>A arquitetura também separa transações operacionais de relatórios pesados, cria uma plataforma de importação e reconciliação para sistemas legados e trata configurações específicas como dados versionados, não como forks do produto.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Índice</w:t>
      </w:r>
    </w:p>
    <w:p>
      <w:pPr>
        <w:widowControl/>
        <w:spacing w:after="40" w:line="240" w:lineRule="auto"/>
      </w:pPr>
      <w:r>
        <w:t>1 Decisão executiva</w:t>
        <w:br/>
        <w:t>2 Identidade do produto e fronteiras</w:t>
        <w:br/>
        <w:t>3 Objetivos e restrições</w:t>
        <w:br/>
        <w:t>4 Modelo de multitenancy</w:t>
        <w:br/>
        <w:t>5 Planos de isolamento</w:t>
        <w:br/>
        <w:t>6 Control Plane e Data Plane</w:t>
        <w:br/>
        <w:t>6.1 DatabasePlatformPort e portabilidade de provedor</w:t>
        <w:br/>
        <w:t>7 Arquitetura celular</w:t>
        <w:br/>
        <w:t>8 Modelo de identidade e isolamento no banco</w:t>
        <w:br/>
        <w:t>9 Arquitetura de aplicação</w:t>
        <w:br/>
        <w:t>9.1 Tipagem de domínio valores monetários datas e fusos</w:t>
        <w:br/>
        <w:t>10 Eventos filas e processamento assíncrono</w:t>
        <w:br/>
        <w:t>11 Banco transacional read models e analytics</w:t>
        <w:br/>
        <w:t>12 Relatórios e proteção do workload operacional</w:t>
        <w:br/>
        <w:t>13 Plataforma de implantação e migração</w:t>
        <w:br/>
        <w:t>14 Configuração sem fork de código</w:t>
        <w:br/>
        <w:t>15 Segurança auditoria e privacidade</w:t>
        <w:br/>
        <w:t>16 Estabilidade performance e noisy neighbor</w:t>
        <w:br/>
        <w:t>17 Backup recuperação e continuidade</w:t>
        <w:br/>
        <w:t>18 Observabilidade SLOs e capacidade</w:t>
        <w:br/>
        <w:t>19 Ciclo de vida e movimentação de tenants</w:t>
        <w:br/>
        <w:t>20 Sequência de implementação</w:t>
        <w:br/>
        <w:t>21 Critérios de aceite arquitetural</w:t>
        <w:br/>
        <w:t>22 Decisões abertas</w:t>
        <w:br/>
        <w:t>Anexo A ADRs iniciais</w:t>
        <w:br/>
        <w:t>Anexo B Fontes técnicas de referência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 Decisão executiva</w:t>
      </w:r>
    </w:p>
    <w:p>
      <w:pPr>
        <w:widowControl/>
      </w:pPr>
      <w:r>
        <w:t>O Tier Trade será um SaaS multi-tenant. O padrão inicial não será um banco exclusivo para cada cliente nem um único banco global sem fronteiras. O padrão será um conjunto de células independentes. Cada célula atende um grupo limitado de tenants e contém os recursos necessários para continuar operando de forma autônoma.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cantSplit/>
          <w:tblHeader/>
          <w:tblHeader w:val="true"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Decisão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Aplicação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Padrão comercial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Tenant em célula compartilhada com isolamento lógico e limites próprios.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Cliente enterprise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Banco isolado ou célula dedicada quando volume, contrato, segurança ou recuperação justificarem.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Código e produto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Mesma base de código, mesmas migrations e mesma experiência operacional em todos os planos.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Escala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Adicionar células e mover tenants sem redesenhar o domínio ou criar versão específica do produto.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Relatórios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Workload analítico separado do caminho transacional crítico.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Implantação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Pipeline repetível de extração, staging, transformação, validação, carga e reconciliação.</w:t>
            </w:r>
          </w:p>
        </w:tc>
      </w:tr>
    </w:tbl>
    <w:p>
      <w:pPr>
        <w:pStyle w:val="Heading1"/>
        <w:keepNext/>
        <w:widowControl/>
      </w:pPr>
      <w:r>
        <w:t>2 Identidade do produto e fronteiras</w:t>
      </w:r>
    </w:p>
    <w:p>
      <w:pPr>
        <w:widowControl/>
      </w:pPr>
      <w:r>
        <w:t>Tier Trade é o nome de trabalho deste ERP. A expressão sistema de trading agrícola e commodities da Mountier Agro identifica o contexto empresarial e o domínio do produto. O nome comercial poderá mudar sem alterar nomes de bounded contexts, contratos de API, tabelas, eventos ou decisões arquiteturais.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"/>
        <w:gridCol w:w="9475"/>
      </w:tblGrid>
      <w:tr>
        <w:trPr>
          <w:cantSplit/>
          <w:tblHeader w:val="true"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rPr>
                <w:b/>
              </w:rP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rPr>
                <w:b/>
              </w:rPr>
              <w:t>O Tier Trade é independente do aplicativo Mountier Agro voltado ao produtor.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Integrações entre os produtos usam APIs, eventos e consentimentos explícitos; não existe acesso direto cruzado a bancos.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Tenant representa o cliente SaaS. Empresa legal, estabelecimento, unidade e usuário existem dentro do tenant.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O produto cobre comercialização, contratos, execução física, estoque, financeiro, fiscal, contabilidade, risco e gestão no recorte homologado.</w:t>
            </w:r>
          </w:p>
        </w:tc>
      </w:tr>
    </w:tbl>
    <w:p>
      <w:pPr>
        <w:pStyle w:val="Heading1"/>
        <w:keepNext/>
        <w:widowControl/>
      </w:pPr>
      <w:r>
        <w:t>3 Objetivos e restrições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cantSplit/>
          <w:tblHeader/>
          <w:tblHeader w:val="true"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Implicação arquitetural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Segurança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Isolamento aplicado em identidade, aplicação, banco, arquivos, filas, cache, logs e suporte.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Estabilidade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Falhas, consultas e importações de um tenant não devem comprometer todos os clientes.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Escalabilidade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Crescimento horizontal por células e workers, sem depender apenas de aumentar um banco central.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Adaptabilidade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Regras e fluxos específicos são configurações versionadas, não branches por cliente.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Implantação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Conectores legados convergem para um modelo canônico e um processo de reconciliação comum.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Auditabilidade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Toda mudança material preserva origem, regra, versão, autor, aprovação e objetos afetados.</w:t>
            </w:r>
          </w:p>
        </w:tc>
      </w:tr>
    </w:tbl>
    <w:p>
      <w:pPr>
        <w:widowControl/>
      </w:pPr>
      <w:r>
        <w:t>Não é objetivo da primeira versão distribuir todos os módulos em microservices, escolher antecipadamente um data warehouse definitivo ou particionar tabelas que ainda não demonstraram volume e padrão de acesso suficientes.</w:t>
      </w:r>
    </w:p>
    <w:p>
      <w:pPr>
        <w:pStyle w:val="Heading1"/>
        <w:keepNext/>
        <w:widowControl/>
      </w:pPr>
      <w:r>
        <w:t>4 Modelo de multitenancy</w:t>
      </w:r>
    </w:p>
    <w:p>
      <w:pPr>
        <w:widowControl/>
      </w:pPr>
      <w:r>
        <w:t>A arquitetura usa um modelo híbrido de pool e silo. O pool oferece eficiência para clientes compatíveis. O silo reduz o raio de impacto e atende clientes com necessidades específicas. A célula cria a unidade operacional que permite combinar esses modelos sem fragmentar o produto.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84"/>
        <w:gridCol w:w="2484"/>
        <w:gridCol w:w="2484"/>
        <w:gridCol w:w="2484"/>
      </w:tblGrid>
      <w:tr>
        <w:trPr>
          <w:cantSplit/>
          <w:tblHeader/>
          <w:tblHeader w:val="true"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244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Vantagem</w:t>
            </w:r>
          </w:p>
        </w:tc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Risco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Uso no Tier Trade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Banco compartilhado</w:t>
            </w:r>
          </w:p>
        </w:tc>
        <w:tc>
          <w:tcPr>
            <w:tcW w:type="dxa" w:w="244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Custo e operação eficientes</w:t>
            </w:r>
          </w:p>
        </w:tc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Noisy neighbor e restauração por tenant mais complexa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Padrão dentro de cada célula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Schema por tenant</w:t>
            </w:r>
          </w:p>
        </w:tc>
        <w:tc>
          <w:tcPr>
            <w:tcW w:type="dxa" w:w="244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Separação visual</w:t>
            </w:r>
          </w:p>
        </w:tc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Migrations e operação degradam com escala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Não será padrão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Banco por tenant</w:t>
            </w:r>
          </w:p>
        </w:tc>
        <w:tc>
          <w:tcPr>
            <w:tcW w:type="dxa" w:w="244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Isolamento e restauração individual</w:t>
            </w:r>
          </w:p>
        </w:tc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Custo e automação maiores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Plano isolado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Célula dedicada</w:t>
            </w:r>
          </w:p>
        </w:tc>
        <w:tc>
          <w:tcPr>
            <w:tcW w:type="dxa" w:w="244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Maior isolamento de falha e desempenho</w:t>
            </w:r>
          </w:p>
        </w:tc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Maior custo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Enterprise ou exigência específica</w:t>
            </w:r>
          </w:p>
        </w:tc>
      </w:tr>
    </w:tbl>
    <w:p>
      <w:pPr>
        <w:pStyle w:val="Heading1"/>
        <w:keepNext/>
        <w:widowControl/>
      </w:pPr>
      <w:r>
        <w:t>5 Planos de isolamento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cantSplit/>
          <w:tblHeader/>
          <w:tblHeader w:val="true"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Plano técnico</w:t>
            </w:r>
          </w:p>
        </w:tc>
        <w:tc>
          <w:tcPr>
            <w:tcW w:type="dxa" w:w="48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Recursos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Critérios de entrada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Shared Cell</w:t>
            </w:r>
          </w:p>
        </w:tc>
        <w:tc>
          <w:tcPr>
            <w:tcW w:type="dxa" w:w="48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API, workers, cache, filas e PostgreSQL compartilhados com isolamento por tenant.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Clientes padrão dentro dos limites homologados.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Isolated Database</w:t>
            </w:r>
          </w:p>
        </w:tc>
        <w:tc>
          <w:tcPr>
            <w:tcW w:type="dxa" w:w="48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Aplicação compartilhada e banco lógico ou instância dedicada.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RPO ou RTO individual, volume alto, contrato ou segurança.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Dedicated Cell</w:t>
            </w:r>
          </w:p>
        </w:tc>
        <w:tc>
          <w:tcPr>
            <w:tcW w:type="dxa" w:w="48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API, workers, filas, cache e banco dedicados; control plane continua compartilhado.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Carga extrema, isolamento contratual ou requisitos regulatórios.</w:t>
            </w:r>
          </w:p>
        </w:tc>
      </w:tr>
    </w:tbl>
    <w:p>
      <w:pPr>
        <w:widowControl/>
      </w:pPr>
      <w:r>
        <w:t>A promoção entre planos é uma operação de plataforma. Ela não cria nova versão do produto. O tenant mantém IDs, configurações, histórico e contratos funcionais durante a movimentação.</w:t>
      </w:r>
    </w:p>
    <w:p>
      <w:pPr>
        <w:pStyle w:val="Heading1"/>
        <w:keepNext/>
        <w:widowControl/>
      </w:pPr>
      <w:r>
        <w:t>6 Control Plane e Data Plane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cantSplit/>
          <w:tblHeader/>
          <w:tblHeader w:val="true"/>
        </w:trP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Control Plane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Provisionar tenants e células, manter tenant routing, planos, módulos, quotas, feature flags, migrations, integrações, chaves e operações de movimentação.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Tenant Router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Resolver tenant para célula usando informação confiável de identidade e manter roteamento simples, rápido e observável.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Data Plane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Executar contratos, cargas, estoque, documentos, títulos, contabilização, consultas operacionais e jobs do cliente.</w:t>
            </w:r>
          </w:p>
        </w:tc>
      </w:tr>
    </w:tbl>
    <w:p>
      <w:pPr>
        <w:widowControl/>
      </w:pPr>
      <w:r>
        <w:t>A indisponibilidade temporária do Control Plane não deve interromper tenants já provisionados. As células mantêm localmente as informações mínimas necessárias para autenticar, autorizar e operar com estabilidade estática.</w:t>
      </w:r>
    </w:p>
    <w:p>
      <w:pPr>
        <w:pStyle w:val="Heading2"/>
      </w:pPr>
      <w:r>
        <w:t>6.1 DatabasePlatformPort e portabilidade de provedor</w:t>
      </w:r>
    </w:p>
    <w:p>
      <w:pPr/>
      <w:r>
        <w:t>O Control Plane deve depender de um DatabasePlatformPort explícito para provisionar e operar a infraestrutura PostgreSQL de cada célula. O domínio, os módulos de negócio e os repositories não podem chamar diretamente APIs do Supabase ou de outro provedor. O port recebe comandos de plataforma e devolve identificadores lógicos, capacidades e estados operacionais; credenciais permanecem em secret manager e nunca são persistidas em tabelas de negócio ou logs.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Capacidade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Operações mínimas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Contrato e proteção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Provisionamento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provisionCell, provisionDatabase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Cria recursos idempotentes e devolve IDs lógicos, região, plano e capacidades; não devolve segredo em texto persistente.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Conectividade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getConnectionDescriptor, rotateCredentials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Entrega referência para secret manager e configuração de pool; rotação não exige mudança no domínio.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Schema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runMigrations, getSchemaVersion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Aplica o mesmo conjunto versionado de migrations em todas as células e registra execução, erro e rollback ou forward fix.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Resiliência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configureBackups, configurePITR, createReadReplica, restoreToPoint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Expõe suporte real do provedor, RPO, RTO, retenção e resultado dos testes de restauração.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Movimentação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snapshot, exportDatabase, importDatabase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Suporta promoção e migração de célula com checksum, reconciliação e estado consultável; a orquestração do tenant permanece no Control Plane.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Encerramento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decommissionDatabase, decommissionCell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Exige política de retenção, aprovação e trilha de auditoria antes da remoção definitiva.</w:t>
            </w:r>
          </w:p>
        </w:tc>
      </w:tr>
    </w:tbl>
    <w:p>
      <w:pPr/>
      <w:r>
        <w:t>Implementações previstas para o mesmo port: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Adapter</w:t>
            </w:r>
          </w:p>
        </w:tc>
        <w:tc>
          <w:tcPr>
            <w:tcW w:type="dxa" w:w="61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Uso previsto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SupabasePostgresPlatformAdapter</w:t>
            </w:r>
          </w:p>
        </w:tc>
        <w:tc>
          <w:tcPr>
            <w:tcW w:type="dxa" w:w="61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Implementação inicial para PostgreSQL gerenciado por célula, usando recursos de gerenciamento do Supabase sem expor dependências do provedor ao domínio.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GcpCloudSqlPostgresPlatformAdapter</w:t>
            </w:r>
          </w:p>
        </w:tc>
        <w:tc>
          <w:tcPr>
            <w:tcW w:type="dxa" w:w="61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Alternativa em Google Cloud SQL para células que exijam operação, rede ou contrato na GCP.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AwsRdsPostgresPlatformAdapter</w:t>
            </w:r>
          </w:p>
        </w:tc>
        <w:tc>
          <w:tcPr>
            <w:tcW w:type="dxa" w:w="61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Alternativa em Amazon RDS PostgreSQL ou Aurora PostgreSQL para requisitos de AWS, escala ou isolamento.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AzureFlexiblePostgresPlatformAdapter</w:t>
            </w:r>
          </w:p>
        </w:tc>
        <w:tc>
          <w:tcPr>
            <w:tcW w:type="dxa" w:w="61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Alternativa em Azure Database for PostgreSQL Flexible Server quando a infraestrutura do cliente exigir Azure.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SelfManagedPostgresPlatformAdapter</w:t>
            </w:r>
          </w:p>
        </w:tc>
        <w:tc>
          <w:tcPr>
            <w:tcW w:type="dxa" w:w="61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Exceção para PostgreSQL administrado pela própria operação; exige justificativa, runbooks e responsabilidade explícita por HA, backup, patch e segurança.</w:t>
            </w:r>
          </w:p>
        </w:tc>
      </w:tr>
    </w:tbl>
    <w:p>
      <w:pPr/>
      <w:r>
        <w:t>O DatabasePlatformPort reduz o acoplamento ao fornecedor, mas não promete troca automática do mecanismo de banco. Mudar entre serviços PostgreSQL deve preservar domínio e contratos, exigindo principalmente novo adapter, infraestrutura, testes e plano de migração. Mudar de PostgreSQL para MySQL, SQL Server ou NoSQL continua sendo uma alteração estrutural de schema, SQL, constraints, RLS, migrations e operação. Os repositories isolam a persistência do domínio, mas podem usar conscientemente capacidades do PostgreSQL na camada de infraestrutura.</w:t>
      </w:r>
    </w:p>
    <w:p>
      <w:pPr>
        <w:pStyle w:val="Heading1"/>
        <w:keepNext/>
        <w:widowControl/>
      </w:pPr>
      <w:r>
        <w:t>7 Arquitetura celular</w:t>
      </w:r>
    </w:p>
    <w:p>
      <w:pPr>
        <w:widowControl/>
      </w:pPr>
      <w:r>
        <w:t>Uma célula é uma cópia independente do workload operacional com capacidade conhecida e testada. Ela possui API, workers, banco, cache, filas, storage lógico, observabilidade e limites. O tenant é a chave natural de particionamento e roteamento.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cantSplit/>
          <w:tblHeader/>
          <w:tblHeader w:val="true"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Componente da célula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Regra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API operacional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Stateless, escalável horizontalmente e sempre consciente do tenant.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PostgreSQL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System of record transacional da célula, com RLS e constraints compostas.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Workers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Pools separados por tipo de tarefa e quotas por tenant.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Fila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Mensagens carregam tenant, idempotency key, correlation ID e prioridade.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Cache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Toda chave inclui tenant e versão de regra ou projeção quando aplicável.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Storage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Prefixos, permissões e ciclo de vida separados por tenant.</w:t>
            </w:r>
          </w:p>
        </w:tc>
      </w:tr>
    </w:tbl>
    <w:p>
      <w:pPr>
        <w:pStyle w:val="Heading1"/>
        <w:keepNext/>
        <w:widowControl/>
      </w:pPr>
      <w:r>
        <w:t>8 Modelo de identidade e isolamento no banco</w:t>
      </w:r>
    </w:p>
    <w:p>
      <w:pPr>
        <w:widowControl/>
      </w:pPr>
      <w:r>
        <w:t>Tenant é diferente de empresa, unidade, usuário e grupo econômico. Um tenant pode possuir várias empresas legais e estabelecimentos. Usuários podem participar de mais de um tenant somente por memberships explícitos e auditáveis.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cantSplit/>
          <w:tblHeader/>
          <w:tblHeader w:val="true"/>
        </w:trPr>
        <w:tc>
          <w:tcPr>
            <w:tcW w:type="dxa" w:w="244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Entidade</w:t>
            </w:r>
          </w:p>
        </w:tc>
        <w:tc>
          <w:tcPr>
            <w:tcW w:type="dxa" w:w="73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Função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Tenant</w:t>
            </w:r>
          </w:p>
        </w:tc>
        <w:tc>
          <w:tcPr>
            <w:tcW w:type="dxa" w:w="73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Fronteira comercial, de configuração, segurança, consumo e operação SaaS.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Legal Entity</w:t>
            </w:r>
          </w:p>
        </w:tc>
        <w:tc>
          <w:tcPr>
            <w:tcW w:type="dxa" w:w="73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Empresa responsável por contratos, documentos, tributos e contabilidade.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Establishment</w:t>
            </w:r>
          </w:p>
        </w:tc>
        <w:tc>
          <w:tcPr>
            <w:tcW w:type="dxa" w:w="73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Estabelecimento fiscal associado a CNPJ, UF, regime e séries.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Unit</w:t>
            </w:r>
          </w:p>
        </w:tc>
        <w:tc>
          <w:tcPr>
            <w:tcW w:type="dxa" w:w="73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Unidade operacional, armazém, escritório, pátio ou local de execução.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Membership</w:t>
            </w:r>
          </w:p>
        </w:tc>
        <w:tc>
          <w:tcPr>
            <w:tcW w:type="dxa" w:w="73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Vínculo do usuário com tenant, papéis, unidades, escopos e vigência.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"/>
        <w:gridCol w:w="9475"/>
      </w:tblGrid>
      <w:tr>
        <w:trPr>
          <w:cantSplit/>
          <w:tblHeader w:val="true"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rPr>
                <w:b/>
              </w:rP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rPr>
                <w:b/>
              </w:rPr>
              <w:t>Toda tabela pertencente ao cliente inclui tenant_id.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Chaves únicas e estrangeiras relevantes incluem tenant_id para impedir vínculos cruzados.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RLS é habilitado com política de negação por padrão e FORCE ROW LEVEL SECURITY quando aplicável.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O contexto do tenant é definido dentro da transação e nunca aceito diretamente de um campo livre enviado pelo cliente.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A aplicação valida tenant, papel, unidade, objeto e ação; RLS funciona como defesa adicional, não única.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Acesso de suporte usa identidade separada, motivo obrigatório, duração limitada e auditoria completa.</w:t>
            </w:r>
          </w:p>
        </w:tc>
      </w:tr>
    </w:tbl>
    <w:p>
      <w:pPr>
        <w:pStyle w:val="Heading1"/>
        <w:keepNext/>
        <w:widowControl/>
      </w:pPr>
      <w:r>
        <w:t>9 Arquitetura de aplicação</w:t>
      </w:r>
    </w:p>
    <w:p>
      <w:pPr>
        <w:widowControl/>
      </w:pPr>
      <w:r>
        <w:t>O backend começa como monólito modular. Essa escolha reduz complexidade distribuída durante o aprendizado do domínio, preservando fronteiras que permitem extração posterior quando carga, equipe, criticidade ou ciclo de implantação justificarem.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cantSplit/>
          <w:tblHeader/>
          <w:tblHeader w:val="true"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Responsabilidade principal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Identity and Tenancy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Tenants, empresas, unidades, memberships, papéis e políticas.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Commercial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Ofertas, demandas, formação de preço, negociação e aprovação.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Contracts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Contratos, obrigações, assinatura, fixações, aditivos e saldos.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Execution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Agenda, cargas, transporte, pátio, peso, qualidade e ocorrências.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Inventory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Lotes, movimentos, titularidade, disponibilidade e reconciliação.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Finance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Liquidações, títulos, tesouraria, pagamentos, recebimentos e caixa.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Tax and Accounting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Documentos, obrigações, eventos contábeis, conciliação e fechamento.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Risk and Analytics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Posição, exposição, limites, MTM, P&amp;L, read models e indicadores.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Platform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Control plane, integrações, jobs, migrações, auditoria e observabilidade.</w:t>
            </w:r>
          </w:p>
        </w:tc>
      </w:tr>
    </w:tbl>
    <w:p>
      <w:pPr>
        <w:pStyle w:val="Heading2"/>
      </w:pPr>
      <w:r>
        <w:t>9.1 Tipagem de domínio valores monetários datas e fusos</w:t>
      </w:r>
    </w:p>
    <w:p>
      <w:pPr/>
      <w:r>
        <w:t>A plataforma usa TypeScript com tipagem estrita e tipos de domínio explícitos. Tipos estáticos não substituem validação em runtime: todo dado vindo de HTTP, fila, arquivo, banco, integração ou IA é desconhecido até ser validado. DTOs públicos possuem schema executável e documentação OpenAPI; modelos do ORM não são expostos diretamente como contratos de API.</w:t>
      </w:r>
    </w:p>
    <w:p>
      <w:pPr>
        <w:pStyle w:val="Heading3"/>
      </w:pPr>
      <w:r>
        <w:t>9.1.1 Regras obrigatórias de TypeScript</w:t>
      </w:r>
    </w:p>
    <w:p>
      <w:pPr>
        <w:pStyle w:val="ListBullet"/>
      </w:pPr>
      <w:r>
        <w:t>O tsconfig habilita strict, noUncheckedIndexedAccess, exactOptionalPropertyTypes, useUnknownInCatchVariables e noImplicitOverride.</w:t>
      </w:r>
    </w:p>
    <w:p>
      <w:pPr>
        <w:pStyle w:val="ListBullet"/>
      </w:pPr>
      <w:r>
        <w:t>any é proibido no código de domínio e aplicação. Exceções de integração devem ficar isoladas, justificadas e convertidas para unknown antes da validação.</w:t>
      </w:r>
    </w:p>
    <w:p>
      <w:pPr>
        <w:pStyle w:val="ListBullet"/>
      </w:pPr>
      <w:r>
        <w:t>IDs usam tipos nominais ou branded, como TenantId, ContractId e SettlementId, para impedir a troca acidental de identificadores estruturalmente iguais.</w:t>
      </w:r>
    </w:p>
    <w:p>
      <w:pPr>
        <w:pStyle w:val="ListBullet"/>
      </w:pPr>
      <w:r>
        <w:t>Estados, unidades, moedas e categorias usam unions, enums ou value objects canônicos; strings livres não atravessam o domínio sem normalização.</w:t>
      </w:r>
    </w:p>
    <w:p>
      <w:pPr>
        <w:pStyle w:val="ListBullet"/>
      </w:pPr>
      <w:r>
        <w:t>DTOs e eventos são validados em runtime por schemas versionados. Alterações incompatíveis exigem nova versão ou janela de compatibilidade.</w:t>
      </w:r>
    </w:p>
    <w:p>
      <w:pPr>
        <w:pStyle w:val="ListBullet"/>
      </w:pPr>
      <w:r>
        <w:t>Repositories fazem o mapeamento entre tipos do driver e value objects. Strings NUMERIC do PostgreSQL nunca chegam ao domínio como number.</w:t>
      </w:r>
    </w:p>
    <w:p>
      <w:pPr>
        <w:pStyle w:val="ListBullet"/>
      </w:pPr>
      <w:r>
        <w:t>Regras de lint e CI bloqueiam casts inseguros, promises não tratadas, comparação de tipos incompatíveis e violações dos tipos monetários e temporais.</w:t>
      </w:r>
    </w:p>
    <w:p>
      <w:pPr>
        <w:pStyle w:val="Heading3"/>
      </w:pPr>
      <w:r>
        <w:t>9.1.2 Valores monetários quantidades taxas e arredondamento</w:t>
      </w:r>
    </w:p>
    <w:p>
      <w:pPr/>
      <w:r>
        <w:t>JavaScript number e colunas FLOAT REAL ou DOUBLE PRECISION não podem representar dinheiro, preço, quantidade, taxa, percentual ou câmbio no domínio financeiro. A aplicação usa Decimal por biblioteca aprovada e value objects imutáveis. JSON transmite decimais como strings, preservando escala e impedindo conversão silenciosa para ponto flutuante.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Conceito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Tipo de domínio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Contrato API evento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PostgreSQL inicial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Valor monetário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Money com Decimal e CurrencyCode ISO 4217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amount como string decimal e currency como código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NUMERIC 24 6 e código de moeda; liquidação aplica a escala da moeda na regra de contabilização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Preço unitário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UnitPrice com Decimal moeda e unidade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value como string decimal mais currency e unit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NUMERIC 24 10 mais unidade e moeda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Quantidade peso volume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Quantity com Decimal e UnitCode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value como string decimal mais unit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NUMERIC 24 6 mais unidade canônica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Taxa percentual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Rate com Decimal em fração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value como string; 0.002 representa 0.2 por cento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NUMERIC 18 12; nunca misturar percentual exibido com fração interna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Câmbio índice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FxRate ou IndexValue com Decimal e par ou índice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value como string e metadados da cotação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NUMERIC 24 12 com fonte data hora e versão</w:t>
            </w:r>
          </w:p>
        </w:tc>
      </w:tr>
    </w:tbl>
    <w:p>
      <w:pPr>
        <w:pStyle w:val="ListBullet"/>
      </w:pPr>
      <w:r>
        <w:t>As precisões acima são baseline. Cada campo deve declarar precision, scale, unidade e faixa; reduzir escala exige decisão explícita e migration segura.</w:t>
      </w:r>
    </w:p>
    <w:p>
      <w:pPr>
        <w:pStyle w:val="ListBullet"/>
      </w:pPr>
      <w:r>
        <w:t>Arredondamento ocorre somente no ponto definido pela regra fiscal, contratual, contábil ou de liquidação. O sistema registra modo, escala, regra e versão usados quando o resultado for material.</w:t>
      </w:r>
    </w:p>
    <w:p>
      <w:pPr>
        <w:pStyle w:val="ListBullet"/>
      </w:pPr>
      <w:r>
        <w:t>Cálculos intermediários preservam precisão superior à apresentação. Formatação de tela nunca altera o valor persistido.</w:t>
      </w:r>
    </w:p>
    <w:p>
      <w:pPr>
        <w:pStyle w:val="ListBullet"/>
      </w:pPr>
      <w:r>
        <w:t>Somas, rateios e conciliações têm testes de propriedades e casos de borda, incluindo resíduos de centavos, cargas fracionadas, taxas pequenas e volumes altos.</w:t>
      </w:r>
    </w:p>
    <w:p>
      <w:pPr>
        <w:pStyle w:val="ListBullet"/>
      </w:pPr>
      <w:r>
        <w:t>Constraints no banco validam sinal, faixa e relações essenciais. A aplicação não depende apenas da tipagem TypeScript para impedir estados financeiros impossíveis.</w:t>
      </w:r>
    </w:p>
    <w:p>
      <w:pPr>
        <w:pStyle w:val="Heading3"/>
      </w:pPr>
      <w:r>
        <w:t>9.1.3 Datas horários e fusos</w:t>
      </w:r>
    </w:p>
    <w:p>
      <w:pPr/>
      <w:r>
        <w:t>A modelagem distingue data civil, horário local, instante UTC e horário associado a uma região. Esses conceitos não são intercambiáveis. Serviços, logs, eventos e timestamps técnicos operam em UTC; apresentação e regras locais usam o fuso IANA configurado no tenant, estabelecimento ou evento.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Conceito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Representação TypeScript e API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PostgreSQL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Regra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Data de negócio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LocalDate no formato YYYY-MM-DD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Não converter para UTC nem criar Date a partir da string. Usar para vencimento, competência, safra e data contratual sem horário.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Instante global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InstantUtc em RFC 3339 com Z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Persistir e trafegar em UTC. Usar para criação, alteração, auditoria, processamento e ocorrência real.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Horário local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LocalTime no formato HH:mm:ss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TIME WITHOUT TIME ZONE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Só possui significado junto de data e fuso ou em regra recorrente local.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Evento local agendado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InstantUtc mais timeZone IANA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TIMESTAMPTZ mais coluna de fuso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Guardar o instante e a região original quando o horário local informado pelo usuário precisar ser reproduzido.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Recorrência local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LocalDate ou LocalTime mais timeZone IANA e regra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DATE ou TIME mais fuso e regra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Gerar cada execução como novo instante UTC; não fixar apenas offset numérico.</w:t>
            </w:r>
          </w:p>
        </w:tc>
      </w:tr>
    </w:tbl>
    <w:p>
      <w:pPr>
        <w:pStyle w:val="ListBullet"/>
      </w:pPr>
      <w:r>
        <w:t>O banco, containers, workers e testes executam com timezone padrão UTC. Nenhuma regra depende do timezone local da máquina.</w:t>
      </w:r>
    </w:p>
    <w:p>
      <w:pPr>
        <w:pStyle w:val="ListBullet"/>
      </w:pPr>
      <w:r>
        <w:t>Tenant e estabelecimento armazenam identificadores IANA, como America/Sao_Paulo ou America/Cuiaba. UTC-03:00 isolado não substitui um fuso regional.</w:t>
      </w:r>
    </w:p>
    <w:p>
      <w:pPr>
        <w:pStyle w:val="ListBullet"/>
      </w:pPr>
      <w:r>
        <w:t>Datas sem horário permanecem strings tipadas ou objetos LocalDate; é proibido interpretar YYYY-MM-DD com new Date por risco de mudança de dia.</w:t>
      </w:r>
    </w:p>
    <w:p>
      <w:pPr>
        <w:pStyle w:val="ListBullet"/>
      </w:pPr>
      <w:r>
        <w:t>APIs e eventos usam ISO 8601 ou RFC 3339. Formatos localizados como 01/10/2026 existem somente na apresentação e nunca em contratos técnicos.</w:t>
      </w:r>
    </w:p>
    <w:p>
      <w:pPr>
        <w:pStyle w:val="ListBullet"/>
      </w:pPr>
      <w:r>
        <w:t>Conversão de fuso ocorre nas bordas de entrada e apresentação. Repositories persistem o tipo correspondente sem conversões implícitas.</w:t>
      </w:r>
    </w:p>
    <w:p>
      <w:pPr>
        <w:pStyle w:val="ListBullet"/>
      </w:pPr>
      <w:r>
        <w:t>Jobs e regras sensíveis ao calendário usam Clock injetável e serviço central de calendário, feriados e timezone, permitindo testes determinísticos.</w:t>
      </w:r>
    </w:p>
    <w:p>
      <w:pPr>
        <w:pStyle w:val="ListBullet"/>
      </w:pPr>
      <w:r>
        <w:t>Testes cobrem virada de dia e mês, ano bissexto, horário de verão histórico, regiões distintas, importações sem fuso e comparação entre data de negócio e instante real.</w:t>
      </w:r>
    </w:p>
    <w:p>
      <w:pPr>
        <w:pStyle w:val="Heading1"/>
        <w:keepNext/>
        <w:widowControl/>
      </w:pPr>
      <w:r>
        <w:t>10 Eventos filas e processamento assíncrono</w:t>
      </w:r>
    </w:p>
    <w:p>
      <w:pPr>
        <w:widowControl/>
      </w:pPr>
      <w:r>
        <w:t>Transações do domínio gravam estado e eventos em uma outbox na mesma transação. Publicadores enviam esses eventos para filas e consumidores idempotentes atualizam projeções, integrações e tarefas. O sistema assume entrega ao menos uma vez e controla duplicidade por chaves de idempotência.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cantSplit/>
          <w:tblHeader/>
          <w:tblHeader w:val="true"/>
        </w:trPr>
        <w:tc>
          <w:tcPr>
            <w:tcW w:type="dxa" w:w="48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Síncrono</w:t>
            </w:r>
          </w:p>
        </w:tc>
        <w:tc>
          <w:tcPr>
            <w:tcW w:type="dxa" w:w="48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Assíncrono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Validação de comando, regra crítica, persistência e resposta operacional.</w:t>
            </w:r>
          </w:p>
        </w:tc>
        <w:tc>
          <w:tcPr>
            <w:tcW w:type="dxa" w:w="48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Importação, OCR, IA, relatórios, exportações, notificações e reprocessamentos.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Consulta necessária para decisão imediata.</w:t>
            </w:r>
          </w:p>
        </w:tc>
        <w:tc>
          <w:tcPr>
            <w:tcW w:type="dxa" w:w="48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Atualização de read models, analytics e integrações externas.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Operações curtas e com timeout restrito.</w:t>
            </w:r>
          </w:p>
        </w:tc>
        <w:tc>
          <w:tcPr>
            <w:tcW w:type="dxa" w:w="48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Jobs longos com retry, backoff, dead letter e progresso consultável.</w:t>
            </w:r>
          </w:p>
        </w:tc>
      </w:tr>
    </w:tbl>
    <w:p>
      <w:pPr>
        <w:pStyle w:val="Heading1"/>
        <w:keepNext/>
        <w:widowControl/>
      </w:pPr>
      <w:r>
        <w:t>11 Banco transacional read models e analytics</w:t>
      </w:r>
    </w:p>
    <w:p>
      <w:pPr>
        <w:widowControl/>
      </w:pPr>
      <w:r>
        <w:t>O PostgreSQL operacional preserva registros oficiais e transações. Dashboards e relatórios não devem recalcular cadeias extensas de contratos, cargas, notas, títulos e lançamentos a cada abertura de tela.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cantSplit/>
          <w:tblHeader/>
          <w:tblHeader w:val="true"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30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Atualização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OLTP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Contratos, cargas, estoque, documentos, títulos, regras e lançamentos oficiais.</w:t>
            </w:r>
          </w:p>
        </w:tc>
        <w:tc>
          <w:tcPr>
            <w:tcW w:type="dxa" w:w="30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Transacional e imediata.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Read models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Posição, margem, caixa, fila, exceções e indicadores por papel.</w:t>
            </w:r>
          </w:p>
        </w:tc>
        <w:tc>
          <w:tcPr>
            <w:tcW w:type="dxa" w:w="30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Eventos e jobs incrementais.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Replica de leitura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Consultas operacionais pesadas e relatórios sem escrita.</w:t>
            </w:r>
          </w:p>
        </w:tc>
        <w:tc>
          <w:tcPr>
            <w:tcW w:type="dxa" w:w="30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Replicação com atraso monitorado.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Analytics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Histórico amplo, comparações, tendências, BI e análises cruzadas.</w:t>
            </w:r>
          </w:p>
        </w:tc>
        <w:tc>
          <w:tcPr>
            <w:tcW w:type="dxa" w:w="30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CDC ou cargas incrementais.</w:t>
            </w:r>
          </w:p>
        </w:tc>
      </w:tr>
    </w:tbl>
    <w:p>
      <w:pPr>
        <w:widowControl/>
      </w:pPr>
      <w:r>
        <w:t>Particionamento físico será aplicado somente a tabelas grandes e com padrão de acesso comprovado, priorizando tempo e, quando necessário, hash ou agrupamento compatível com células. Toda partição mantém tenant e integridade do domínio.</w:t>
      </w:r>
    </w:p>
    <w:p>
      <w:pPr>
        <w:pStyle w:val="Heading1"/>
        <w:keepNext/>
        <w:widowControl/>
      </w:pPr>
      <w:r>
        <w:t>12 Relatórios e proteção do workload operacional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"/>
        <w:gridCol w:w="9475"/>
      </w:tblGrid>
      <w:tr>
        <w:trPr>
          <w:cantSplit/>
          <w:tblHeader w:val="true"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rPr>
                <w:b/>
              </w:rP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rPr>
                <w:b/>
              </w:rPr>
              <w:t>Dashboards usam read models e agregações com horário de atualização visível.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Relatórios longos e exportações são jobs assíncronos com arquivo no storage.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Consultas possuem timeout, limite de linhas, paginação e orçamento por tenant.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Usuários não executam SQL livre no banco operacional.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Relatórios ad hoc usam réplica ou camada analítica.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Materialized views e caches são derivados, versionados e reconstruíveis.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Filtros obrigatórios evitam varreduras globais acidentais.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cantSplit/>
          <w:tblHeader/>
          <w:tblHeader w:val="true"/>
        </w:trPr>
        <w:tc>
          <w:tcPr>
            <w:tcW w:type="dxa" w:w="27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Workload</w:t>
            </w:r>
          </w:p>
        </w:tc>
        <w:tc>
          <w:tcPr>
            <w:tcW w:type="dxa" w:w="37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Destino inicial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Evolução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Dashboard operacional</w:t>
            </w:r>
          </w:p>
        </w:tc>
        <w:tc>
          <w:tcPr>
            <w:tcW w:type="dxa" w:w="37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Read model no PostgreSQL da célula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Cache e serviço de projeções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Relatório gerencial</w:t>
            </w:r>
          </w:p>
        </w:tc>
        <w:tc>
          <w:tcPr>
            <w:tcW w:type="dxa" w:w="37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Réplica de leitura e agregações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Warehouse ou banco colunar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Exportação massiva</w:t>
            </w:r>
          </w:p>
        </w:tc>
        <w:tc>
          <w:tcPr>
            <w:tcW w:type="dxa" w:w="37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Worker com fila e storage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Workers ou células dedicadas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Auditoria e investigação</w:t>
            </w:r>
          </w:p>
        </w:tc>
        <w:tc>
          <w:tcPr>
            <w:tcW w:type="dxa" w:w="37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Tabelas append only e busca indexada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Arquivo frio e mecanismo especializado</w:t>
            </w:r>
          </w:p>
        </w:tc>
      </w:tr>
    </w:tbl>
    <w:p>
      <w:pPr>
        <w:pStyle w:val="Heading1"/>
        <w:keepNext/>
        <w:widowControl/>
      </w:pPr>
      <w:r>
        <w:t>13 Plataforma de implantação e migração</w:t>
      </w:r>
    </w:p>
    <w:p>
      <w:pPr>
        <w:widowControl/>
      </w:pPr>
      <w:r>
        <w:t>A implantação é um produto interno repetível. Adaptadores conhecem sistemas e formatos de origem, mas todos convergem para um modelo canônico e para o mesmo pipeline de validação. Nenhum arquivo importado entra diretamente nas tabelas oficiais.</w:t>
      </w:r>
    </w:p>
    <w:p>
      <w:pPr>
        <w:widowControl/>
        <w:ind w:left="403" w:hanging="403"/>
      </w:pPr>
      <w:r>
        <w:t>1.  Receber e armazenar a extração original de forma imutável.</w:t>
      </w:r>
    </w:p>
    <w:p>
      <w:pPr>
        <w:widowControl/>
        <w:ind w:left="403" w:hanging="403"/>
      </w:pPr>
      <w:r>
        <w:t>2.  Criar perfil dos dados, volumes, chaves, lacunas, duplicidades e qualidade.</w:t>
      </w:r>
    </w:p>
    <w:p>
      <w:pPr>
        <w:widowControl/>
        <w:ind w:left="403" w:hanging="403"/>
      </w:pPr>
      <w:r>
        <w:t>3.  Mapear campos e valores para o modelo canônico do Tier Trade.</w:t>
      </w:r>
    </w:p>
    <w:p>
      <w:pPr>
        <w:widowControl/>
        <w:ind w:left="403" w:hanging="403"/>
      </w:pPr>
      <w:r>
        <w:t>4.  Transformar e carregar dados em staging isolado por tenant e lote.</w:t>
      </w:r>
    </w:p>
    <w:p>
      <w:pPr>
        <w:widowControl/>
        <w:ind w:left="403" w:hanging="403"/>
      </w:pPr>
      <w:r>
        <w:t>5.  Executar validações estruturais, de domínio, saldos e relacionamentos.</w:t>
      </w:r>
    </w:p>
    <w:p>
      <w:pPr>
        <w:widowControl/>
        <w:ind w:left="403" w:hanging="403"/>
      </w:pPr>
      <w:r>
        <w:t>6.  Apresentar erros, decisões de mapeamento e impactos para aprovação.</w:t>
      </w:r>
    </w:p>
    <w:p>
      <w:pPr>
        <w:widowControl/>
        <w:ind w:left="403" w:hanging="403"/>
      </w:pPr>
      <w:r>
        <w:t>7.  Efetivar lote idempotente no registro oficial.</w:t>
      </w:r>
    </w:p>
    <w:p>
      <w:pPr>
        <w:widowControl/>
        <w:ind w:left="403" w:hanging="403"/>
      </w:pPr>
      <w:r>
        <w:t>8.  Reconciliar quantidades, valores, documentos, títulos e saldos com a origem.</w:t>
      </w:r>
    </w:p>
    <w:p>
      <w:pPr>
        <w:widowControl/>
        <w:ind w:left="403" w:hanging="403"/>
      </w:pPr>
      <w:r>
        <w:t>9.  Executar ensaios, carga delta, corte e rollback controlado.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cantSplit/>
          <w:tblHeader/>
          <w:tblHeader w:val="true"/>
        </w:trPr>
        <w:tc>
          <w:tcPr>
            <w:tcW w:type="dxa" w:w="30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Metadado de linhagem</w:t>
            </w:r>
          </w:p>
        </w:tc>
        <w:tc>
          <w:tcPr>
            <w:tcW w:type="dxa" w:w="67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source_system</w:t>
            </w:r>
          </w:p>
        </w:tc>
        <w:tc>
          <w:tcPr>
            <w:tcW w:type="dxa" w:w="67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Identificar produto e versão de origem.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source_record_id</w:t>
            </w:r>
          </w:p>
        </w:tc>
        <w:tc>
          <w:tcPr>
            <w:tcW w:type="dxa" w:w="67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Preservar identidade do registro legado.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import_batch_id</w:t>
            </w:r>
          </w:p>
        </w:tc>
        <w:tc>
          <w:tcPr>
            <w:tcW w:type="dxa" w:w="67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Agrupar, auditar e reverter a carga.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mapping_version</w:t>
            </w:r>
          </w:p>
        </w:tc>
        <w:tc>
          <w:tcPr>
            <w:tcW w:type="dxa" w:w="67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Reproduzir transformação e decisão de mapeamento.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original_hash</w:t>
            </w:r>
          </w:p>
        </w:tc>
        <w:tc>
          <w:tcPr>
            <w:tcW w:type="dxa" w:w="67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Detectar alteração ou duplicidade da origem.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raw_reference</w:t>
            </w:r>
          </w:p>
        </w:tc>
        <w:tc>
          <w:tcPr>
            <w:tcW w:type="dxa" w:w="67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Localizar arquivo e linha originais.</w:t>
            </w:r>
          </w:p>
        </w:tc>
      </w:tr>
    </w:tbl>
    <w:p>
      <w:pPr>
        <w:pStyle w:val="Heading1"/>
        <w:keepNext/>
        <w:widowControl/>
      </w:pPr>
      <w:r>
        <w:t>14 Configuração sem fork de código</w:t>
      </w:r>
    </w:p>
    <w:p>
      <w:pPr>
        <w:widowControl/>
      </w:pPr>
      <w:r>
        <w:t>Diferenças entre tradings devem ser absorvidas por configuração e extensões controladas. Customização não significa manter branches, migrations ou releases particulares por cliente.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cantSplit/>
          <w:tblHeader/>
          <w:tblHeader w:val="true"/>
        </w:trPr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Configurável por tenant</w:t>
            </w:r>
          </w:p>
        </w:tc>
        <w:tc>
          <w:tcPr>
            <w:tcW w:type="dxa" w:w="46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Governança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Empresas, estabelecimentos, unidades e commodities</w:t>
            </w:r>
          </w:p>
        </w:tc>
        <w:tc>
          <w:tcPr>
            <w:tcW w:type="dxa" w:w="46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Cadastros versionados e vigentes.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Tipos de contrato, fluxos, alçadas e documentos</w:t>
            </w:r>
          </w:p>
        </w:tc>
        <w:tc>
          <w:tcPr>
            <w:tcW w:type="dxa" w:w="46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Templates e políticas com aprovação.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Preço, qualidade, custos, comissões e tolerâncias</w:t>
            </w:r>
          </w:p>
        </w:tc>
        <w:tc>
          <w:tcPr>
            <w:tcW w:type="dxa" w:w="46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Motores determinísticos e versões reproduzíveis.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Pacotes fiscais e plano de contas</w:t>
            </w:r>
          </w:p>
        </w:tc>
        <w:tc>
          <w:tcPr>
            <w:tcW w:type="dxa" w:w="46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Homologação por especialista e vigência.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Campos adicionais</w:t>
            </w:r>
          </w:p>
        </w:tc>
        <w:tc>
          <w:tcPr>
            <w:tcW w:type="dxa" w:w="46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Metadados tipados; JSONB não substitui entidades centrais.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Integrações e relatórios</w:t>
            </w:r>
          </w:p>
        </w:tc>
        <w:tc>
          <w:tcPr>
            <w:tcW w:type="dxa" w:w="46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Adapters e visões salvas sem acesso direto ao banco.</w:t>
            </w:r>
          </w:p>
        </w:tc>
      </w:tr>
    </w:tbl>
    <w:p>
      <w:pPr>
        <w:pStyle w:val="Heading1"/>
        <w:keepNext/>
        <w:widowControl/>
      </w:pPr>
      <w:r>
        <w:t>15 Segurança auditoria e privacidade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"/>
        <w:gridCol w:w="9475"/>
      </w:tblGrid>
      <w:tr>
        <w:trPr>
          <w:cantSplit/>
          <w:tblHeader w:val="true"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rPr>
                <w:b/>
              </w:rP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rPr>
                <w:b/>
              </w:rPr>
              <w:t>Autenticação central com MFA para perfis privilegiados e suporte futuro a SSO corporativo.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RBAC combinado com escopos de unidade, empresa, carteira, valor, ação e objeto.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Segregação de funções para aprovação comercial, pagamento, fiscal, contábil e administração.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Criptografia em trânsito e em repouso; chaves dedicadas quando o plano exigir.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Credenciais de bancos, ERPs, assinatura e integrações armazenadas em secrets manager.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Audit trail append only para comandos, aprovações, alterações e acesso administrativo.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Documentos usam URLs temporárias e autorização reavaliada a cada acesso.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Testes de isolamento multi-tenant fazem parte da pipeline de entrega.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Dados pessoais seguem minimização, finalidade, retenção e direitos aplicáveis à LGPD.</w:t>
            </w:r>
          </w:p>
        </w:tc>
      </w:tr>
    </w:tbl>
    <w:p>
      <w:pPr>
        <w:pStyle w:val="Heading1"/>
        <w:keepNext/>
        <w:widowControl/>
      </w:pPr>
      <w:r>
        <w:t>16 Estabilidade performance e noisy neighbor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cantSplit/>
          <w:tblHeader/>
          <w:tblHeader w:val="true"/>
        </w:trPr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Controle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Aplicação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Rate limit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Limite por tenant, usuário, integração e endpoint.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Query budget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Timeout, paginação, limite de linhas e bloqueio de consultas sem filtro.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Job quota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Concorrência e prioridade por tenant e tipo de tarefa.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Fair scheduling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Importação ou relatório de um tenant não monopoliza workers.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Circuit breaker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Falha externa não esgota conexões ou filas internas.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Connection pool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Orçamento por célula e por workload; transações curtas.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Promotion threshold</w:t>
            </w:r>
          </w:p>
        </w:tc>
        <w:tc>
          <w:tcPr>
            <w:tcW w:type="dxa" w:w="72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Tenant é movido quando consumo sustentado ou SLA excedem a célula compartilhada.</w:t>
            </w:r>
          </w:p>
        </w:tc>
      </w:tr>
    </w:tbl>
    <w:p>
      <w:pPr>
        <w:pStyle w:val="Heading1"/>
        <w:keepNext/>
        <w:widowControl/>
      </w:pPr>
      <w:r>
        <w:t>17 Backup recuperação e continuidade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"/>
        <w:gridCol w:w="9475"/>
      </w:tblGrid>
      <w:tr>
        <w:trPr>
          <w:cantSplit/>
          <w:tblHeader w:val="true"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rPr>
                <w:b/>
              </w:rP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rPr>
                <w:b/>
              </w:rPr>
              <w:t>Backup automático e point in time recovery por banco e célula.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Alta disponibilidade e réplica conforme RPO e RTO do plano.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Restaurações testadas periodicamente, não apenas backups declarados como concluídos.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Procedimento de restauração por tenant: restaurar célula em ambiente temporário, extrair tenant, validar e reimportar com auditoria.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Cliente que exige recuperação completamente independente deve usar banco dedicado.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Arquivos críticos têm versionamento, retenção e política contra exclusão acidental.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Runbooks cobrem falha de célula, indisponibilidade de integração, fila represada e corrupção lógica.</w:t>
            </w:r>
          </w:p>
        </w:tc>
      </w:tr>
    </w:tbl>
    <w:p>
      <w:pPr>
        <w:pStyle w:val="Heading1"/>
        <w:keepNext/>
        <w:widowControl/>
      </w:pPr>
      <w:r>
        <w:t>18 Observabilidade SLOs e capacidade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cantSplit/>
          <w:tblHeader/>
          <w:tblHeader w:val="true"/>
        </w:trP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Dimensão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Métricas mínimas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Tenant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Requests, latência, erros, jobs, dados, storage, IA e consultas pesadas.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Célula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CPU, memória, IOPS, conexões, locks, replicação, filas e saturação.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Domínio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Contratos, cargas, liquidações, documentos e reconciliações processados ou falhos.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Experiência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Disponibilidade, p95 e p99, atraso de projeções e tempo de geração de relatório.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Negócio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Custo por tenant, carga, documento, relatório, integração e uso de IA.</w:t>
            </w:r>
          </w:p>
        </w:tc>
      </w:tr>
    </w:tbl>
    <w:p>
      <w:pPr>
        <w:widowControl/>
      </w:pPr>
      <w:r>
        <w:t>Logs, métricas e traces incluem tenant_id, cell_id, correlation_id, actor_id e operação, com controles para não registrar conteúdo sensível desnecessário.</w:t>
      </w:r>
    </w:p>
    <w:p>
      <w:pPr>
        <w:pStyle w:val="Heading1"/>
        <w:keepNext/>
        <w:widowControl/>
      </w:pPr>
      <w:r>
        <w:t>19 Ciclo de vida e movimentação de tenants</w:t>
      </w:r>
    </w:p>
    <w:p>
      <w:pPr>
        <w:widowControl/>
        <w:ind w:left="403" w:hanging="403"/>
      </w:pPr>
      <w:r>
        <w:t>1.  Provisionar tenant, célula, banco, storage, configurações e limites.</w:t>
      </w:r>
    </w:p>
    <w:p>
      <w:pPr>
        <w:widowControl/>
        <w:ind w:left="403" w:hanging="403"/>
      </w:pPr>
      <w:r>
        <w:t>2.  Importar cadastros e saldos iniciais por lotes reconciliados.</w:t>
      </w:r>
    </w:p>
    <w:p>
      <w:pPr>
        <w:widowControl/>
        <w:ind w:left="403" w:hanging="403"/>
      </w:pPr>
      <w:r>
        <w:t>3.  Operar em paralelo e medir consumo, qualidade e estabilidade.</w:t>
      </w:r>
    </w:p>
    <w:p>
      <w:pPr>
        <w:widowControl/>
        <w:ind w:left="403" w:hanging="403"/>
      </w:pPr>
      <w:r>
        <w:t>4.  Promover tenant para banco ou célula dedicada quando critérios forem atingidos.</w:t>
      </w:r>
    </w:p>
    <w:p>
      <w:pPr>
        <w:widowControl/>
        <w:ind w:left="403" w:hanging="403"/>
      </w:pPr>
      <w:r>
        <w:t>5.  Executar snapshot, carga inicial, sincronização incremental e janela de corte.</w:t>
      </w:r>
    </w:p>
    <w:p>
      <w:pPr>
        <w:widowControl/>
        <w:ind w:left="403" w:hanging="403"/>
      </w:pPr>
      <w:r>
        <w:t>6.  Atualizar tenant routing e validar leitura, escrita, filas, arquivos e integrações.</w:t>
      </w:r>
    </w:p>
    <w:p>
      <w:pPr>
        <w:widowControl/>
        <w:ind w:left="403" w:hanging="403"/>
      </w:pPr>
      <w:r>
        <w:t>7.  Preservar rollback até reconciliação e aceite do cliente.</w:t>
      </w:r>
    </w:p>
    <w:p>
      <w:pPr>
        <w:widowControl/>
        <w:ind w:left="403" w:hanging="403"/>
      </w:pPr>
      <w:r>
        <w:t>8.  Arquivar ou encerrar tenant conforme contrato e política de retenção.</w:t>
      </w:r>
    </w:p>
    <w:p>
      <w:pPr>
        <w:pStyle w:val="Heading1"/>
        <w:keepNext/>
        <w:widowControl/>
      </w:pPr>
      <w:r>
        <w:t>20 Sequência de implementação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cantSplit/>
          <w:tblHeader/>
          <w:tblHeader w:val="true"/>
        </w:trP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Entrega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Fundação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Tenant context, memberships, autorização, RLS, auditoria, storage e observabilidade.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Primeira célula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API, PostgreSQL, workers, filas, cache, backups e tenant routing mínimo.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Vertical slice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Primeira jornada contrato até margem com eventos e read models.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Implantação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Staging, mapeamento, validação, import batch e reconciliação.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Relatórios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Read models, jobs assíncronos, réplica e limites de consulta.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Isolamento avançado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Automação de banco dedicado, movimentação de tenant e nova célula.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Analytics</w:t>
            </w:r>
          </w:p>
        </w:tc>
        <w:tc>
          <w:tcPr>
            <w:tcW w:type="dxa" w:w="77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CDC, modelo semântico e destino analítico escolhido por evidência de volume.</w:t>
            </w:r>
          </w:p>
        </w:tc>
      </w:tr>
    </w:tbl>
    <w:p>
      <w:pPr>
        <w:pStyle w:val="Heading1"/>
        <w:keepNext/>
        <w:widowControl/>
      </w:pPr>
      <w:r>
        <w:t>21 Critérios de aceite arquitetural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"/>
        <w:gridCol w:w="9475"/>
      </w:tblGrid>
      <w:tr>
        <w:trPr>
          <w:cantSplit/>
          <w:tblHeader w:val="true"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rPr>
                <w:b/>
              </w:rP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rPr>
                <w:b/>
              </w:rPr>
              <w:t>Testes provam que um tenant não lê, altera, vincula ou exporta dados de outro.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Uma importação é ensaiada, repetida e reconciliada sem duplicar registros.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Um relatório pesado não degrada o fluxo crítico além do SLO aprovado.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Workers respeitam quotas, retry, dead letter, idempotência e observabilidade por tenant.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Read models podem ser reconstruídos a partir das fontes oficiais.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Uma célula pode ser restaurada e um tenant pode ser recuperado de forma documentada.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Um tenant pode ser movido para banco isolado sem alterar código de domínio.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Configurações específicas não exigem fork de aplicação ou migration particular.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Custos e consumo podem ser atribuídos por tenant e plano.</w:t>
            </w:r>
          </w:p>
        </w:tc>
      </w:tr>
      <w:tr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•</w:t>
            </w:r>
          </w:p>
        </w:tc>
        <w:tc>
          <w:tcPr>
            <w:tcW w:type="dxa" w:w="94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 Control Plane provisiona uma célula por DatabasePlatformPort e um adapter alternativo pode ser testado sem alterar código de domínio.</w:t>
            </w:r>
          </w:p>
        </w:tc>
      </w:tr>
      <w:tr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•</w:t>
            </w:r>
          </w:p>
        </w:tc>
        <w:tc>
          <w:tcPr>
            <w:tcW w:type="dxa" w:w="94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Nenhum valor financeiro quantidade taxa ou câmbio usa number ou tipo de ponto flutuante no domínio API eventos ou banco.</w:t>
            </w:r>
          </w:p>
        </w:tc>
      </w:tr>
      <w:tr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•</w:t>
            </w:r>
          </w:p>
        </w:tc>
        <w:tc>
          <w:tcPr>
            <w:tcW w:type="dxa" w:w="94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Contratos e testes distinguem LocalDate InstantUtc LocalTime e timezone IANA sem deslocamento silencioso de dia ou horário.</w:t>
            </w:r>
          </w:p>
        </w:tc>
      </w:tr>
      <w:tr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•</w:t>
            </w:r>
          </w:p>
        </w:tc>
        <w:tc>
          <w:tcPr>
            <w:tcW w:type="dxa" w:w="94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CI valida tsconfig estrito schemas de runtime precisão decimal e casos de borda temporais antes do deploy.</w:t>
            </w:r>
          </w:p>
        </w:tc>
      </w:tr>
    </w:tbl>
    <w:p>
      <w:pPr>
        <w:pStyle w:val="Heading1"/>
        <w:keepNext/>
        <w:widowControl/>
      </w:pPr>
      <w:r>
        <w:t>22 Decisões abertas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cantSplit/>
          <w:tblHeader/>
          <w:tblHeader w:val="true"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54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Decisão necessária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42424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Cloud</w:t>
            </w:r>
          </w:p>
        </w:tc>
        <w:tc>
          <w:tcPr>
            <w:tcW w:type="dxa" w:w="54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Fornecedor e região inicial.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Antes da infraestrutura produtiva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Runtime</w:t>
            </w:r>
          </w:p>
        </w:tc>
        <w:tc>
          <w:tcPr>
            <w:tcW w:type="dxa" w:w="54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Node.js LTS, TypeScript strict, NestJS com Fastify, workers separados e contratos validados em runtime.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Decidido para a primeira versão; qualquer mudança exige ADR e plano de migração.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Banco gerenciado</w:t>
            </w:r>
          </w:p>
        </w:tc>
        <w:tc>
          <w:tcPr>
            <w:tcW w:type="dxa" w:w="54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PostgreSQL gerenciado por célula. Supabase Postgres é o adapter inicial; outros provedores entram pelo DatabasePlatformPort.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Implementar e testar antes da primeira célula produtiva.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Fila e cache</w:t>
            </w:r>
          </w:p>
        </w:tc>
        <w:tc>
          <w:tcPr>
            <w:tcW w:type="dxa" w:w="54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Serviços gerenciados e quotas iniciais.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Antes das integrações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Analytics</w:t>
            </w:r>
          </w:p>
        </w:tc>
        <w:tc>
          <w:tcPr>
            <w:tcW w:type="dxa" w:w="54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Réplica, warehouse ou banco colunar segundo volume real.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Após validar access patterns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Planos</w:t>
            </w:r>
          </w:p>
        </w:tc>
        <w:tc>
          <w:tcPr>
            <w:tcW w:type="dxa" w:w="54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Limites e preço dos níveis Shared, Isolated e Dedicated.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Antes do primeiro contrato comercial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RPO e RTO</w:t>
            </w:r>
          </w:p>
        </w:tc>
        <w:tc>
          <w:tcPr>
            <w:tcW w:type="dxa" w:w="54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Metas por plano e criticidade.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Antes do piloto produtivo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Residência</w:t>
            </w:r>
          </w:p>
        </w:tc>
        <w:tc>
          <w:tcPr>
            <w:tcW w:type="dxa" w:w="54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Regiões permitidas e exigências contratuais.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3F4F4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Antes de clientes regulados</w:t>
            </w:r>
          </w:p>
        </w:tc>
      </w:tr>
    </w:tbl>
    <w:p>
      <w:pPr>
        <w:pStyle w:val="Heading1"/>
        <w:keepNext/>
        <w:widowControl/>
      </w:pPr>
      <w:r>
        <w:t>Anexo A ADRs iniciais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"/>
        <w:gridCol w:w="9475"/>
      </w:tblGrid>
      <w:tr>
        <w:trPr>
          <w:cantSplit/>
          <w:tblHeader w:val="true"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rPr>
                <w:b/>
              </w:rP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rPr>
                <w:b/>
              </w:rPr>
              <w:t>ADR 001 Tier Trade usa arquitetura SaaS híbrida por células.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ADR 002 Shared Cell é o padrão e banco ou célula dedicada são planos de isolamento.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ADR 003 Tenant é diferente de empresa unidade usuário e grupo econômico.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ADR 004 Tenant ID RLS e constraints compostas protegem o banco compartilhado.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ADR 005 Backend começa como monólito modular.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ADR 006 PostgreSQL é o system of record transacional.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ADR 007 Outbox e consumidores idempotentes sustentam processamento assíncrono.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ADR 008 Dashboards usam read models e relatórios pesados não consultam o OLTP livremente.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ADR 009 Importações passam por raw staging validação efetivação e reconciliação.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ADR 010 Customização é configuração versionada e não fork por cliente.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ADR 011 Control Plane administra tenants e células sem participar do caminho crítico diário.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ADR 012 Backups restaurações e movimentação de tenants são capacidades de plataforma.</w:t>
            </w:r>
          </w:p>
        </w:tc>
      </w:tr>
      <w:tr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•</w:t>
            </w:r>
          </w:p>
        </w:tc>
        <w:tc>
          <w:tcPr>
            <w:tcW w:type="dxa" w:w="94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ADR 013 Control Plane usa DatabasePlatformPort e adapters de provedor PostgreSQL.</w:t>
            </w:r>
          </w:p>
        </w:tc>
      </w:tr>
      <w:tr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•</w:t>
            </w:r>
          </w:p>
        </w:tc>
        <w:tc>
          <w:tcPr>
            <w:tcW w:type="dxa" w:w="94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ADR 014 TypeScript estrito branded IDs schemas de runtime e value objects são obrigatórios nas fronteiras do domínio.</w:t>
            </w:r>
          </w:p>
        </w:tc>
      </w:tr>
      <w:tr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•</w:t>
            </w:r>
          </w:p>
        </w:tc>
        <w:tc>
          <w:tcPr>
            <w:tcW w:type="dxa" w:w="94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ADR 015 Dinheiro preços quantidades taxas e câmbio usam Decimal e PostgreSQL NUMERIC com escala explícita.</w:t>
            </w:r>
          </w:p>
        </w:tc>
      </w:tr>
      <w:tr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•</w:t>
            </w:r>
          </w:p>
        </w:tc>
        <w:tc>
          <w:tcPr>
            <w:tcW w:type="dxa" w:w="94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ADR 016 Datas civis instantes UTC horários locais e fusos IANA são tipos distintos e persistidos conforme sua semântica.</w:t>
            </w:r>
          </w:p>
        </w:tc>
      </w:tr>
    </w:tbl>
    <w:p>
      <w:pPr>
        <w:pStyle w:val="Heading1"/>
        <w:keepNext/>
        <w:widowControl/>
      </w:pPr>
      <w:r>
        <w:t>Anexo B Fontes técnicas de referência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"/>
        <w:gridCol w:w="9475"/>
      </w:tblGrid>
      <w:tr>
        <w:trPr>
          <w:cantSplit/>
          <w:tblHeader w:val="true"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rPr>
                <w:b/>
              </w:rP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rPr>
                <w:b/>
              </w:rPr>
              <w:t>AWS SaaS Lens Silo Pool and Bridge Models  https://docs.aws.amazon.com/wellarchitected/latest/saas-lens/silo-pool-and-bridge-models.html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AWS SaaS Tenant Isolation Strategies  https://docs.aws.amazon.com/whitepapers/latest/saas-tenant-isolation-strategies/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AWS Reducing the Scope of Impact with Cell Based Architecture  https://docs.aws.amazon.com/wellarchitected/latest/reducing-scope-of-impact-with-cell-based-architecture/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PostgreSQL Row Security Policies  https://www.postgresql.org/docs/current/ddl-rowsecurity.html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PostgreSQL Logical Replication  https://www.postgresql.org/docs/current/logical-replication.html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PostgreSQL Table Partitioning  https://www.postgresql.org/docs/current/ddl-partitioning.html</w:t>
            </w:r>
          </w:p>
        </w:tc>
      </w:tr>
      <w:tr>
        <w:trPr>
          <w:cantSplit/>
        </w:trPr>
        <w:tc>
          <w:tcPr>
            <w:tcW w:type="dxa" w:w="317"/>
            <w:vAlign w:val="center"/>
            <w:tcMar>
              <w:top w:w="0" w:type="dxa"/>
              <w:start w:w="0" w:type="dxa"/>
              <w:bottom w:w="35" w:type="dxa"/>
              <w:end w:w="45" w:type="dxa"/>
            </w:tcMar>
          </w:tcPr>
          <w:p>
            <w:pPr>
              <w:widowControl/>
              <w:spacing w:after="0" w:line="252" w:lineRule="auto"/>
            </w:pPr>
            <w:r>
              <w:t>•</w:t>
            </w:r>
          </w:p>
        </w:tc>
        <w:tc>
          <w:tcPr>
            <w:tcW w:type="dxa" w:w="9475"/>
            <w:vAlign w:val="center"/>
            <w:tcMar>
              <w:top w:w="0" w:type="dxa"/>
              <w:start w:w="0" w:type="dxa"/>
              <w:bottom w:w="35" w:type="dxa"/>
              <w:end w:w="0" w:type="dxa"/>
            </w:tcMar>
          </w:tcPr>
          <w:p>
            <w:pPr>
              <w:widowControl/>
              <w:spacing w:after="0" w:line="252" w:lineRule="auto"/>
            </w:pPr>
            <w:r>
              <w:t>PostgreSQL Materialized Views  https://www.postgresql.org/docs/current/rules-materializedviews.html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TIER TRADE  |  ARQUITETURA MULTITENANCY 1.1  |  </w:t>
    </w:r>
    <w:fldSimple w:instr="PAGE">
      <w:r>
        <w:rPr>
          <w:sz w:val="16"/>
          <w:color w:val="646464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111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spacing w:after="60"/>
    </w:pPr>
    <w:rPr>
      <w:rFonts w:ascii="Arial" w:hAnsi="Arial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Tier Trade Arquitetura de Multitenancy Dados e Implantação 1.1</dc:title>
  <dc:subject>Arquitetura SaaS do sistema de trading agrícola e commodities da Mountier Agro</dc:subject>
  <dc:creator>Mountier</dc:creator>
  <cp:keywords/>
  <dc:description>Atualizado em 1 de outubro de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