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Mountier Agro Trading</w:t>
        <w:br/>
        <w:t>Catálogo de Regras e Cálculos do Piloto 1.0</w:t>
      </w:r>
    </w:p>
    <w:p>
      <w:pPr>
        <w:spacing w:after="360"/>
      </w:pPr>
      <w:r>
        <w:rPr>
          <w:rFonts w:ascii="Aptos" w:hAnsi="Aptos"/>
          <w:color w:val="31343A"/>
          <w:sz w:val="26"/>
        </w:rPr>
        <w:t>Base funcional para custos por contrato, comissões, retenções, conciliação e margem do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Produto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ERP para tradings, cerealistas e armazenadores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Recorte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Soja e milho no mercado interno brasileiro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Base para especificação e validação com trading piloto e especialistas fiscal e contábil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Referências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Visão Completa 1.1, Escopo de Negócio 1.1 e Plano do MVP 1.1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Data</w:t>
            </w:r>
          </w:p>
        </w:tc>
        <w:tc>
          <w:tcPr>
            <w:tcW w:type="dxa" w:w="680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1 de outubro de 2026</w:t>
            </w:r>
          </w:p>
        </w:tc>
      </w:tr>
    </w:tbl>
    <w:p/>
    <w:p>
      <w:r>
        <w:t>Este catálogo transforma evidências operacionais em regras que podem ser especificadas, testadas e auditadas. Ele não define interpretação tributária definitiva. Tributos, bases, alíquotas e responsabilidades somente entram em produção após validação profissional e homologação no contexto do piloto.</w:t>
      </w:r>
    </w:p>
    <w:p>
      <w:r>
        <w:t>A decisão central é que nenhum valor financeiro seja produzido isoladamente. Custos, retenções, comissões, pagamentos e lançamentos devem permanecer vinculados ao contrato, à execução física, ao documento que os suporta e à versão da regra utilizada.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 Objetivo e fronteira</w:t>
      </w:r>
    </w:p>
    <w:p>
      <w:r>
        <w:t>2 Princípios de cálculo</w:t>
      </w:r>
    </w:p>
    <w:p>
      <w:r>
        <w:t>3 Contexto de aplicação das regras</w:t>
      </w:r>
    </w:p>
    <w:p>
      <w:r>
        <w:t>4 Cadeia econômica do contrato</w:t>
      </w:r>
    </w:p>
    <w:p>
      <w:r>
        <w:t>5 Razão de custos por contrato</w:t>
      </w:r>
    </w:p>
    <w:p>
      <w:r>
        <w:t>6 Comissões</w:t>
      </w:r>
    </w:p>
    <w:p>
      <w:r>
        <w:t>7 Tributos retenções e obrigações</w:t>
      </w:r>
    </w:p>
    <w:p>
      <w:r>
        <w:t>8 Conciliação ponta a ponta</w:t>
      </w:r>
    </w:p>
    <w:p>
      <w:r>
        <w:t>9 Margem e resultado</w:t>
      </w:r>
    </w:p>
    <w:p>
      <w:r>
        <w:t>10 Eventos contábeis</w:t>
      </w:r>
    </w:p>
    <w:p>
      <w:r>
        <w:t>11 Cenários obrigatórios do piloto</w:t>
      </w:r>
    </w:p>
    <w:p>
      <w:r>
        <w:t>12 Critérios de homologação</w:t>
      </w:r>
    </w:p>
    <w:p>
      <w:r>
        <w:t>13 Decisões abertas</w:t>
      </w:r>
    </w:p>
    <w:p>
      <w:r>
        <w:t>Anexo A Estrutura mínima da regra</w:t>
      </w:r>
    </w:p>
    <w:p>
      <w:pPr>
        <w:pStyle w:val="Heading1"/>
      </w:pPr>
      <w:r>
        <w:t>1 Objetivo e fronteira</w:t>
      </w:r>
    </w:p>
    <w:p>
      <w:r>
        <w:t>O documento define como o MVP deverá representar cálculos econômicos e fiscais do ciclo básico de uma trading. O foco é impedir que a operação dependa de controles externos para descobrir quanto pagar, quanto recolher, qual custo pertence ao contrato e qual margem foi efetivamente realizada.</w:t>
      </w:r>
    </w:p>
    <w:p>
      <w:pPr>
        <w:pStyle w:val="ListBullet"/>
      </w:pPr>
      <w:r>
        <w:t>Inclui modelos de dados, estados, fórmulas de referência, vínculos obrigatórios e cenários de teste.</w:t>
      </w:r>
    </w:p>
    <w:p>
      <w:pPr>
        <w:pStyle w:val="ListBullet"/>
      </w:pPr>
      <w:r>
        <w:t>Não substitui parecer fiscal, parametrização por UF ou validação do contador e do responsável tributário da trading.</w:t>
      </w:r>
    </w:p>
    <w:p>
      <w:pPr>
        <w:pStyle w:val="ListBullet"/>
      </w:pPr>
      <w:r>
        <w:t>Não pressupõe que todo cliente abandone seus sistemas atuais no primeiro ciclo de implantação.</w:t>
      </w:r>
    </w:p>
    <w:p>
      <w:pPr>
        <w:pStyle w:val="Heading1"/>
      </w:pPr>
      <w:r>
        <w:t>2 Princípios de cálculo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Princípio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Regra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Determinismo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mesma entrada, regra e versão produzem o mesmo resultado.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Vigência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data do fato seleciona a versão aplicável; alterações futuras não reescrevem o passado.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Memória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Base, alíquota, fórmula, arredondamento, componentes, fontes e resultado permanecem consultáveis.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Origem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Todo valor aponta para contrato, carga, documento, regra e evento que o criaram.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Dupla consequência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Uma retenção pode reduzir o pagamento ao fornecedor e criar obrigação separada com o fisco.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Reprocessamento controlado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Correções geram nova versão, diferença e estorno; não apagam o cálculo anterior.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IA sem autoridade fiscal</w:t>
            </w:r>
          </w:p>
        </w:tc>
        <w:tc>
          <w:tcPr>
            <w:tcW w:type="dxa" w:w="669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IA prepara e explica. O motor determinístico calcula e o responsável aprova exceções.</w:t>
            </w:r>
          </w:p>
        </w:tc>
      </w:tr>
    </w:tbl>
    <w:p>
      <w:pPr>
        <w:spacing w:after="0"/>
      </w:pPr>
    </w:p>
    <w:p>
      <w:pPr>
        <w:pStyle w:val="Heading1"/>
      </w:pPr>
      <w:r>
        <w:t>3 Contexto de aplicação das regras</w:t>
      </w:r>
    </w:p>
    <w:p>
      <w:r>
        <w:t>Uma regra não pode ser escolhida apenas pelo nome do tributo ou do produto. O motor avalia um contexto completo e registra por que a regra foi aplicada ou descartada.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Dimensão</w:t>
            </w:r>
          </w:p>
        </w:tc>
        <w:tc>
          <w:tcPr>
            <w:tcW w:type="dxa" w:w="6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Atributos mínimos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Organização</w:t>
            </w:r>
          </w:p>
        </w:tc>
        <w:tc>
          <w:tcPr>
            <w:tcW w:type="dxa" w:w="6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Tenant, grupo, empresa, estabelecimento, filial e centro de resultado.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Geografia</w:t>
            </w:r>
          </w:p>
        </w:tc>
        <w:tc>
          <w:tcPr>
            <w:tcW w:type="dxa" w:w="6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UF e município de origem, destino, entrega e estabelecimento responsável.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Mercadoria</w:t>
            </w:r>
          </w:p>
        </w:tc>
        <w:tc>
          <w:tcPr>
            <w:tcW w:type="dxa" w:w="6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Commodity, produto fiscal, NCM, safra, unidade e qualidade quando relevante.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Operação</w:t>
            </w:r>
          </w:p>
        </w:tc>
        <w:tc>
          <w:tcPr>
            <w:tcW w:type="dxa" w:w="6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Compra, venda, remessa, retorno, armazenagem, serviço, transferência ou exportação.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Documento</w:t>
            </w:r>
          </w:p>
        </w:tc>
        <w:tc>
          <w:tcPr>
            <w:tcW w:type="dxa" w:w="6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Modelo, série, emissão própria ou de terceiro, CFOP e finalidade.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Contraparte</w:t>
            </w:r>
          </w:p>
        </w:tc>
        <w:tc>
          <w:tcPr>
            <w:tcW w:type="dxa" w:w="6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Tipo, regime, inscrição, produtor ou pessoa jurídica e condição tributária comprovada.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Tempo</w:t>
            </w:r>
          </w:p>
        </w:tc>
        <w:tc>
          <w:tcPr>
            <w:tcW w:type="dxa" w:w="6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Data do fato, competência, vigência da regra e calendário de vencimento.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Contrato</w:t>
            </w:r>
          </w:p>
        </w:tc>
        <w:tc>
          <w:tcPr>
            <w:tcW w:type="dxa" w:w="68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Modalidade, preço, responsabilidade por frete, retenções e condições específicas.</w:t>
            </w:r>
          </w:p>
        </w:tc>
      </w:tr>
    </w:tbl>
    <w:p>
      <w:pPr>
        <w:spacing w:after="0"/>
      </w:pPr>
    </w:p>
    <w:p>
      <w:pPr>
        <w:pStyle w:val="Heading1"/>
      </w:pPr>
      <w:r>
        <w:t>4 Cadeia econômica do contrato</w:t>
      </w:r>
    </w:p>
    <w:p>
      <w:r>
        <w:t>A cadeia abaixo é o eixo de reconciliação do MVP. Cada etapa produz eventos e saldos consumidos pelas etapas seguintes.</w:t>
      </w:r>
    </w:p>
    <w:p>
      <w:pPr>
        <w:ind w:left="340" w:hanging="340"/>
      </w:pPr>
      <w:r>
        <w:rPr>
          <w:rFonts w:ascii="Aptos" w:hAnsi="Aptos"/>
          <w:b/>
          <w:color w:val="000000"/>
          <w:sz w:val="21"/>
        </w:rPr>
        <w:t xml:space="preserve">1.  </w:t>
      </w:r>
      <w:r>
        <w:rPr>
          <w:rFonts w:ascii="Aptos" w:hAnsi="Aptos"/>
          <w:color w:val="000000"/>
          <w:sz w:val="21"/>
        </w:rPr>
        <w:t>O contrato aprovado cria volume, preço, obrigações, orçamento de custos e margem projetada.</w:t>
      </w:r>
    </w:p>
    <w:p>
      <w:pPr>
        <w:ind w:left="340" w:hanging="340"/>
      </w:pPr>
      <w:r>
        <w:rPr>
          <w:rFonts w:ascii="Aptos" w:hAnsi="Aptos"/>
          <w:b/>
          <w:color w:val="000000"/>
          <w:sz w:val="21"/>
        </w:rPr>
        <w:t xml:space="preserve">2.  </w:t>
      </w:r>
      <w:r>
        <w:rPr>
          <w:rFonts w:ascii="Aptos" w:hAnsi="Aptos"/>
          <w:color w:val="000000"/>
          <w:sz w:val="21"/>
        </w:rPr>
        <w:t>A programação e a carga confirmam execução física, pesos, qualidade, frete e documentos.</w:t>
      </w:r>
    </w:p>
    <w:p>
      <w:pPr>
        <w:ind w:left="340" w:hanging="340"/>
      </w:pPr>
      <w:r>
        <w:rPr>
          <w:rFonts w:ascii="Aptos" w:hAnsi="Aptos"/>
          <w:b/>
          <w:color w:val="000000"/>
          <w:sz w:val="21"/>
        </w:rPr>
        <w:t xml:space="preserve">3.  </w:t>
      </w:r>
      <w:r>
        <w:rPr>
          <w:rFonts w:ascii="Aptos" w:hAnsi="Aptos"/>
          <w:color w:val="000000"/>
          <w:sz w:val="21"/>
        </w:rPr>
        <w:t>A nota fiscal formaliza o fato documental e os componentes fiscais da operação.</w:t>
      </w:r>
    </w:p>
    <w:p>
      <w:pPr>
        <w:ind w:left="340" w:hanging="340"/>
      </w:pPr>
      <w:r>
        <w:rPr>
          <w:rFonts w:ascii="Aptos" w:hAnsi="Aptos"/>
          <w:b/>
          <w:color w:val="000000"/>
          <w:sz w:val="21"/>
        </w:rPr>
        <w:t xml:space="preserve">4.  </w:t>
      </w:r>
      <w:r>
        <w:rPr>
          <w:rFonts w:ascii="Aptos" w:hAnsi="Aptos"/>
          <w:color w:val="000000"/>
          <w:sz w:val="21"/>
        </w:rPr>
        <w:t>A liquidação calcula bruto, acréscimos, deduções, retenções, adiantamentos e valor líquido.</w:t>
      </w:r>
    </w:p>
    <w:p>
      <w:pPr>
        <w:ind w:left="340" w:hanging="340"/>
      </w:pPr>
      <w:r>
        <w:rPr>
          <w:rFonts w:ascii="Aptos" w:hAnsi="Aptos"/>
          <w:b/>
          <w:color w:val="000000"/>
          <w:sz w:val="21"/>
        </w:rPr>
        <w:t xml:space="preserve">5.  </w:t>
      </w:r>
      <w:r>
        <w:rPr>
          <w:rFonts w:ascii="Aptos" w:hAnsi="Aptos"/>
          <w:color w:val="000000"/>
          <w:sz w:val="21"/>
        </w:rPr>
        <w:t>O título financeiro representa o direito ou obrigação a pagar e receber.</w:t>
      </w:r>
    </w:p>
    <w:p>
      <w:pPr>
        <w:ind w:left="340" w:hanging="340"/>
      </w:pPr>
      <w:r>
        <w:rPr>
          <w:rFonts w:ascii="Aptos" w:hAnsi="Aptos"/>
          <w:b/>
          <w:color w:val="000000"/>
          <w:sz w:val="21"/>
        </w:rPr>
        <w:t xml:space="preserve">6.  </w:t>
      </w:r>
      <w:r>
        <w:rPr>
          <w:rFonts w:ascii="Aptos" w:hAnsi="Aptos"/>
          <w:color w:val="000000"/>
          <w:sz w:val="21"/>
        </w:rPr>
        <w:t>O movimento bancário baixa o título, sem apagar diferenças ou pendências fiscais.</w:t>
      </w:r>
    </w:p>
    <w:p>
      <w:pPr>
        <w:ind w:left="340" w:hanging="340"/>
      </w:pPr>
      <w:r>
        <w:rPr>
          <w:rFonts w:ascii="Aptos" w:hAnsi="Aptos"/>
          <w:b/>
          <w:color w:val="000000"/>
          <w:sz w:val="21"/>
        </w:rPr>
        <w:t xml:space="preserve">7.  </w:t>
      </w:r>
      <w:r>
        <w:rPr>
          <w:rFonts w:ascii="Aptos" w:hAnsi="Aptos"/>
          <w:color w:val="000000"/>
          <w:sz w:val="21"/>
        </w:rPr>
        <w:t>A retenção ou incidência gera obrigação tributária por competência e vencimento.</w:t>
      </w:r>
    </w:p>
    <w:p>
      <w:pPr>
        <w:ind w:left="340" w:hanging="340"/>
      </w:pPr>
      <w:r>
        <w:rPr>
          <w:rFonts w:ascii="Aptos" w:hAnsi="Aptos"/>
          <w:b/>
          <w:color w:val="000000"/>
          <w:sz w:val="21"/>
        </w:rPr>
        <w:t xml:space="preserve">8.  </w:t>
      </w:r>
      <w:r>
        <w:rPr>
          <w:rFonts w:ascii="Aptos" w:hAnsi="Aptos"/>
          <w:color w:val="000000"/>
          <w:sz w:val="21"/>
        </w:rPr>
        <w:t>Os eventos contábeis reconhecem estoque, custo, receita, passivo, caixa e resultado.</w:t>
      </w:r>
    </w:p>
    <w:p>
      <w:pPr>
        <w:ind w:left="340" w:hanging="340"/>
      </w:pPr>
      <w:r>
        <w:rPr>
          <w:rFonts w:ascii="Aptos" w:hAnsi="Aptos"/>
          <w:b/>
          <w:color w:val="000000"/>
          <w:sz w:val="21"/>
        </w:rPr>
        <w:t xml:space="preserve">9.  </w:t>
      </w:r>
      <w:r>
        <w:rPr>
          <w:rFonts w:ascii="Aptos" w:hAnsi="Aptos"/>
          <w:color w:val="000000"/>
          <w:sz w:val="21"/>
        </w:rPr>
        <w:t>O encerramento explica a margem realizada e as diferenças em relação ao plano original.</w:t>
      </w:r>
    </w:p>
    <w:p>
      <w:pPr>
        <w:pStyle w:val="Heading1"/>
      </w:pPr>
      <w:r>
        <w:t>5 Razão de custos por contrato</w:t>
      </w:r>
    </w:p>
    <w:p>
      <w:r>
        <w:t>O razão de custos é um subledger operacional. Ele não é uma coluna de custo total. Cada componente possui identidade, estado, competência, documento e critério de apropriação.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Objeto de apropriação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Fonte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Estados típicos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Mercadoria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Contrato, carga ou lote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Preço aplicável e quantidade elegível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Previsto, realizado, faturado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Frete e pedágio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Carga e contrato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Cotação, ordem, CT-e, comprovante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Cotado, comprometido, faturado, pago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Classificação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Carga, origem ou destino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Ordem e documento do prestador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Provisionado, faturado, pago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Armazenagem e estadia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Lote, local, período ou carga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Tabela, franquia e horas ou volume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Acumulado, aprovado, faturado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Comissão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Contrato ou recebimento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Regra e beneficiário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Provisionada, liberada, paga, estornada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Documento e serviço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Carga ou contrato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Prestador, tarifa e documento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Realizado, faturado, pago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Tributo não recuperável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Documento ou contrato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Regra tributária validada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Calculado, confirmado, recolhido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Penalidade e ajuste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Evento ou contrato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Decisão, motivo e alçada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Proposto, aprovado, contabilizado</w:t>
            </w:r>
          </w:p>
        </w:tc>
      </w:tr>
    </w:tbl>
    <w:p>
      <w:pPr>
        <w:spacing w:after="0"/>
      </w:pPr>
    </w:p>
    <w:p>
      <w:pPr>
        <w:pStyle w:val="Heading2"/>
      </w:pPr>
      <w:r>
        <w:t>5.1 Regras de apropriação</w:t>
      </w:r>
    </w:p>
    <w:p>
      <w:pPr>
        <w:pStyle w:val="ListBullet"/>
      </w:pPr>
      <w:r>
        <w:t>Custos específicos são vinculados diretamente à carga, ao contrato ou ao lote.</w:t>
      </w:r>
    </w:p>
    <w:p>
      <w:pPr>
        <w:pStyle w:val="ListBullet"/>
      </w:pPr>
      <w:r>
        <w:t>Custos compartilhados usam rateio por quantidade, valor, distância, tempo, capacidade ou fórmula homologada.</w:t>
      </w:r>
    </w:p>
    <w:p>
      <w:pPr>
        <w:pStyle w:val="ListBullet"/>
      </w:pPr>
      <w:r>
        <w:t>O rateio registra total de origem, fração aplicada, arredondamento e saldo não alocado.</w:t>
      </w:r>
    </w:p>
    <w:p>
      <w:pPr>
        <w:pStyle w:val="ListBullet"/>
      </w:pPr>
      <w:r>
        <w:t>Uma alteração recalcula somente objetos ainda abertos ou cria ajuste aprovado em períodos fechados.</w:t>
      </w:r>
    </w:p>
    <w:p>
      <w:pPr>
        <w:pStyle w:val="Heading1"/>
      </w:pPr>
      <w:r>
        <w:t>6 Comissões</w:t>
      </w:r>
    </w:p>
    <w:p>
      <w:r>
        <w:t>Comissão é um componente econômico próprio, não uma despesa genérica lançada no fechamento. A regra deve definir quem recebe, por quê, sobre qual base e em qual momento o direito nasce.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Regra mínima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Beneficiário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Usuário interno, corretor, indicador, parceiro ou empresa externa cadastrada.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Base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Volume, valor bruto, receita líquida, margem, spread, valor fixo ou fórmula homologada.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Gatilho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Assinatura, execução, faturamento, recebimento, pagamento ou encerramento.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Competência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Evento e data que reconhecem a despesa, separados da data de pagamento.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Condição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Inadimplência, cancelamento, entrega parcial, estorno, teto, piso e divisão entre beneficiários.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Governança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Regra versionada, aprovação, documento, título, pagamento e lançamento contábil.</w:t>
            </w:r>
          </w:p>
        </w:tc>
      </w:tr>
    </w:tbl>
    <w:p>
      <w:pPr>
        <w:spacing w:after="0"/>
      </w:pPr>
    </w:p>
    <w:p>
      <w:pPr>
        <w:pStyle w:val="Heading2"/>
      </w:pPr>
      <w:r>
        <w:t>6.1 Cálculo de referência</w:t>
      </w:r>
    </w:p>
    <w:p>
      <w:pPr>
        <w:pStyle w:val="ListBullet"/>
      </w:pPr>
      <w:r>
        <w:t>Comissão calculada = base elegível multiplicada pela taxa, ou valor fixo definido pela regra.</w:t>
      </w:r>
    </w:p>
    <w:p>
      <w:pPr>
        <w:pStyle w:val="ListBullet"/>
      </w:pPr>
      <w:r>
        <w:t>Comissão liberada = comissão calculada multiplicada pela proporção do gatilho cumprido, respeitando limites e estornos.</w:t>
      </w:r>
    </w:p>
    <w:p>
      <w:pPr>
        <w:pStyle w:val="ListBullet"/>
      </w:pPr>
      <w:r>
        <w:t>A memória deve explicar quantidade ou valor base, taxa, parcela cumprida, deduções e beneficiários.</w:t>
      </w:r>
    </w:p>
    <w:p>
      <w:pPr>
        <w:pStyle w:val="Heading1"/>
      </w:pPr>
      <w:r>
        <w:t>7 Tributos retenções e obrigações</w:t>
      </w:r>
    </w:p>
    <w:p>
      <w:r>
        <w:t>As incidências citadas na entrevista, como SENAR, Funrural, FETAB e IAGRO, são entradas para descoberta. Elas só se tornam regras produtivas após confirmação de aplicabilidade, base, alíquota, responsabilidade, documento, competência, vencimento e contabilização no cenário do piloto.</w:t>
      </w:r>
    </w:p>
    <w:p>
      <w:pPr>
        <w:pStyle w:val="Heading2"/>
      </w:pPr>
      <w:r>
        <w:t>7.1 Modelo de retenção</w:t>
      </w:r>
    </w:p>
    <w:p>
      <w:pPr>
        <w:pStyle w:val="ListBullet"/>
      </w:pPr>
      <w:r>
        <w:t>Valor retido = base tributável multiplicada pela alíquota vigente, com arredondamento definido pela regra.</w:t>
      </w:r>
    </w:p>
    <w:p>
      <w:pPr>
        <w:pStyle w:val="ListBullet"/>
      </w:pPr>
      <w:r>
        <w:t>Líquido ao fornecedor = valor bruto mais acréscimos menos descontos, adiantamentos, compensações e retenções válidas.</w:t>
      </w:r>
    </w:p>
    <w:p>
      <w:pPr>
        <w:pStyle w:val="ListBullet"/>
      </w:pPr>
      <w:r>
        <w:t>A confirmação da retenção reduz o título do fornecedor e cria obrigação tributária separada.</w:t>
      </w:r>
    </w:p>
    <w:p>
      <w:pPr>
        <w:pStyle w:val="ListBullet"/>
      </w:pPr>
      <w:r>
        <w:t>A baixa do fornecedor não implica recolhimento do tributo; ambos possuem status e conciliações independentes.</w:t>
      </w:r>
    </w:p>
    <w:p>
      <w:pPr>
        <w:pStyle w:val="Heading2"/>
      </w:pPr>
      <w:r>
        <w:t>7.2 Exemplo trazido pela entrevista</w:t>
      </w:r>
    </w:p>
    <w:p>
      <w:r>
        <w:t>A entrevista relatou uma nota de R$ 45.000 e uma retenção de 0,2%, resultando em R$ 90. O exemplo demonstra o efeito acumulado por carga, mas não constitui parametrização fiscal aprovada. Antes do uso produtivo, o especialista deve validar tributo, base, alíquota, responsabilidade e arredondamento.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Valor ilustrativo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Tratamento no sistema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Valor da nota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R$ 45.000,00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Origem documental e base candidata.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Alíquota relatada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0,2%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Parâmetro não homologado; requer evidência e vigência.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Retenção calculada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R$ 90,00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Reduz o líquido apenas após validação da regra.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Obrigação tributária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R$ 90,00</w:t>
            </w:r>
          </w:p>
        </w:tc>
        <w:tc>
          <w:tcPr>
            <w:tcW w:type="dxa" w:w="43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Passivo separado por competência e vencimento.</w:t>
            </w:r>
          </w:p>
        </w:tc>
      </w:tr>
    </w:tbl>
    <w:p>
      <w:pPr>
        <w:spacing w:after="0"/>
      </w:pPr>
    </w:p>
    <w:p>
      <w:pPr>
        <w:pStyle w:val="Heading1"/>
      </w:pPr>
      <w:r>
        <w:t>8 Conciliação ponta a ponta</w:t>
      </w:r>
    </w:p>
    <w:p>
      <w:r>
        <w:t>A conciliação não é uma conferência bancária isolada. Ela verifica se todas as representações do mesmo fato concordam ou se a diferença possui causa aprovada.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Perspectiva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O que deve concordar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Fonte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Contrato e execução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Quantidade, preço, qualidade, frete, condições e saldo.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Negócio e cargas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Documento fiscal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Partes, produto, CFOP, quantidade, valor, impostos e eventos.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NF-e, CT-e, MDF-e e serviços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Financeiro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Bruto, deduções, retenções, vencimento, título e baixa.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Contas a pagar e receber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Banco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Valor, data, conta, contraparte, comprovante e estorno.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Extrato, arquivo ou API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Tributário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Base, alíquota, valor, competência, vencimento e recolhimento.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Obrigação tributária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Contábil</w:t>
            </w:r>
          </w:p>
        </w:tc>
        <w:tc>
          <w:tcPr>
            <w:tcW w:type="dxa" w:w="430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Conta, centro, débito, crédito, competência e origem.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Subledger e razão</w:t>
            </w:r>
          </w:p>
        </w:tc>
      </w:tr>
    </w:tbl>
    <w:p>
      <w:pPr>
        <w:spacing w:after="0"/>
      </w:pPr>
    </w:p>
    <w:p>
      <w:pPr>
        <w:pStyle w:val="Heading2"/>
      </w:pPr>
      <w:r>
        <w:t>8.1 Tratamento de divergências</w:t>
      </w:r>
    </w:p>
    <w:p>
      <w:pPr>
        <w:pStyle w:val="ListBullet"/>
      </w:pPr>
      <w:r>
        <w:t>Tolerâncias podem considerar valor absoluto, percentual, unidade, quantidade e materialidade.</w:t>
      </w:r>
    </w:p>
    <w:p>
      <w:pPr>
        <w:pStyle w:val="ListBullet"/>
      </w:pPr>
      <w:r>
        <w:t>Diferença fora da tolerância abre caso e impede baixa, pagamento, fechamento ou liberação conforme a política.</w:t>
      </w:r>
    </w:p>
    <w:p>
      <w:pPr>
        <w:pStyle w:val="ListBullet"/>
      </w:pPr>
      <w:r>
        <w:t>O caso registra causa, objeto responsável, evidências, impacto, decisão, aprovação e prazo.</w:t>
      </w:r>
    </w:p>
    <w:p>
      <w:pPr>
        <w:pStyle w:val="ListBullet"/>
      </w:pPr>
      <w:r>
        <w:t>A solução pode corrigir cadastro, recalcular, complementar documento, estornar, aceitar diferença ou registrar perda aprovada.</w:t>
      </w:r>
    </w:p>
    <w:p>
      <w:pPr>
        <w:pStyle w:val="Heading1"/>
      </w:pPr>
      <w:r>
        <w:t>9 Margem e resultado</w:t>
      </w:r>
    </w:p>
    <w:p>
      <w:pPr>
        <w:pStyle w:val="ListBullet"/>
      </w:pPr>
      <w:r>
        <w:t>Margem projetada usa preço e custos previstos na aprovação do negócio.</w:t>
      </w:r>
    </w:p>
    <w:p>
      <w:pPr>
        <w:pStyle w:val="ListBullet"/>
      </w:pPr>
      <w:r>
        <w:t>Margem comprometida substitui estimativas por ordens, contratos de serviço e provisões já assumidas.</w:t>
      </w:r>
    </w:p>
    <w:p>
      <w:pPr>
        <w:pStyle w:val="ListBullet"/>
      </w:pPr>
      <w:r>
        <w:t>Margem realizada usa receitas reconhecidas e custos apropriados, mesmo que ainda não pagos.</w:t>
      </w:r>
    </w:p>
    <w:p>
      <w:pPr>
        <w:pStyle w:val="ListBullet"/>
      </w:pPr>
      <w:r>
        <w:t>Margem de caixa considera entradas e saídas efetivas e não substitui o resultado por competência.</w:t>
      </w:r>
    </w:p>
    <w:p>
      <w:pPr>
        <w:pStyle w:val="ListBullet"/>
      </w:pPr>
      <w:r>
        <w:t>A variação é decomposta em preço, volume, qualidade, frete, comissão, tributo, serviço, penalidade, câmbio e outros componentes autorizados.</w:t>
      </w:r>
    </w:p>
    <w:p>
      <w:pPr>
        <w:pStyle w:val="Heading1"/>
      </w:pPr>
      <w:r>
        <w:t>10 Eventos contábeis</w:t>
      </w:r>
    </w:p>
    <w:p>
      <w:r>
        <w:t>A especificação contábil deverá mapear evento operacional para lançamentos versionados. O catálogo abaixo define a ligação necessária, sem prescrever contas contábeis antes da configuração do plano do piloto.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Evento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Consequência esperada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Evidência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Entrada aceita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Reconhecimento de estoque ou direito conforme política.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Carga, romaneio, qualidade e documento.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Liquidação de compra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Fornecedores, custo e retenções.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Memória e aprovação.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Frete realizado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Custo direto e obrigação com transportador.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Ordem, CT-e ou documento homologado.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Comissão adquirida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Despesa e obrigação com beneficiário.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Regra e gatilho cumprido.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Retenção confirmada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Redução do fornecedor e passivo tributário.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Regra, base e documento.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Pagamento ou recebimento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Baixa do título e movimentação de caixa.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Banco e comprovante.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Venda faturada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Receita, cliente, impostos e baixa de estoque conforme política.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Contrato, carga e NF-e.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Fechamento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Ajustes, apropriações e resultado do período.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Reconciliações e aprovação.</w:t>
            </w:r>
          </w:p>
        </w:tc>
      </w:tr>
    </w:tbl>
    <w:p>
      <w:pPr>
        <w:spacing w:after="0"/>
      </w:pPr>
    </w:p>
    <w:p>
      <w:pPr>
        <w:pStyle w:val="Heading1"/>
      </w:pPr>
      <w:r>
        <w:t>11 Cenários obrigatórios do piloto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ID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Cenário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P01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Compra simples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Contrato, carga, nota, título e pagamento concordam sem retenção.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P02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Compra com retenção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Líquido correto e obrigação tributária separada por competência.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P03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Contrato multicarga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Ao menos cinquenta cargas em massa de teste sem divergência acumulada de arredondamento.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P04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Frete e documentos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CT-e e MDF-e emitidos ou vinculados e custo apropriado à carga correta.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P05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Comissões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Comissão interna e externa com bases distintas, liberação parcial e estorno.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P06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Divergência financeira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NF-e diferente do valor esperado abre caso e bloqueia conforme política.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P07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Qualidade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Desconto altera liquidação, custo e margem com memória reproduzível.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P08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Fechamento</w:t>
            </w:r>
          </w:p>
        </w:tc>
        <w:tc>
          <w:tcPr>
            <w:tcW w:type="dxa" w:w="58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Subledgers físico, fiscal, financeiro, tributário e contábil reconciliam.</w:t>
            </w:r>
          </w:p>
        </w:tc>
      </w:tr>
    </w:tbl>
    <w:p>
      <w:pPr>
        <w:spacing w:after="0"/>
      </w:pPr>
    </w:p>
    <w:p>
      <w:pPr>
        <w:pStyle w:val="Heading1"/>
      </w:pPr>
      <w:r>
        <w:t>12 Critérios de homologação</w:t>
      </w:r>
    </w:p>
    <w:p>
      <w:pPr>
        <w:pStyle w:val="ListBullet"/>
      </w:pPr>
      <w:r>
        <w:t>Regra aprovada por responsável de negócio e, quando fiscal ou contábil, pelo especialista competente.</w:t>
      </w:r>
    </w:p>
    <w:p>
      <w:pPr>
        <w:pStyle w:val="ListBullet"/>
      </w:pPr>
      <w:r>
        <w:t>Aplicabilidade, vigência, prioridade e exceções documentadas.</w:t>
      </w:r>
    </w:p>
    <w:p>
      <w:pPr>
        <w:pStyle w:val="ListBullet"/>
      </w:pPr>
      <w:r>
        <w:t>Exemplos positivos, negativos, limites e arredondamentos testados.</w:t>
      </w:r>
    </w:p>
    <w:p>
      <w:pPr>
        <w:pStyle w:val="ListBullet"/>
      </w:pPr>
      <w:r>
        <w:t>Memória de cálculo legível por usuário operacional e auditável tecnicamente.</w:t>
      </w:r>
    </w:p>
    <w:p>
      <w:pPr>
        <w:pStyle w:val="ListBullet"/>
      </w:pPr>
      <w:r>
        <w:t>Reprocessamento e estorno testados sem apagar o histórico.</w:t>
      </w:r>
    </w:p>
    <w:p>
      <w:pPr>
        <w:pStyle w:val="ListBullet"/>
      </w:pPr>
      <w:r>
        <w:t>Conciliação com legado e planilhas de referência dentro da tolerância aprovada.</w:t>
      </w:r>
    </w:p>
    <w:p>
      <w:pPr>
        <w:pStyle w:val="ListBullet"/>
      </w:pPr>
      <w:r>
        <w:t>Permissões, alçadas, contingência e trilha de auditoria verificadas.</w:t>
      </w:r>
    </w:p>
    <w:p>
      <w:pPr>
        <w:pStyle w:val="Heading1"/>
      </w:pPr>
      <w:r>
        <w:t>13 Decisões abertas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Tema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Decisão necessária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Momento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Pacote fiscal inicial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Quais UFs, estabelecimentos, regimes, CFOPs e incidências entram no primeiro piloto?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Antes da especificação fiscal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Responsável técnico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Quem valida e assina as regras tributárias e contábeis?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Antes da homologação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Emissão fiscal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Quais documentos serão nativos e quais serão integrados?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Arquitetura e fornecedor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Comissão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Quais bases, gatilhos e estornos são praticados pela trading piloto?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Descoberta funcional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Rateio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Quais custos são diretos e quais exigem rateio?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Descoberta funcional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Tolerâncias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Quais divergências bloqueiam pagamento, fechamento ou apenas geram alerta?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Política operacional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Coexistência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Qual domínio permanece como fonte oficial em cada fase?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Plano de implantação</w:t>
            </w:r>
          </w:p>
        </w:tc>
      </w:tr>
    </w:tbl>
    <w:p>
      <w:pPr>
        <w:spacing w:after="0"/>
      </w:pPr>
    </w:p>
    <w:p>
      <w:pPr>
        <w:pStyle w:val="Heading1"/>
      </w:pPr>
      <w:r>
        <w:t>Anexo A Estrutura mínima da regra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Bloco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253247"/>
          </w:tcPr>
          <w:p>
            <w:pPr>
              <w:spacing w:after="0" w:line="259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Campos mínimos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Identidade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Código, nome, tipo, versão, status e responsável.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Vigência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Início, fim, competência e política para fatos retroativos.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Aplicabilidade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Dimensões obrigatórias, prioridades, exclusões e fallback.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Entradas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Campos, fonte, unidade, precisão, obrigatoriedade e validação.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Cálculo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Fórmula, ordem, arredondamento, limites, mínimos e máximos.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Saídas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Valor, moeda, unidade, título, obrigação, custo, lançamento e status.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Governança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Aprovação, segregação, evidência, motivo de exceção e auditoria.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Testes</w:t>
            </w:r>
          </w:p>
        </w:tc>
        <w:tc>
          <w:tcPr>
            <w:tcW w:type="dxa" w:w="674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4F6F8"/>
          </w:tcPr>
          <w:p>
            <w:pPr>
              <w:spacing w:after="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Casos normais, limites, negativos, retroativos, estorno e reprocessamento.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0646C"/>
        <w:sz w:val="16"/>
      </w:rPr>
      <w:t xml:space="preserve">MOUNTIER AGRO TRADING  |  CATÁLOGO DE REGRAS E CÁLCULOS DO PILOTO 1.0  |  </w:t>
    </w:r>
    <w:r>
      <w:rPr>
        <w:rFonts w:ascii="Aptos" w:hAnsi="Aptos"/>
        <w:color w:val="60646C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60646C"/>
        <w:sz w:val="16"/>
      </w:rPr>
      <w:t>MOUNTIER  |  VERTICAL AGRO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contextualSpacing/>
    </w:pPr>
    <w:rPr>
      <w:rFonts w:ascii="Aptos" w:hAnsi="Apto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