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4D0797"/>
          <w:sz w:val="72"/>
          <w:szCs w:val="72"/>
        </w:rPr>
        <w:t xml:space="preserve">TABLERO APD</w:t>
      </w:r>
    </w:p>
    <w:p>
      <w:pPr>
        <w:spacing w:after="120" w:before="0"/>
        <w:jc w:val="center"/>
      </w:pPr>
      <w:r>
        <w:rPr>
          <w:rFonts w:ascii="Arial" w:cs="Arial" w:eastAsia="Arial" w:hAnsi="Arial"/>
          <w:color w:val="6F05C1"/>
          <w:sz w:val="36"/>
          <w:szCs w:val="36"/>
        </w:rPr>
        <w:t xml:space="preserve">Indicadores de Gestion — Aplicaciones y Desarrollos</w:t>
      </w:r>
    </w:p>
    <w:p>
      <w:pPr>
        <w:spacing w:after="80" w:before="0"/>
        <w:jc w:val="center"/>
      </w:pPr>
      <w:r>
        <w:rPr>
          <w:rFonts w:ascii="Arial" w:cs="Arial" w:eastAsia="Arial" w:hAnsi="Arial"/>
          <w:color w:val="555555"/>
          <w:sz w:val="26"/>
          <w:szCs w:val="26"/>
        </w:rPr>
        <w:t xml:space="preserve">REX  |  Pinturerias Rex S.A.</w:t>
      </w:r>
    </w:p>
    <w:p>
      <w:pPr>
        <w:pBdr>
          <w:bottom w:val="single" w:color="FFCE00" w:sz="8"/>
        </w:pBdr>
        <w:spacing w:after="0" w:before="80"/>
        <w:jc w:val="center"/>
      </w:pPr>
    </w:p>
    <w:p>
      <w:pPr>
        <w:spacing w:after="2880" w:before="200"/>
        <w:jc w:val="center"/>
      </w:pPr>
      <w:r>
        <w:rPr>
          <w:rFonts w:ascii="Arial" w:cs="Arial" w:eastAsia="Arial" w:hAnsi="Arial"/>
          <w:color w:val="888888"/>
          <w:sz w:val="22"/>
          <w:szCs w:val="22"/>
        </w:rPr>
        <w:t xml:space="preserve">Version 1.0  |  02/04/2026</w:t>
      </w:r>
    </w:p>
    <w:p>
      <w:r>
        <w:br w:type="page"/>
      </w:r>
    </w:p>
    <w:p>
      <w:pPr>
        <w:pStyle w:val="Heading1"/>
      </w:pPr>
      <w:r>
        <w:rPr>
          <w:rFonts w:ascii="Arial" w:cs="Arial" w:eastAsia="Arial" w:hAnsi="Arial"/>
          <w:b/>
          <w:bCs/>
          <w:color w:val="4D0797"/>
          <w:sz w:val="32"/>
          <w:szCs w:val="32"/>
        </w:rPr>
        <w:t xml:space="preserve">Indice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4D0797"/>
          <w:sz w:val="32"/>
          <w:szCs w:val="32"/>
        </w:rPr>
        <w:t xml:space="preserve">1. Descripcion del Proyecto</w:t>
      </w:r>
    </w:p>
    <w:p>
      <w:pPr>
        <w:spacing w:after="100" w:before="60"/>
      </w:pPr>
      <w:r>
        <w:rPr>
          <w:rFonts w:ascii="Arial" w:cs="Arial" w:eastAsia="Arial" w:hAnsi="Arial"/>
          <w:sz w:val="22"/>
          <w:szCs w:val="22"/>
        </w:rPr>
        <w:t xml:space="preserve">El Tablero APD es una herramienta de visualizacion de indicadores de gestion desarrollada para el Sector de Aplicaciones y Desarrollos de REX (Pinturerias Rex S.A.). Permite monitorear en tiempo real el estado de los tickets de soporte y desarrollo, tanto de analistas internos como de proveedores externos.</w:t>
      </w:r>
    </w:p>
    <w:p>
      <w:pPr>
        <w:spacing w:after="100" w:before="60"/>
      </w:pPr>
      <w:r>
        <w:rPr>
          <w:rFonts w:ascii="Arial" w:cs="Arial" w:eastAsia="Arial" w:hAnsi="Arial"/>
          <w:sz w:val="22"/>
          <w:szCs w:val="22"/>
        </w:rPr>
        <w:t xml:space="preserve">El tablero es un archivo HTML standalone (autocontenido) que se ejecuta directamente desde el navegador Chrome sin necesidad de servidor web ni instalacion adicional. Consume datos en tiempo real desde la API interna de REX.</w:t>
      </w:r>
    </w:p>
    <w:p>
      <w:pPr>
        <w:pStyle w:val="Heading2"/>
        <w:spacing w:after="120" w:before="280"/>
      </w:pPr>
      <w:r>
        <w:rPr>
          <w:rFonts w:ascii="Arial" w:cs="Arial" w:eastAsia="Arial" w:hAnsi="Arial"/>
          <w:b/>
          <w:bCs/>
          <w:color w:val="6F05C1"/>
          <w:sz w:val="26"/>
          <w:szCs w:val="26"/>
        </w:rPr>
        <w:t xml:space="preserve">1.1. Objetivo</w:t>
      </w:r>
    </w:p>
    <w:p>
      <w:pPr>
        <w:pStyle w:val="ListParagraph"/>
        <w:numPr>
          <w:ilvl w:val="0"/>
          <w:numId w:val="2"/>
        </w:numPr>
        <w:spacing w:after="40" w:before="40"/>
      </w:pPr>
      <w:r>
        <w:rPr>
          <w:rFonts w:ascii="Arial" w:cs="Arial" w:eastAsia="Arial" w:hAnsi="Arial"/>
          <w:b w:val="false"/>
          <w:bCs w:val="false"/>
          <w:sz w:val="22"/>
          <w:szCs w:val="22"/>
        </w:rPr>
        <w:t xml:space="preserve">Centralizar los indicadores clave de gestion del sector APD en un unico tablero visual.</w:t>
      </w:r>
    </w:p>
    <w:p>
      <w:pPr>
        <w:pStyle w:val="ListParagraph"/>
        <w:numPr>
          <w:ilvl w:val="0"/>
          <w:numId w:val="2"/>
        </w:numPr>
        <w:spacing w:after="40" w:before="40"/>
      </w:pPr>
      <w:r>
        <w:rPr>
          <w:rFonts w:ascii="Arial" w:cs="Arial" w:eastAsia="Arial" w:hAnsi="Arial"/>
          <w:b w:val="false"/>
          <w:bCs w:val="false"/>
          <w:sz w:val="22"/>
          <w:szCs w:val="22"/>
        </w:rPr>
        <w:t xml:space="preserve">Permitir el seguimiento por periodo (semana o mes) con seleccion dinamica.</w:t>
      </w:r>
    </w:p>
    <w:p>
      <w:pPr>
        <w:pStyle w:val="ListParagraph"/>
        <w:numPr>
          <w:ilvl w:val="0"/>
          <w:numId w:val="2"/>
        </w:numPr>
        <w:spacing w:after="40" w:before="40"/>
      </w:pPr>
      <w:r>
        <w:rPr>
          <w:rFonts w:ascii="Arial" w:cs="Arial" w:eastAsia="Arial" w:hAnsi="Arial"/>
          <w:b w:val="false"/>
          <w:bCs w:val="false"/>
          <w:sz w:val="22"/>
          <w:szCs w:val="22"/>
        </w:rPr>
        <w:t xml:space="preserve">Mostrar el rendimiento individual de cada analista interno (Gr=A) y el estado de los proveedores externos (Gr=AP).</w:t>
      </w:r>
    </w:p>
    <w:p>
      <w:pPr>
        <w:pStyle w:val="ListParagraph"/>
        <w:numPr>
          <w:ilvl w:val="0"/>
          <w:numId w:val="2"/>
        </w:numPr>
        <w:spacing w:after="40" w:before="40"/>
      </w:pPr>
      <w:r>
        <w:rPr>
          <w:rFonts w:ascii="Arial" w:cs="Arial" w:eastAsia="Arial" w:hAnsi="Arial"/>
          <w:b w:val="false"/>
          <w:bCs w:val="false"/>
          <w:sz w:val="22"/>
          <w:szCs w:val="22"/>
        </w:rPr>
        <w:t xml:space="preserve">Facilitar la identificacion de cuellos de botella: tickets pendientes, en espera o vencidos por SLA.</w:t>
      </w:r>
    </w:p>
    <w:p>
      <w:pPr>
        <w:pStyle w:val="Heading2"/>
        <w:spacing w:after="120" w:before="280"/>
      </w:pPr>
      <w:r>
        <w:rPr>
          <w:rFonts w:ascii="Arial" w:cs="Arial" w:eastAsia="Arial" w:hAnsi="Arial"/>
          <w:b/>
          <w:bCs/>
          <w:color w:val="6F05C1"/>
          <w:sz w:val="26"/>
          <w:szCs w:val="26"/>
        </w:rPr>
        <w:t xml:space="preserve">1.2. Alcance</w:t>
      </w:r>
    </w:p>
    <w:p>
      <w:pPr>
        <w:pStyle w:val="ListParagraph"/>
        <w:numPr>
          <w:ilvl w:val="0"/>
          <w:numId w:val="2"/>
        </w:numPr>
        <w:spacing w:after="40" w:before="40"/>
      </w:pPr>
      <w:r>
        <w:rPr>
          <w:rFonts w:ascii="Arial" w:cs="Arial" w:eastAsia="Arial" w:hAnsi="Arial"/>
          <w:b w:val="false"/>
          <w:bCs w:val="false"/>
          <w:sz w:val="22"/>
          <w:szCs w:val="22"/>
        </w:rPr>
        <w:t xml:space="preserve">Analistas internos del sector APD (Gr=A): ranking, detalle y totales.</w:t>
      </w:r>
    </w:p>
    <w:p>
      <w:pPr>
        <w:pStyle w:val="ListParagraph"/>
        <w:numPr>
          <w:ilvl w:val="0"/>
          <w:numId w:val="2"/>
        </w:numPr>
        <w:spacing w:after="40" w:before="40"/>
      </w:pPr>
      <w:r>
        <w:rPr>
          <w:rFonts w:ascii="Arial" w:cs="Arial" w:eastAsia="Arial" w:hAnsi="Arial"/>
          <w:b w:val="false"/>
          <w:bCs w:val="false"/>
          <w:sz w:val="22"/>
          <w:szCs w:val="22"/>
        </w:rPr>
        <w:t xml:space="preserve">Proveedores externos de sistemas (Gr=AP): Summa Solutions, Cygnus, Producteca, Axum, Unisolutions.</w:t>
      </w:r>
    </w:p>
    <w:p>
      <w:pPr>
        <w:pStyle w:val="ListParagraph"/>
        <w:numPr>
          <w:ilvl w:val="0"/>
          <w:numId w:val="2"/>
        </w:numPr>
        <w:spacing w:after="40" w:before="40"/>
      </w:pPr>
      <w:r>
        <w:rPr>
          <w:rFonts w:ascii="Arial" w:cs="Arial" w:eastAsia="Arial" w:hAnsi="Arial"/>
          <w:b w:val="false"/>
          <w:bCs w:val="false"/>
          <w:sz w:val="22"/>
          <w:szCs w:val="22"/>
        </w:rPr>
        <w:t xml:space="preserve">Periodos disponibles: ultimas 12 semanas (Lunes a Domingo) y ultimos 12 meses.</w:t>
      </w:r>
    </w:p>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2. Arquitectura Tecnica</w:t>
      </w:r>
    </w:p>
    <w:p>
      <w:pPr>
        <w:pStyle w:val="Heading2"/>
        <w:spacing w:after="120" w:before="280"/>
      </w:pPr>
      <w:r>
        <w:rPr>
          <w:rFonts w:ascii="Arial" w:cs="Arial" w:eastAsia="Arial" w:hAnsi="Arial"/>
          <w:b/>
          <w:bCs/>
          <w:color w:val="6F05C1"/>
          <w:sz w:val="26"/>
          <w:szCs w:val="26"/>
        </w:rPr>
        <w:t xml:space="preserve">2.1. Tecnologias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w:t>
            </w:r>
          </w:p>
        </w:tc>
        <w:tc>
          <w:tcPr>
            <w:tcW w:type="dxa" w:w="45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 / 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 standalone, sin frameworks ni build tools</w:t>
            </w:r>
          </w:p>
        </w:tc>
      </w:tr>
      <w:tr>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Graficos</w:t>
            </w:r>
          </w:p>
        </w:tc>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Chart.js 4.4.1</w:t>
            </w:r>
          </w:p>
        </w:tc>
        <w:tc>
          <w:tcPr>
            <w:tcW w:type="dxa" w:w="45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CDN: cdnjs.cloudflare.com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Etiquetas graficos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chartjs-plugin-datalabels 2.2.0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 cdnjs.cloudflare.com</w:t>
            </w:r>
          </w:p>
        </w:tc>
      </w:tr>
      <w:tr>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API de datos</w:t>
            </w:r>
          </w:p>
        </w:tc>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ASP.NET / IIS 10.0</w:t>
            </w:r>
          </w:p>
        </w:tc>
        <w:tc>
          <w:tcPr>
            <w:tcW w:type="dxa" w:w="45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api.somosrex.com (red interna REX)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Navegador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Abierto con lanzador .bat para evitar restriccion CORS</w:t>
            </w:r>
          </w:p>
        </w:tc>
      </w:tr>
    </w:tbl>
    <w:p>
      <w:pPr>
        <w:pStyle w:val="Heading2"/>
        <w:spacing w:after="120" w:before="280"/>
      </w:pPr>
      <w:r>
        <w:rPr>
          <w:rFonts w:ascii="Arial" w:cs="Arial" w:eastAsia="Arial" w:hAnsi="Arial"/>
          <w:b/>
          <w:bCs/>
          <w:color w:val="6F05C1"/>
          <w:sz w:val="26"/>
          <w:szCs w:val="26"/>
        </w:rPr>
        <w:t xml:space="preserve">2.2. API de datos</w:t>
      </w:r>
    </w:p>
    <w:p>
      <w:pPr>
        <w:spacing w:after="100" w:before="60"/>
      </w:pPr>
      <w:r>
        <w:rPr>
          <w:rFonts w:ascii="Arial" w:cs="Arial" w:eastAsia="Arial" w:hAnsi="Arial"/>
          <w:sz w:val="22"/>
          <w:szCs w:val="22"/>
        </w:rPr>
        <w:t xml:space="preserve">El tablero consume la siguiente API interna de REX:</w:t>
      </w:r>
    </w:p>
    <w:p>
      <w:pPr>
        <w:shd w:fill="F0EEF8" w:val="clear"/>
        <w:spacing w:after="80" w:before="80"/>
      </w:pPr>
      <w:r>
        <w:rPr>
          <w:rFonts w:ascii="Courier New" w:cs="Courier New" w:eastAsia="Courier New" w:hAnsi="Courier New"/>
          <w:b/>
          <w:bCs/>
          <w:color w:val="4D0797"/>
          <w:sz w:val="20"/>
          <w:szCs w:val="20"/>
        </w:rPr>
        <w:t xml:space="preserve">GET https://api.somosrex.com/InfoExtra/KPI-APD</w:t>
      </w:r>
    </w:p>
    <w:p>
      <w:pPr>
        <w:pStyle w:val="Heading3"/>
        <w:spacing w:after="80" w:before="200"/>
      </w:pPr>
      <w:r>
        <w:rPr>
          <w:rFonts w:ascii="Arial" w:cs="Arial" w:eastAsia="Arial" w:hAnsi="Arial"/>
          <w:b/>
          <w:bCs/>
          <w:color w:val="333333"/>
          <w:sz w:val="22"/>
          <w:szCs w:val="22"/>
        </w:rPr>
        <w:t xml:space="preserve">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w:t>
            </w:r>
          </w:p>
        </w:tc>
        <w:tc>
          <w:tcPr>
            <w:tcW w:type="dxa" w:w="16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Formato</w:t>
            </w:r>
          </w:p>
        </w:tc>
        <w:tc>
          <w:tcPr>
            <w:tcW w:type="dxa" w:w="57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buscaDato1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"PENDIENTES" (tipo de consulta)</w:t>
            </w:r>
          </w:p>
        </w:tc>
      </w:tr>
      <w:tr>
        <w:tc>
          <w:tcPr>
            <w:tcW w:type="dxa" w:w="20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buscaDato2</w:t>
            </w:r>
          </w:p>
        </w:tc>
        <w:tc>
          <w:tcPr>
            <w:tcW w:type="dxa" w:w="16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YYYYMMDD</w:t>
            </w:r>
          </w:p>
        </w:tc>
        <w:tc>
          <w:tcPr>
            <w:tcW w:type="dxa" w:w="5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Fecha de inicio del periodo (DesdeFecha)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buscaDato3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fin del periodo (HastaFecha)</w:t>
            </w:r>
          </w:p>
        </w:tc>
      </w:tr>
    </w:tbl>
    <w:p>
      <w:pPr>
        <w:spacing w:after="100" w:before="60"/>
      </w:pPr>
      <w:r>
        <w:rPr>
          <w:rFonts w:ascii="Arial" w:cs="Arial" w:eastAsia="Arial" w:hAnsi="Arial"/>
          <w:sz w:val="22"/>
          <w:szCs w:val="22"/>
        </w:rPr>
        <w:t xml:space="preserve">Ejemplo para la semana 23/03/2026 - 29/03/2026:</w:t>
      </w:r>
    </w:p>
    <w:p>
      <w:pPr>
        <w:spacing w:after="120" w:before="60"/>
      </w:pPr>
      <w:r>
        <w:rPr>
          <w:rFonts w:ascii="Courier New" w:cs="Courier New" w:eastAsia="Courier New" w:hAnsi="Courier New"/>
          <w:color w:val="555555"/>
          <w:sz w:val="18"/>
          <w:szCs w:val="18"/>
        </w:rPr>
        <w:t xml:space="preserve">https://api.somosrex.com/InfoExtra/KPI-APD?buscaDato1=PENDIENTES&amp;buscaDato2=20260323&amp;buscaDato3=20260329</w:t>
      </w:r>
    </w:p>
    <w:p>
      <w:pPr>
        <w:pStyle w:val="Heading3"/>
        <w:spacing w:after="80" w:before="200"/>
      </w:pPr>
      <w:r>
        <w:rPr>
          <w:rFonts w:ascii="Arial" w:cs="Arial" w:eastAsia="Arial" w:hAnsi="Arial"/>
          <w:b/>
          <w:bCs/>
          <w:color w:val="333333"/>
          <w:sz w:val="22"/>
          <w:szCs w:val="22"/>
        </w:rPr>
        <w:t xml:space="preserve">Estructura del JSON de respuesta</w:t>
      </w:r>
    </w:p>
    <w:p>
      <w:pPr>
        <w:spacing w:after="100" w:before="60"/>
      </w:pPr>
      <w:r>
        <w:rPr>
          <w:rFonts w:ascii="Arial" w:cs="Arial" w:eastAsia="Arial" w:hAnsi="Arial"/>
          <w:sz w:val="22"/>
          <w:szCs w:val="22"/>
        </w:rPr>
        <w:t xml:space="preserve">La API retorna un array JSON con los siguientes campos por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DesdeFecha / HastaFecha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Rango del periodo consultado</w:t>
            </w:r>
          </w:p>
        </w:tc>
      </w:tr>
      <w:tr>
        <w:tc>
          <w:tcPr>
            <w:tcW w:type="dxa" w:w="2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Gr</w:t>
            </w:r>
          </w:p>
        </w:tc>
        <w:tc>
          <w:tcPr>
            <w:tcW w:type="dxa" w:w="1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 = Analistas internos | "AP" = Proveedores externos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del analista | 90 = TOTALES | 92 = TOTALES SIN DUP</w:t>
            </w:r>
          </w:p>
        </w:tc>
      </w:tr>
      <w:tr>
        <w:tc>
          <w:tcPr>
            <w:tcW w:type="dxa" w:w="2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AnalistaProv</w:t>
            </w:r>
          </w:p>
        </w:tc>
        <w:tc>
          <w:tcPr>
            <w:tcW w:type="dxa" w:w="1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Nombre del analista o proveedor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CantTkPend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de tickets pendientes</w:t>
            </w:r>
          </w:p>
        </w:tc>
      </w:tr>
      <w:tr>
        <w:tc>
          <w:tcPr>
            <w:tcW w:type="dxa" w:w="2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CantTkEnProc</w:t>
            </w:r>
          </w:p>
        </w:tc>
        <w:tc>
          <w:tcPr>
            <w:tcW w:type="dxa" w:w="1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Cantidad en proceso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CantTkEspera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en espera</w:t>
            </w:r>
          </w:p>
        </w:tc>
      </w:tr>
      <w:tr>
        <w:tc>
          <w:tcPr>
            <w:tcW w:type="dxa" w:w="2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CantTkEntr</w:t>
            </w:r>
          </w:p>
        </w:tc>
        <w:tc>
          <w:tcPr>
            <w:tcW w:type="dxa" w:w="1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Cantidad entregados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CantTkSol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solucionados</w:t>
            </w:r>
          </w:p>
        </w:tc>
      </w:tr>
      <w:tr>
        <w:tc>
          <w:tcPr>
            <w:tcW w:type="dxa" w:w="2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CantTkVenc</w:t>
            </w:r>
          </w:p>
        </w:tc>
        <w:tc>
          <w:tcPr>
            <w:tcW w:type="dxa" w:w="18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Cantidad vencidos (SLA)</w:t>
            </w:r>
          </w:p>
        </w:tc>
      </w:tr>
    </w:tbl>
    <w:p>
      <w:pPr>
        <w:pStyle w:val="Heading3"/>
        <w:spacing w:after="80" w:before="200"/>
      </w:pPr>
      <w:r>
        <w:rPr>
          <w:rFonts w:ascii="Arial" w:cs="Arial" w:eastAsia="Arial" w:hAnsi="Arial"/>
          <w:b/>
          <w:bCs/>
          <w:color w:val="333333"/>
          <w:sz w:val="22"/>
          <w:szCs w:val="22"/>
        </w:rPr>
        <w:t xml:space="preserve">Logica de filtros en la respuesta</w:t>
      </w:r>
    </w:p>
    <w:p>
      <w:pPr>
        <w:pStyle w:val="ListParagraph"/>
        <w:numPr>
          <w:ilvl w:val="0"/>
          <w:numId w:val="2"/>
        </w:numPr>
        <w:spacing w:after="40" w:before="40"/>
      </w:pPr>
      <w:r>
        <w:rPr>
          <w:rFonts w:ascii="Arial" w:cs="Arial" w:eastAsia="Arial" w:hAnsi="Arial"/>
          <w:b w:val="false"/>
          <w:bCs w:val="false"/>
          <w:sz w:val="22"/>
          <w:szCs w:val="22"/>
        </w:rPr>
        <w:t xml:space="preserve">Gr = "A": Analistas internos del sector APD.</w:t>
      </w:r>
    </w:p>
    <w:p>
      <w:pPr>
        <w:pStyle w:val="ListParagraph"/>
        <w:numPr>
          <w:ilvl w:val="0"/>
          <w:numId w:val="2"/>
        </w:numPr>
        <w:spacing w:after="40" w:before="40"/>
      </w:pPr>
      <w:r>
        <w:rPr>
          <w:rFonts w:ascii="Arial" w:cs="Arial" w:eastAsia="Arial" w:hAnsi="Arial"/>
          <w:b w:val="false"/>
          <w:bCs w:val="false"/>
          <w:sz w:val="22"/>
          <w:szCs w:val="22"/>
        </w:rPr>
        <w:t xml:space="preserve">Gr = "AP": Proveedores externos de sistemas.</w:t>
      </w:r>
    </w:p>
    <w:p>
      <w:pPr>
        <w:pStyle w:val="ListParagraph"/>
        <w:numPr>
          <w:ilvl w:val="0"/>
          <w:numId w:val="2"/>
        </w:numPr>
        <w:spacing w:after="40" w:before="40"/>
      </w:pPr>
      <w:r>
        <w:rPr>
          <w:rFonts w:ascii="Arial" w:cs="Arial" w:eastAsia="Arial" w:hAnsi="Arial"/>
          <w:b w:val="false"/>
          <w:bCs w:val="false"/>
          <w:sz w:val="22"/>
          <w:szCs w:val="22"/>
        </w:rPr>
        <w:t xml:space="preserve">Od = 90: Fila de TOTALES del grupo (suma de todos los analistas/proveedores).</w:t>
      </w:r>
    </w:p>
    <w:p>
      <w:pPr>
        <w:pStyle w:val="ListParagraph"/>
        <w:numPr>
          <w:ilvl w:val="0"/>
          <w:numId w:val="2"/>
        </w:numPr>
        <w:spacing w:after="40" w:before="40"/>
      </w:pPr>
      <w:r>
        <w:rPr>
          <w:rFonts w:ascii="Arial" w:cs="Arial" w:eastAsia="Arial" w:hAnsi="Arial"/>
          <w:b w:val="false"/>
          <w:bCs w:val="false"/>
          <w:sz w:val="22"/>
          <w:szCs w:val="22"/>
        </w:rPr>
        <w:t xml:space="preserve">Od = 92: Fila de TOTALES SIN DUPLICADOS (tickets unicos, sin contar un mismo ticket asignado a varios).</w:t>
      </w:r>
    </w:p>
    <w:p>
      <w:pPr>
        <w:pStyle w:val="ListParagraph"/>
        <w:numPr>
          <w:ilvl w:val="0"/>
          <w:numId w:val="2"/>
        </w:numPr>
        <w:spacing w:after="40" w:before="40"/>
      </w:pPr>
      <w:r>
        <w:rPr>
          <w:rFonts w:ascii="Arial" w:cs="Arial" w:eastAsia="Arial" w:hAnsi="Arial"/>
          <w:b w:val="false"/>
          <w:bCs w:val="false"/>
          <w:sz w:val="22"/>
          <w:szCs w:val="22"/>
        </w:rPr>
        <w:t xml:space="preserve">Od = 1..N: Fila individual de cada analista o proveedor.</w:t>
      </w:r>
    </w:p>
    <w:p>
      <w:pPr>
        <w:pStyle w:val="Heading2"/>
        <w:spacing w:after="120" w:before="280"/>
      </w:pPr>
      <w:r>
        <w:rPr>
          <w:rFonts w:ascii="Arial" w:cs="Arial" w:eastAsia="Arial" w:hAnsi="Arial"/>
          <w:b/>
          <w:bCs/>
          <w:color w:val="6F05C1"/>
          <w:sz w:val="26"/>
          <w:szCs w:val="26"/>
        </w:rPr>
        <w:t xml:space="preserve">2.3. Manejo de CORS</w:t>
      </w:r>
    </w:p>
    <w:p>
      <w:pPr>
        <w:spacing w:after="100" w:before="60"/>
      </w:pPr>
      <w:r>
        <w:rPr>
          <w:rFonts w:ascii="Arial" w:cs="Arial" w:eastAsia="Arial" w:hAnsi="Arial"/>
          <w:sz w:val="22"/>
          <w:szCs w:val="22"/>
        </w:rPr>
        <w:t xml:space="preserve">La API de REX no incluye cabeceras CORS (Access-Control-Allow-Origin), lo que impide que un archivo HTML abierto desde el sistema de archivos local (protocolo file://) pueda consumirla directamente.</w:t>
      </w:r>
    </w:p>
    <w:p>
      <w:pPr>
        <w:spacing w:after="100" w:before="60"/>
      </w:pPr>
      <w:r>
        <w:rPr>
          <w:rFonts w:ascii="Arial" w:cs="Arial" w:eastAsia="Arial" w:hAnsi="Arial"/>
          <w:sz w:val="22"/>
          <w:szCs w:val="22"/>
        </w:rPr>
        <w:t xml:space="preserve">Solucion implementada: se utiliza el archivo abrir-tablero.bat que lanza Chrome con el parametro --disable-web-security y un perfil de usuario temporal aislado. Este perfil NO afecta el Chrome habitual del usuario.</w:t>
      </w:r>
    </w:p>
    <w:p>
      <w:pPr>
        <w:spacing w:after="100" w:before="60"/>
      </w:pPr>
      <w:r>
        <w:rPr>
          <w:rFonts w:ascii="Arial" w:cs="Arial" w:eastAsia="Arial" w:hAnsi="Arial"/>
          <w:sz w:val="22"/>
          <w:szCs w:val="22"/>
        </w:rPr>
        <w:t xml:space="preserve">Solucion definitiva recomendada: agregar la cabecera Access-Control-Allow-Origin: * en el web.config del sitio api.somosrex.com en IIS.</w:t>
      </w:r>
    </w:p>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3. Funcionalidades del Tablero</w:t>
      </w:r>
    </w:p>
    <w:p>
      <w:pPr>
        <w:pStyle w:val="Heading2"/>
        <w:spacing w:after="120" w:before="280"/>
      </w:pPr>
      <w:r>
        <w:rPr>
          <w:rFonts w:ascii="Arial" w:cs="Arial" w:eastAsia="Arial" w:hAnsi="Arial"/>
          <w:b/>
          <w:bCs/>
          <w:color w:val="6F05C1"/>
          <w:sz w:val="26"/>
          <w:szCs w:val="26"/>
        </w:rPr>
        <w:t xml:space="preserve">3.1. Selector de Periodo</w:t>
      </w:r>
    </w:p>
    <w:p>
      <w:pPr>
        <w:pStyle w:val="ListParagraph"/>
        <w:numPr>
          <w:ilvl w:val="0"/>
          <w:numId w:val="2"/>
        </w:numPr>
        <w:spacing w:after="40" w:before="40"/>
      </w:pPr>
      <w:r>
        <w:rPr>
          <w:rFonts w:ascii="Arial" w:cs="Arial" w:eastAsia="Arial" w:hAnsi="Arial"/>
          <w:b w:val="false"/>
          <w:bCs w:val="false"/>
          <w:sz w:val="22"/>
          <w:szCs w:val="22"/>
        </w:rPr>
        <w:t xml:space="preserve">Modo Semana: muestra las ultimas 12 semanas completas (Lunes a Domingo). La semana mas reciente cerrada queda preseleccionada por defecto.</w:t>
      </w:r>
    </w:p>
    <w:p>
      <w:pPr>
        <w:pStyle w:val="ListParagraph"/>
        <w:numPr>
          <w:ilvl w:val="0"/>
          <w:numId w:val="2"/>
        </w:numPr>
        <w:spacing w:after="40" w:before="40"/>
      </w:pPr>
      <w:r>
        <w:rPr>
          <w:rFonts w:ascii="Arial" w:cs="Arial" w:eastAsia="Arial" w:hAnsi="Arial"/>
          <w:b w:val="false"/>
          <w:bCs w:val="false"/>
          <w:sz w:val="22"/>
          <w:szCs w:val="22"/>
        </w:rPr>
        <w:t xml:space="preserve">Modo Mes: muestra los ultimos 12 meses completos (1ro al ultimo dia del mes).</w:t>
      </w:r>
    </w:p>
    <w:p>
      <w:pPr>
        <w:pStyle w:val="ListParagraph"/>
        <w:numPr>
          <w:ilvl w:val="0"/>
          <w:numId w:val="2"/>
        </w:numPr>
        <w:spacing w:after="40" w:before="40"/>
      </w:pPr>
      <w:r>
        <w:rPr>
          <w:rFonts w:ascii="Arial" w:cs="Arial" w:eastAsia="Arial" w:hAnsi="Arial"/>
          <w:b w:val="false"/>
          <w:bCs w:val="false"/>
          <w:sz w:val="22"/>
          <w:szCs w:val="22"/>
        </w:rPr>
        <w:t xml:space="preserve">Al cambiar el periodo, el tablero recalcula las fechas, actualiza la URL de la API y recarga todos los graficos y tablas automaticamente.</w:t>
      </w:r>
    </w:p>
    <w:p>
      <w:pPr>
        <w:pStyle w:val="Heading2"/>
        <w:spacing w:after="120" w:before="280"/>
      </w:pPr>
      <w:r>
        <w:rPr>
          <w:rFonts w:ascii="Arial" w:cs="Arial" w:eastAsia="Arial" w:hAnsi="Arial"/>
          <w:b/>
          <w:bCs/>
          <w:color w:val="6F05C1"/>
          <w:sz w:val="26"/>
          <w:szCs w:val="26"/>
        </w:rPr>
        <w:t xml:space="preserve">3.2. KPI Cards - Resumen del Periodo</w:t>
      </w:r>
    </w:p>
    <w:p>
      <w:pPr>
        <w:spacing w:after="100" w:before="60"/>
      </w:pPr>
      <w:r>
        <w:rPr>
          <w:rFonts w:ascii="Arial" w:cs="Arial" w:eastAsia="Arial" w:hAnsi="Arial"/>
          <w:sz w:val="22"/>
          <w:szCs w:val="22"/>
        </w:rPr>
        <w:t xml:space="preserve">Se muestran 6 indicadores clave de los analistas internos (Gr=A, Od=90 para la mayoria, Od=92 para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Indicador</w:t>
            </w:r>
          </w:p>
        </w:tc>
        <w:tc>
          <w:tcPr>
            <w:tcW w:type="dxa" w:w="312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c>
          <w:tcPr>
            <w:tcW w:type="dxa" w:w="312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 (campo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Pendientes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abiertos al cierre del periodo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CantTkPend (Od=90, Gr=A)</w:t>
            </w:r>
          </w:p>
        </w:tc>
      </w:tr>
      <w:tr>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En Proceso</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Tickets siendo atendidos actualmente</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CantTkEnProc (Od=90, Gr=A)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Espera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aguardando respuesta del cliente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CantTkEspera (Od=90, Gr=A)</w:t>
            </w:r>
          </w:p>
        </w:tc>
      </w:tr>
      <w:tr>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Solucionados</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Tickets cerrados en el periodo</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CantTkSol (Od=90, Gr=A)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Vencidos (SLA)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que incumplieron el SLA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CantTkVenc (Od=92, Gr=A)</w:t>
            </w:r>
          </w:p>
        </w:tc>
      </w:tr>
      <w:tr>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Pend. Sin Duplicados</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Tickets unicos abiertos (sin contar duplicados)</w:t>
            </w:r>
          </w:p>
        </w:tc>
        <w:tc>
          <w:tcPr>
            <w:tcW w:type="dxa" w:w="312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CantTkPend (Od=92, Gr=A)</w:t>
            </w:r>
          </w:p>
        </w:tc>
      </w:tr>
    </w:tbl>
    <w:p>
      <w:pPr>
        <w:pStyle w:val="Heading2"/>
        <w:spacing w:after="120" w:before="280"/>
      </w:pPr>
      <w:r>
        <w:rPr>
          <w:rFonts w:ascii="Arial" w:cs="Arial" w:eastAsia="Arial" w:hAnsi="Arial"/>
          <w:b/>
          <w:bCs/>
          <w:color w:val="6F05C1"/>
          <w:sz w:val="26"/>
          <w:szCs w:val="26"/>
        </w:rPr>
        <w:t xml:space="preserve">3.3. Graficos</w:t>
      </w:r>
    </w:p>
    <w:p>
      <w:pPr>
        <w:pStyle w:val="ListParagraph"/>
        <w:numPr>
          <w:ilvl w:val="0"/>
          <w:numId w:val="2"/>
        </w:numPr>
        <w:spacing w:after="40" w:before="40"/>
      </w:pPr>
      <w:r>
        <w:rPr>
          <w:rFonts w:ascii="Arial" w:cs="Arial" w:eastAsia="Arial" w:hAnsi="Arial"/>
          <w:b w:val="false"/>
          <w:bCs w:val="false"/>
          <w:sz w:val="22"/>
          <w:szCs w:val="22"/>
        </w:rPr>
        <w:t xml:space="preserve">Ranking Pendientes por Analista (barras horizontales): muestra todos los analistas internos ordenados de mayor a menor cantidad de tickets pendientes. Cada barra muestra el valor absoluto y el porcentaje sobre el total directamente (sin necesidad de pasar el mouse).</w:t>
      </w:r>
    </w:p>
    <w:p>
      <w:pPr>
        <w:pStyle w:val="ListParagraph"/>
        <w:numPr>
          <w:ilvl w:val="0"/>
          <w:numId w:val="2"/>
        </w:numPr>
        <w:spacing w:after="40" w:before="40"/>
      </w:pPr>
      <w:r>
        <w:rPr>
          <w:rFonts w:ascii="Arial" w:cs="Arial" w:eastAsia="Arial" w:hAnsi="Arial"/>
          <w:b w:val="false"/>
          <w:bCs w:val="false"/>
          <w:sz w:val="22"/>
          <w:szCs w:val="22"/>
        </w:rPr>
        <w:t xml:space="preserve">Distribucion de Estados - Totales Internos (donut): muestra la proporcion entre los distintos estados (En Proceso, En Espera, Entregados, Solucionados, Vencidos) con cantidades y porcentajes visibles en cada segmento.</w:t>
      </w:r>
    </w:p>
    <w:p>
      <w:pPr>
        <w:pStyle w:val="Heading2"/>
        <w:spacing w:after="120" w:before="280"/>
      </w:pPr>
      <w:r>
        <w:rPr>
          <w:rFonts w:ascii="Arial" w:cs="Arial" w:eastAsia="Arial" w:hAnsi="Arial"/>
          <w:b/>
          <w:bCs/>
          <w:color w:val="6F05C1"/>
          <w:sz w:val="26"/>
          <w:szCs w:val="26"/>
        </w:rPr>
        <w:t xml:space="preserve">3.4. Tabla de Detalle por Analista</w:t>
      </w:r>
    </w:p>
    <w:p>
      <w:pPr>
        <w:spacing w:after="100" w:before="60"/>
      </w:pPr>
      <w:r>
        <w:rPr>
          <w:rFonts w:ascii="Arial" w:cs="Arial" w:eastAsia="Arial" w:hAnsi="Arial"/>
          <w:sz w:val="22"/>
          <w:szCs w:val="22"/>
        </w:rPr>
        <w:t xml:space="preserve">Tabla completa con todos los analistas internos ordenados por pendientes descendente, con columnas: Pendientes, En Proceso, En Espera, Entregados, Solucionados, Vencidos y barra de carga relativa. Incluye filas de TOTALES y TOTALES SIN DUPLICADOS.</w:t>
      </w:r>
    </w:p>
    <w:p>
      <w:pPr>
        <w:pStyle w:val="Heading2"/>
        <w:spacing w:after="120" w:before="280"/>
      </w:pPr>
      <w:r>
        <w:rPr>
          <w:rFonts w:ascii="Arial" w:cs="Arial" w:eastAsia="Arial" w:hAnsi="Arial"/>
          <w:b/>
          <w:bCs/>
          <w:color w:val="6F05C1"/>
          <w:sz w:val="26"/>
          <w:szCs w:val="26"/>
        </w:rPr>
        <w:t xml:space="preserve">3.5. Seccion Proveedores Externos</w:t>
      </w:r>
    </w:p>
    <w:p>
      <w:pPr>
        <w:spacing w:after="100" w:before="60"/>
      </w:pPr>
      <w:r>
        <w:rPr>
          <w:rFonts w:ascii="Arial" w:cs="Arial" w:eastAsia="Arial" w:hAnsi="Arial"/>
          <w:sz w:val="22"/>
          <w:szCs w:val="22"/>
        </w:rPr>
        <w:t xml:space="preserve">Tarjetas individuales por cada proveedor externo (Gr=AP) mostrando sus tickets Pendientes, En Proceso y Solucionados, con alerta visual en rojo si tienen pendientes. Incluye tarjeta de totales consolidados.</w:t>
      </w:r>
    </w:p>
    <w:p>
      <w:pPr>
        <w:spacing w:after="100" w:before="60"/>
      </w:pPr>
      <w:r>
        <w:rPr>
          <w:rFonts w:ascii="Arial" w:cs="Arial" w:eastAsia="Arial" w:hAnsi="Arial"/>
          <w:sz w:val="22"/>
          <w:szCs w:val="22"/>
        </w:rPr>
        <w:t xml:space="preserve">Proveedores monitoreados: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Proveedor</w:t>
            </w:r>
          </w:p>
        </w:tc>
        <w:tc>
          <w:tcPr>
            <w:tcW w:type="dxa" w:w="69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Sistema / 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 Solutions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Proveedor eCommerce (Magento B2C y B2B)</w:t>
            </w:r>
          </w:p>
        </w:tc>
      </w:tr>
      <w:tr>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Cygnus (Mobile System)</w:t>
            </w:r>
          </w:p>
        </w:tc>
        <w:tc>
          <w:tcPr>
            <w:tcW w:type="dxa" w:w="69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WMS - Gestion de almacen y logistica del 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Producteca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Integracion de Marketplaces</w:t>
            </w:r>
          </w:p>
        </w:tc>
      </w:tr>
      <w:tr>
        <w:tc>
          <w:tcPr>
            <w:tcW w:type="dxa" w:w="24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Axum</w:t>
            </w:r>
          </w:p>
        </w:tc>
        <w:tc>
          <w:tcPr>
            <w:tcW w:type="dxa" w:w="69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Sistema de pedidos movil para vendedores de calle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Unisolutions (Unigis)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TMS - Planificacion de viajes y tracking de choferes</w:t>
            </w:r>
          </w:p>
        </w:tc>
      </w:tr>
    </w:tbl>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4. Estructura de Archivos</w:t>
      </w:r>
    </w:p>
    <w:p>
      <w:pPr>
        <w:pStyle w:val="Heading2"/>
        <w:spacing w:after="120" w:before="280"/>
      </w:pPr>
      <w:r>
        <w:rPr>
          <w:rFonts w:ascii="Arial" w:cs="Arial" w:eastAsia="Arial" w:hAnsi="Arial"/>
          <w:b/>
          <w:bCs/>
          <w:color w:val="6F05C1"/>
          <w:sz w:val="26"/>
          <w:szCs w:val="26"/>
        </w:rPr>
        <w:t xml:space="preserve">4.1. Ubicacion</w:t>
      </w:r>
    </w:p>
    <w:p>
      <w:pPr>
        <w:spacing w:after="120" w:before="80"/>
      </w:pPr>
      <w:r>
        <w:rPr>
          <w:rFonts w:ascii="Courier New" w:cs="Courier New" w:eastAsia="Courier New" w:hAnsi="Courier New"/>
          <w:b/>
          <w:bCs/>
          <w:color w:val="4D0797"/>
          <w:sz w:val="20"/>
          <w:szCs w:val="20"/>
        </w:rPr>
        <w:t xml:space="preserve">C:\Users\gabrielf\OneDrive - Pinturerias Rex\Documentos\Proyectos\Tablero APD\</w:t>
      </w:r>
    </w:p>
    <w:p>
      <w:pPr>
        <w:spacing w:after="100" w:before="60"/>
      </w:pPr>
      <w:r>
        <w:rPr>
          <w:rFonts w:ascii="Arial" w:cs="Arial" w:eastAsia="Arial" w:hAnsi="Arial"/>
          <w:sz w:val="22"/>
          <w:szCs w:val="22"/>
        </w:rPr>
        <w:t xml:space="preserve">La carpeta esta en OneDrive para garantizar sincronizacion automatica entre equipos (NOT0216, GABI-PC2 y cualquier equipo con la cuenta configurada).</w:t>
      </w:r>
    </w:p>
    <w:p>
      <w:pPr>
        <w:pStyle w:val="Heading2"/>
        <w:spacing w:after="120" w:before="280"/>
      </w:pPr>
      <w:r>
        <w:rPr>
          <w:rFonts w:ascii="Arial" w:cs="Arial" w:eastAsia="Arial" w:hAnsi="Arial"/>
          <w:b/>
          <w:bCs/>
          <w:color w:val="6F05C1"/>
          <w:sz w:val="26"/>
          <w:szCs w:val="26"/>
        </w:rPr>
        <w:t xml:space="preserve">4.2.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Archivo</w:t>
            </w:r>
          </w:p>
        </w:tc>
        <w:tc>
          <w:tcPr>
            <w:tcW w:type="dxa" w:w="15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tablero-apd.html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standalone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Tablero principal. Unico archivo a distribuir a usuarios.</w:t>
            </w:r>
          </w:p>
        </w:tc>
      </w:tr>
      <w:tr>
        <w:tc>
          <w:tcPr>
            <w:tcW w:type="dxa" w:w="30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abrir-tablero.bat</w:t>
            </w:r>
          </w:p>
        </w:tc>
        <w:tc>
          <w:tcPr>
            <w:tcW w:type="dxa" w:w="15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Script Windows</w:t>
            </w:r>
          </w:p>
        </w:tc>
        <w:tc>
          <w:tcPr>
            <w:tcW w:type="dxa" w:w="48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Lanzador de Chrome con --disable-web-security para evitar CORS. Usar siempre este archivo para abrir el tablero.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Rex_Log.jpg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institucional de Rex. Debe estar en la misma carpeta que el HTML.</w:t>
            </w:r>
          </w:p>
        </w:tc>
      </w:tr>
      <w:tr>
        <w:tc>
          <w:tcPr>
            <w:tcW w:type="dxa" w:w="30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CLAUDE.md</w:t>
            </w:r>
          </w:p>
        </w:tc>
        <w:tc>
          <w:tcPr>
            <w:tcW w:type="dxa" w:w="150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Markdown</w:t>
            </w:r>
          </w:p>
        </w:tc>
        <w:tc>
          <w:tcPr>
            <w:tcW w:type="dxa" w:w="4860"/>
            <w:tcBorders>
              <w:top w:val="single" w:color="CCCCCC" w:sz="1"/>
              <w:left w:val="single" w:color="CCCCCC" w:sz="1"/>
              <w:bottom w:val="single" w:color="CCCCCC" w:sz="1"/>
              <w:right w:val="single" w:color="CCCCCC" w:sz="1"/>
            </w:tcBorders>
            <w:shd w:fill="F0EEF8" w:val="clear"/>
            <w:tcMar>
              <w:top w:type="dxa" w:w="80"/>
              <w:left w:type="dxa" w:w="120"/>
              <w:bottom w:type="dxa" w:w="80"/>
              <w:right w:type="dxa" w:w="120"/>
            </w:tcMar>
          </w:tcPr>
          <w:p>
            <w:r>
              <w:rPr>
                <w:rFonts w:ascii="Arial" w:cs="Arial" w:eastAsia="Arial" w:hAnsi="Arial"/>
                <w:sz w:val="20"/>
                <w:szCs w:val="20"/>
              </w:rPr>
              <w:t xml:space="preserve">Instrucciones del proyecto para el asistente IA.</w:t>
            </w:r>
          </w:p>
        </w:tc>
      </w:tr>
    </w:tbl>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5. Instrucciones de Uso</w:t>
      </w:r>
    </w:p>
    <w:p>
      <w:pPr>
        <w:pStyle w:val="Heading2"/>
        <w:spacing w:after="120" w:before="280"/>
      </w:pPr>
      <w:r>
        <w:rPr>
          <w:rFonts w:ascii="Arial" w:cs="Arial" w:eastAsia="Arial" w:hAnsi="Arial"/>
          <w:b/>
          <w:bCs/>
          <w:color w:val="6F05C1"/>
          <w:sz w:val="26"/>
          <w:szCs w:val="26"/>
        </w:rPr>
        <w:t xml:space="preserve">5.1. Como abrir el tablero</w:t>
      </w:r>
    </w:p>
    <w:p>
      <w:pPr>
        <w:pStyle w:val="ListParagraph"/>
        <w:numPr>
          <w:ilvl w:val="0"/>
          <w:numId w:val="2"/>
        </w:numPr>
        <w:spacing w:after="40" w:before="40"/>
      </w:pPr>
      <w:r>
        <w:rPr>
          <w:rFonts w:ascii="Arial" w:cs="Arial" w:eastAsia="Arial" w:hAnsi="Arial"/>
          <w:sz w:val="22"/>
          <w:szCs w:val="22"/>
        </w:rPr>
        <w:t xml:space="preserve">Navegar a la carpeta del proyecto en el Explorador de Windows.</w:t>
      </w:r>
    </w:p>
    <w:p>
      <w:pPr>
        <w:pStyle w:val="ListParagraph"/>
        <w:numPr>
          <w:ilvl w:val="0"/>
          <w:numId w:val="2"/>
        </w:numPr>
        <w:spacing w:after="40" w:before="40"/>
      </w:pPr>
      <w:r>
        <w:rPr>
          <w:rFonts w:ascii="Arial" w:cs="Arial" w:eastAsia="Arial" w:hAnsi="Arial"/>
          <w:b/>
          <w:bCs/>
          <w:sz w:val="22"/>
          <w:szCs w:val="22"/>
        </w:rPr>
        <w:t xml:space="preserve">Hacer doble clic en abrir-tablero.bat.</w:t>
      </w:r>
    </w:p>
    <w:p>
      <w:pPr>
        <w:pStyle w:val="ListParagraph"/>
        <w:numPr>
          <w:ilvl w:val="0"/>
          <w:numId w:val="2"/>
        </w:numPr>
        <w:spacing w:after="40" w:before="40"/>
      </w:pPr>
      <w:r>
        <w:rPr>
          <w:rFonts w:ascii="Arial" w:cs="Arial" w:eastAsia="Arial" w:hAnsi="Arial"/>
          <w:sz w:val="22"/>
          <w:szCs w:val="22"/>
        </w:rPr>
        <w:t xml:space="preserve">Chrome se abre automaticamente con el tablero cargado.</w:t>
      </w:r>
    </w:p>
    <w:p>
      <w:pPr>
        <w:spacing w:after="100" w:before="60"/>
      </w:pPr>
      <w:r>
        <w:rPr>
          <w:rFonts w:ascii="Arial" w:cs="Arial" w:eastAsia="Arial" w:hAnsi="Arial"/>
          <w:b/>
          <w:bCs/>
          <w:color w:val="CC0000"/>
          <w:sz w:val="22"/>
          <w:szCs w:val="22"/>
        </w:rPr>
        <w:t xml:space="preserve">IMPORTANTE: No abrir tablero-apd.html con doble clic directo. Sin el .bat, Chrome bloquea las llamadas a la API por CORS y el tablero no mostrara datos.</w:t>
      </w:r>
    </w:p>
    <w:p>
      <w:pPr>
        <w:pStyle w:val="Heading2"/>
        <w:spacing w:after="120" w:before="280"/>
      </w:pPr>
      <w:r>
        <w:rPr>
          <w:rFonts w:ascii="Arial" w:cs="Arial" w:eastAsia="Arial" w:hAnsi="Arial"/>
          <w:b/>
          <w:bCs/>
          <w:color w:val="6F05C1"/>
          <w:sz w:val="26"/>
          <w:szCs w:val="26"/>
        </w:rPr>
        <w:t xml:space="preserve">5.2. Seleccion de periodo</w:t>
      </w:r>
    </w:p>
    <w:p>
      <w:pPr>
        <w:pStyle w:val="ListParagraph"/>
        <w:numPr>
          <w:ilvl w:val="0"/>
          <w:numId w:val="2"/>
        </w:numPr>
        <w:spacing w:after="40" w:before="40"/>
      </w:pPr>
      <w:r>
        <w:rPr>
          <w:rFonts w:ascii="Arial" w:cs="Arial" w:eastAsia="Arial" w:hAnsi="Arial"/>
          <w:b w:val="false"/>
          <w:bCs w:val="false"/>
          <w:sz w:val="22"/>
          <w:szCs w:val="22"/>
        </w:rPr>
        <w:t xml:space="preserve">Usar los botones "Semana" / "Mes" para cambiar el modo.</w:t>
      </w:r>
    </w:p>
    <w:p>
      <w:pPr>
        <w:pStyle w:val="ListParagraph"/>
        <w:numPr>
          <w:ilvl w:val="0"/>
          <w:numId w:val="2"/>
        </w:numPr>
        <w:spacing w:after="40" w:before="40"/>
      </w:pPr>
      <w:r>
        <w:rPr>
          <w:rFonts w:ascii="Arial" w:cs="Arial" w:eastAsia="Arial" w:hAnsi="Arial"/>
          <w:b w:val="false"/>
          <w:bCs w:val="false"/>
          <w:sz w:val="22"/>
          <w:szCs w:val="22"/>
        </w:rPr>
        <w:t xml:space="preserve">Usar el desplegable para seleccionar el periodo especifico a analizar.</w:t>
      </w:r>
    </w:p>
    <w:p>
      <w:pPr>
        <w:pStyle w:val="ListParagraph"/>
        <w:numPr>
          <w:ilvl w:val="0"/>
          <w:numId w:val="2"/>
        </w:numPr>
        <w:spacing w:after="40" w:before="40"/>
      </w:pPr>
      <w:r>
        <w:rPr>
          <w:rFonts w:ascii="Arial" w:cs="Arial" w:eastAsia="Arial" w:hAnsi="Arial"/>
          <w:b w:val="false"/>
          <w:bCs w:val="false"/>
          <w:sz w:val="22"/>
          <w:szCs w:val="22"/>
        </w:rPr>
        <w:t xml:space="preserve">El rango de fechas se muestra a la derecha del selector para verificacion rapida.</w:t>
      </w:r>
    </w:p>
    <w:p>
      <w:pPr>
        <w:pStyle w:val="Heading2"/>
        <w:spacing w:after="120" w:before="280"/>
      </w:pPr>
      <w:r>
        <w:rPr>
          <w:rFonts w:ascii="Arial" w:cs="Arial" w:eastAsia="Arial" w:hAnsi="Arial"/>
          <w:b/>
          <w:bCs/>
          <w:color w:val="6F05C1"/>
          <w:sz w:val="26"/>
          <w:szCs w:val="26"/>
        </w:rPr>
        <w:t xml:space="preserve">5.3. Compatibilidad</w:t>
      </w:r>
    </w:p>
    <w:p>
      <w:pPr>
        <w:pStyle w:val="ListParagraph"/>
        <w:numPr>
          <w:ilvl w:val="0"/>
          <w:numId w:val="2"/>
        </w:numPr>
        <w:spacing w:after="40" w:before="40"/>
      </w:pPr>
      <w:r>
        <w:rPr>
          <w:rFonts w:ascii="Arial" w:cs="Arial" w:eastAsia="Arial" w:hAnsi="Arial"/>
          <w:b w:val="false"/>
          <w:bCs w:val="false"/>
          <w:sz w:val="22"/>
          <w:szCs w:val="22"/>
        </w:rPr>
        <w:t xml:space="preserve">Compatible con Chrome y Edge (escritorio y notebook).</w:t>
      </w:r>
    </w:p>
    <w:p>
      <w:pPr>
        <w:pStyle w:val="ListParagraph"/>
        <w:numPr>
          <w:ilvl w:val="0"/>
          <w:numId w:val="2"/>
        </w:numPr>
        <w:spacing w:after="40" w:before="40"/>
      </w:pPr>
      <w:r>
        <w:rPr>
          <w:rFonts w:ascii="Arial" w:cs="Arial" w:eastAsia="Arial" w:hAnsi="Arial"/>
          <w:b w:val="false"/>
          <w:bCs w:val="false"/>
          <w:sz w:val="22"/>
          <w:szCs w:val="22"/>
        </w:rPr>
        <w:t xml:space="preserve">Responsive: adaptado para tablet y movil (aunque el .bat solo aplica en PC).</w:t>
      </w:r>
    </w:p>
    <w:p>
      <w:pPr>
        <w:pStyle w:val="ListParagraph"/>
        <w:numPr>
          <w:ilvl w:val="0"/>
          <w:numId w:val="2"/>
        </w:numPr>
        <w:spacing w:after="40" w:before="40"/>
      </w:pPr>
      <w:r>
        <w:rPr>
          <w:rFonts w:ascii="Arial" w:cs="Arial" w:eastAsia="Arial" w:hAnsi="Arial"/>
          <w:b w:val="false"/>
          <w:bCs w:val="false"/>
          <w:sz w:val="22"/>
          <w:szCs w:val="22"/>
        </w:rPr>
        <w:t xml:space="preserve">Requiere conexion a la red interna de REX para acceder a la API.</w:t>
      </w:r>
    </w:p>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6. Mejoras Futuras Identificadas</w:t>
      </w:r>
    </w:p>
    <w:p>
      <w:pPr>
        <w:pStyle w:val="ListParagraph"/>
        <w:numPr>
          <w:ilvl w:val="0"/>
          <w:numId w:val="2"/>
        </w:numPr>
        <w:spacing w:after="40" w:before="40"/>
      </w:pPr>
      <w:r>
        <w:rPr>
          <w:rFonts w:ascii="Arial" w:cs="Arial" w:eastAsia="Arial" w:hAnsi="Arial"/>
          <w:b w:val="false"/>
          <w:bCs w:val="false"/>
          <w:sz w:val="22"/>
          <w:szCs w:val="22"/>
        </w:rPr>
        <w:t xml:space="preserve">Agregar cabecera CORS en IIS (web.config de api.somosrex.com) para eliminar la necesidad del .bat y poder distribuir el tablero mas facilmente.</w:t>
      </w:r>
    </w:p>
    <w:p>
      <w:pPr>
        <w:pStyle w:val="ListParagraph"/>
        <w:numPr>
          <w:ilvl w:val="0"/>
          <w:numId w:val="2"/>
        </w:numPr>
        <w:spacing w:after="40" w:before="40"/>
      </w:pPr>
      <w:r>
        <w:rPr>
          <w:rFonts w:ascii="Arial" w:cs="Arial" w:eastAsia="Arial" w:hAnsi="Arial"/>
          <w:b w:val="false"/>
          <w:bCs w:val="false"/>
          <w:sz w:val="22"/>
          <w:szCs w:val="22"/>
        </w:rPr>
        <w:t xml:space="preserve">Historico de periodos: grafico de evolucion de pendientes semana a semana.</w:t>
      </w:r>
    </w:p>
    <w:p>
      <w:pPr>
        <w:pStyle w:val="ListParagraph"/>
        <w:numPr>
          <w:ilvl w:val="0"/>
          <w:numId w:val="2"/>
        </w:numPr>
        <w:spacing w:after="40" w:before="40"/>
      </w:pPr>
      <w:r>
        <w:rPr>
          <w:rFonts w:ascii="Arial" w:cs="Arial" w:eastAsia="Arial" w:hAnsi="Arial"/>
          <w:b w:val="false"/>
          <w:bCs w:val="false"/>
          <w:sz w:val="22"/>
          <w:szCs w:val="22"/>
        </w:rPr>
        <w:t xml:space="preserve">Alertas visuales configurables por umbral (ej: analista con mas de N tickets pendientes).</w:t>
      </w:r>
    </w:p>
    <w:p>
      <w:pPr>
        <w:pStyle w:val="ListParagraph"/>
        <w:numPr>
          <w:ilvl w:val="0"/>
          <w:numId w:val="2"/>
        </w:numPr>
        <w:spacing w:after="40" w:before="40"/>
      </w:pPr>
      <w:r>
        <w:rPr>
          <w:rFonts w:ascii="Arial" w:cs="Arial" w:eastAsia="Arial" w:hAnsi="Arial"/>
          <w:b w:val="false"/>
          <w:bCs w:val="false"/>
          <w:sz w:val="22"/>
          <w:szCs w:val="22"/>
        </w:rPr>
        <w:t xml:space="preserve">Exportacion a PDF o Excel desde el propio tablero.</w:t>
      </w:r>
    </w:p>
    <w:p>
      <w:pPr>
        <w:pStyle w:val="ListParagraph"/>
        <w:numPr>
          <w:ilvl w:val="0"/>
          <w:numId w:val="2"/>
        </w:numPr>
        <w:spacing w:after="40" w:before="40"/>
      </w:pPr>
      <w:r>
        <w:rPr>
          <w:rFonts w:ascii="Arial" w:cs="Arial" w:eastAsia="Arial" w:hAnsi="Arial"/>
          <w:b w:val="false"/>
          <w:bCs w:val="false"/>
          <w:sz w:val="22"/>
          <w:szCs w:val="22"/>
        </w:rPr>
        <w:t xml:space="preserve">Posibilidad de publicar el tablero en un servidor interno (intranet) para acceso sin .bat.</w:t>
      </w:r>
    </w:p>
    <w:p>
      <w:pPr>
        <w:pBdr>
          <w:bottom w:val="single" w:color="E2E0ED" w:sz="4"/>
        </w:pBdr>
        <w:spacing w:after="80" w:before="80"/>
      </w:pPr>
    </w:p>
    <w:p>
      <w:pPr>
        <w:pStyle w:val="Heading1"/>
        <w:spacing w:after="160" w:before="360"/>
      </w:pPr>
      <w:r>
        <w:rPr>
          <w:rFonts w:ascii="Arial" w:cs="Arial" w:eastAsia="Arial" w:hAnsi="Arial"/>
          <w:b/>
          <w:bCs/>
          <w:color w:val="4D0797"/>
          <w:sz w:val="32"/>
          <w:szCs w:val="32"/>
        </w:rPr>
        <w:t xml:space="preserve">7.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Fecha</w:t>
            </w:r>
          </w:p>
        </w:tc>
        <w:tc>
          <w:tcPr>
            <w:tcW w:type="dxa" w:w="6360"/>
            <w:tcBorders>
              <w:top w:val="single" w:color="CCCCCC" w:sz="1"/>
              <w:left w:val="single" w:color="CCCCCC" w:sz="1"/>
              <w:bottom w:val="single" w:color="CCCCCC" w:sz="1"/>
              <w:right w:val="single" w:color="CCCCCC" w:sz="1"/>
            </w:tcBorders>
            <w:shd w:fill="4D0797" w:val="clear"/>
            <w:tcMar>
              <w:top w:type="dxa" w:w="80"/>
              <w:left w:type="dxa" w:w="120"/>
              <w:bottom w:type="dxa" w:w="80"/>
              <w:right w:type="dxa" w:w="120"/>
            </w:tcMar>
            <w:vAlign w:val="center"/>
          </w:tcPr>
          <w:p>
            <w:r>
              <w:rPr>
                <w:rFonts w:ascii="Arial" w:cs="Arial" w:eastAsia="Arial" w:hAnsi="Arial"/>
                <w:b/>
                <w:bCs/>
                <w:color w:val="FFFFFF"/>
                <w:sz w:val="20"/>
                <w:szCs w:val="20"/>
              </w:rPr>
              <w:t xml:space="preserve">Cambios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02/04/2026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inicial. Selector de periodo (Semana/Mes), KPI cards, graficos con etiquetas, tabla de detalle por analista, seccion de proveedores externos, logo Rex, lanzador .bat para CORS.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0ED" w:sz="4"/>
      </w:pBdr>
      <w:spacing w:before="120"/>
      <w:jc w:val="center"/>
    </w:pPr>
    <w:r>
      <w:rPr>
        <w:rFonts w:ascii="Arial" w:cs="Arial" w:eastAsia="Arial" w:hAnsi="Arial"/>
        <w:color w:val="888888"/>
        <w:sz w:val="18"/>
        <w:szCs w:val="18"/>
      </w:rPr>
      <w:t xml:space="preserve">REX  |  Sector Aplicaciones y Desarrollos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05C1" w:sz="4"/>
      </w:pBdr>
      <w:spacing w:after="120"/>
      <w:jc w:val="right"/>
    </w:pPr>
    <w:r>
      <w:rPr>
        <w:rFonts w:ascii="Arial" w:cs="Arial" w:eastAsia="Arial" w:hAnsi="Arial"/>
        <w:color w:val="888888"/>
        <w:sz w:val="18"/>
        <w:szCs w:val="18"/>
      </w:rPr>
      <w:t xml:space="preserve">Tablero APD  —  Aplicaciones y Desarrollos  |  REX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D079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6F05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2026-04-02T16:07:05.922Z</dcterms:created>
  <dcterms:modified xsi:type="dcterms:W3CDTF">2026-04-02T16:07:05.923Z</dcterms:modified>
</cp:coreProperties>
</file>

<file path=docProps/custom.xml><?xml version="1.0" encoding="utf-8"?>
<Properties xmlns="http://schemas.openxmlformats.org/officeDocument/2006/custom-properties" xmlns:vt="http://schemas.openxmlformats.org/officeDocument/2006/docPropsVTypes"/>
</file>