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aps/>
          <w:color w:val="6B7280"/>
          <w:spacing w:val="20"/>
          <w:sz w:val="20"/>
          <w:szCs w:val="20"/>
        </w:rPr>
        <w:t xml:space="preserve">CASE DE NEGÓCIO — DCONDATA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Registro de Premissas, Limitações e Plano de Trabalho</w:t>
      </w:r>
    </w:p>
    <w:p>
      <w:pPr>
        <w:spacing w:after="300"/>
      </w:pPr>
      <w:r>
        <w:rPr>
          <w:i/>
          <w:iCs/>
          <w:color w:val="6B7280"/>
          <w:sz w:val="22"/>
          <w:szCs w:val="22"/>
        </w:rPr>
        <w:t xml:space="preserve">Distribuidora de Alimentos Funcionais e Suplementos — Diagnóstico de crescimento, rentabilidade e capacidade operacional</w:t>
      </w:r>
    </w:p>
    <w:p>
      <w:pPr>
        <w:spacing w:after="160" w:line="288"/>
      </w:pPr>
      <w:r>
        <w:rPr>
          <w:color w:val="222222"/>
          <w:sz w:val="22"/>
          <w:szCs w:val="22"/>
        </w:rPr>
        <w:t xml:space="preserve">Autor: Gabriel Garcia  |  Vaga: Consultor de Análise de Dados</w:t>
      </w:r>
    </w:p>
    <w:p>
      <w:pPr>
        <w:spacing w:after="200"/>
      </w:pPr>
    </w:p>
    <w:p>
      <w:pPr>
        <w:pStyle w:val="Heading1"/>
        <w:pBdr>
          <w:bottom w:val="single" w:color="1E2761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1. Objetivo deste documento</w:t>
      </w:r>
    </w:p>
    <w:p>
      <w:pPr>
        <w:spacing w:after="160" w:line="288"/>
      </w:pPr>
      <w:r>
        <w:rPr>
          <w:color w:val="222222"/>
          <w:sz w:val="22"/>
          <w:szCs w:val="22"/>
        </w:rPr>
        <w:t xml:space="preserve">Este documento consolida, de forma auditável, as premissas assumidas, os tratamentos de dados realizados, as limitações da análise, as ferramentas escolhidas e o plano de trabalho proposto para os próximos passos — complementando o material executivo (apresentação) e o material analítico (notebook).</w:t>
      </w:r>
    </w:p>
    <w:p>
      <w:pPr>
        <w:spacing w:after="160" w:line="288"/>
      </w:pPr>
      <w:r>
        <w:rPr>
          <w:color w:val="222222"/>
          <w:sz w:val="22"/>
          <w:szCs w:val="22"/>
        </w:rPr>
        <w:t xml:space="preserve">O objetivo é permitir que qualquer avaliador reproduza o raciocínio e entenda exatamente onde há fato, onde há hipótese e onde há recomendação — distinção pedida explicitamente pelo case.</w:t>
      </w:r>
    </w:p>
    <w:p>
      <w:pPr>
        <w:pStyle w:val="Heading1"/>
        <w:pBdr>
          <w:bottom w:val="single" w:color="1E2761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2. Recorte e raciocínio adotado</w:t>
      </w:r>
    </w:p>
    <w:p>
      <w:pPr>
        <w:spacing w:after="160" w:line="288"/>
      </w:pPr>
      <w:r>
        <w:rPr>
          <w:color w:val="222222"/>
          <w:sz w:val="22"/>
          <w:szCs w:val="22"/>
        </w:rPr>
        <w:t xml:space="preserve">O case oferece cinco dimensões possíveis de aprofundamento (crescimento, clientes, rentabilidade, estoque, operação). Optei por não tratar todas com a mesma profundidade — conforme orientação explícita do case — e conectar duas leituras complementares: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E2761"/>
          <w:sz w:val="22"/>
          <w:szCs w:val="22"/>
        </w:rPr>
        <w:t xml:space="preserve">Diagnóstico agregado: </w:t>
      </w:r>
      <w:r>
        <w:rPr>
          <w:color w:val="222222"/>
          <w:sz w:val="22"/>
          <w:szCs w:val="22"/>
        </w:rPr>
        <w:t xml:space="preserve">como crescimento, rentabilidade e capacidade operacional se movem juntos ao longo do tempo.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E2761"/>
          <w:sz w:val="22"/>
          <w:szCs w:val="22"/>
        </w:rPr>
        <w:t xml:space="preserve">Segmentação: </w:t>
      </w:r>
      <w:r>
        <w:rPr>
          <w:color w:val="222222"/>
          <w:sz w:val="22"/>
          <w:szCs w:val="22"/>
        </w:rPr>
        <w:t xml:space="preserve">onde, especificamente (canal de aquisição, cliente, produto), esse movimento agregado se concentra — para que a recomendação seja acionável, não genérica.</w:t>
      </w:r>
    </w:p>
    <w:p>
      <w:pPr>
        <w:spacing w:after="160" w:line="288"/>
      </w:pPr>
      <w:r>
        <w:rPr>
          <w:color w:val="222222"/>
          <w:sz w:val="22"/>
          <w:szCs w:val="22"/>
        </w:rPr>
        <w:t xml:space="preserve">A tese central que sustenta o material executivo:</w:t>
      </w:r>
    </w:p>
    <w:tbl>
      <w:tblPr>
        <w:tblW w:type="pct" w:w="100%"/>
        <w:tblBorders>
          <w:top w:val="single" w:color="E8734A" w:sz="4"/>
          <w:left w:val="single" w:color="E8734A" w:sz="4"/>
          <w:bottom w:val="single" w:color="E8734A" w:sz="4"/>
          <w:right w:val="single" w:color="E8734A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8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288"/>
            </w:pPr>
            <w:r>
              <w:rPr>
                <w:i/>
                <w:iCs/>
                <w:color w:val="222222"/>
                <w:sz w:val="22"/>
                <w:szCs w:val="22"/>
              </w:rPr>
              <w:t xml:space="preserve">"O crescimento recente está sendo parcialmente comprado com desconto, frete subsidiado e custo de aquisição crescente — e a operação, com capacidade fixa, já não sustenta o ritmo atual. A saída não é crescer menos: é redirecionar canal, cliente e produto antes de acelerar mais."</w:t>
            </w:r>
          </w:p>
        </w:tc>
      </w:tr>
    </w:tbl>
    <w:p>
      <w:pPr>
        <w:spacing w:after="80"/>
      </w:pPr>
    </w:p>
    <w:p>
      <w:pPr>
        <w:spacing w:after="160" w:line="288"/>
      </w:pPr>
      <w:r>
        <w:rPr>
          <w:color w:val="222222"/>
          <w:sz w:val="22"/>
          <w:szCs w:val="22"/>
        </w:rPr>
        <w:t xml:space="preserve">Essa tese foi construída a partir de evidência quantitativa, não de intuição — todo o encadeamento está documentado no notebook analítico (Case_Distribuidora_Analise.ipynb), célula a célula.</w:t>
      </w:r>
    </w:p>
    <w:p>
      <w:pPr>
        <w:pStyle w:val="Heading1"/>
        <w:pBdr>
          <w:bottom w:val="single" w:color="1E2761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3. Premissas e tratamentos de dados</w:t>
      </w:r>
    </w:p>
    <w:p>
      <w:pPr>
        <w:spacing w:after="160" w:line="288"/>
      </w:pPr>
      <w:r>
        <w:rPr>
          <w:color w:val="222222"/>
          <w:sz w:val="22"/>
          <w:szCs w:val="22"/>
        </w:rPr>
        <w:t xml:space="preserve">A tabela abaixo resume cada problema de qualidade de dado identificado, o tratamento aplicado e a premissa assumida.</w:t>
      </w:r>
    </w:p>
    <w:p>
      <w:pPr>
        <w:spacing w:after="80"/>
      </w:pPr>
    </w:p>
    <w:tbl>
      <w:tblPr>
        <w:tblW w:type="pct" w:w="100%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3116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Problema identificado</w:t>
            </w:r>
          </w:p>
        </w:tc>
        <w:tc>
          <w:tcPr>
            <w:tcW w:type="dxa" w:w="3116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Tratamento / premissa</w:t>
            </w:r>
          </w:p>
        </w:tc>
      </w:tr>
      <w:tr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produtos.csv</w:t>
            </w:r>
          </w:p>
        </w:tc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Categoria com grafia divergente ("Proteínas &amp; recuperação" vs. "Proteínas e recuperação")</w:t>
            </w:r>
          </w:p>
        </w:tc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Normalizada para a grafia mais frequente. Tratado como erro de digitação, não como categoria distinta.</w:t>
            </w:r>
          </w:p>
        </w:tc>
      </w:tr>
      <w:tr>
        <w:tc>
          <w:tcPr>
            <w:tcW w:type="dxa" w:w="3116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itens_pedidos.csv</w:t>
            </w:r>
          </w:p>
        </w:tc>
        <w:tc>
          <w:tcPr>
            <w:tcW w:type="dxa" w:w="3116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248 itens (92 produtos) sem custo_unitario_historico</w:t>
            </w:r>
          </w:p>
        </w:tc>
        <w:tc>
          <w:tcPr>
            <w:tcW w:type="dxa" w:w="3116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Preenchido com custo_atual do produto como aproximação. Sinalizado em coluna auxiliar (custo_estimado) — não é o custo real da época da venda, então margens desses itens têm incerteza adicional.</w:t>
            </w:r>
          </w:p>
        </w:tc>
      </w:tr>
      <w:tr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compras.csv</w:t>
            </w:r>
          </w:p>
        </w:tc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593 nulos em taxa_cambio_interna — à primeira vista pareceria um problema grande de qualidade</w:t>
            </w:r>
          </w:p>
        </w:tc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Investigado por origem_fornecedor: 592 são compras NACIONAIS, onde nulo é o comportamento esperado (câmbio não se aplica). Apenas 1 registro IMPORTADO tinha o dado de fato faltando — tratado via integração com a PTAX oficial do Banco Central (Seção 5 do notebook). Resultado: 1 registro preenchido; spread cambial médio entre a taxa praticada pela empresa e a PTAX oficial do dia = 2,45%, dentro de uma faixa razoável — sem sinal de distorção relevante no câmbio praticado.</w:t>
            </w:r>
          </w:p>
        </w:tc>
      </w:tr>
      <w:tr>
        <w:tc>
          <w:tcPr>
            <w:tcW w:type="dxa" w:w="3116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capacidade.csv</w:t>
            </w:r>
          </w:p>
        </w:tc>
        <w:tc>
          <w:tcPr>
            <w:tcW w:type="dxa" w:w="3116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Campo de absenteísmo (pessoas_planejadas − pessoas_presentes) sempre igual a zero no período</w:t>
            </w:r>
          </w:p>
        </w:tc>
        <w:tc>
          <w:tcPr>
            <w:tcW w:type="dxa" w:w="3116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Interpretado como limitação do dado (não captura variação real), não como indicador operacional útil. Não utilizado na análise.</w:t>
            </w:r>
          </w:p>
        </w:tc>
      </w:tr>
      <w:tr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capacidade.csv</w:t>
            </w:r>
          </w:p>
        </w:tc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Turno de sábado extra nunca ativado (0 de 780 turnos)</w:t>
            </w:r>
          </w:p>
        </w:tc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Tratado como fato relevante para a recomendação — não como erro de dado. Vira alavanca de capacidade citada nas recomendações.</w:t>
            </w:r>
          </w:p>
        </w:tc>
      </w:tr>
      <w:tr>
        <w:tc>
          <w:tcPr>
            <w:tcW w:type="dxa" w:w="3116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devolucoes.csv</w:t>
            </w:r>
          </w:p>
        </w:tc>
        <w:tc>
          <w:tcPr>
            <w:tcW w:type="dxa" w:w="3116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Taxa de devolução (4,1% dos pedidos) sem concentração anômala em nenhum motivo específico</w:t>
            </w:r>
          </w:p>
        </w:tc>
        <w:tc>
          <w:tcPr>
            <w:tcW w:type="dxa" w:w="3116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Registrada como taxa de referência; não priorizada como eixo de aprofundamento, dado o recorte escolhido.</w:t>
            </w:r>
          </w:p>
        </w:tc>
      </w:tr>
    </w:tbl>
    <w:p>
      <w:pPr>
        <w:pStyle w:val="Heading1"/>
        <w:pBdr>
          <w:bottom w:val="single" w:color="1E2761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4. Limitações da análise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22222"/>
          <w:sz w:val="22"/>
          <w:szCs w:val="22"/>
        </w:rPr>
        <w:t xml:space="preserve">Margem de contribuição foi calculada por item (preço − desconto − custo), sem rateio de frete, comissão de vendedor ou custo fixo de operação por produto — é uma margem de contribuição direta, não uma margem líquida completa.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22222"/>
          <w:sz w:val="22"/>
          <w:szCs w:val="22"/>
        </w:rPr>
        <w:t xml:space="preserve">Giro de estoque foi calculado como proxy (quantidade vendida no período total / estoque médio no período), não como giro por janela móvel mensal — suficiente para identificar desalinhamento entre classes ABC, mas não para dimensionar ponto de reposição.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22222"/>
          <w:sz w:val="22"/>
          <w:szCs w:val="22"/>
        </w:rPr>
        <w:t xml:space="preserve">A curva ABC foi construída por receita líquida; uma curva por margem de contribuição poderia reordenar alguns produtos de forma diferente (não foi feita neste recorte por tempo, mas fica registrada como próximo passo natural).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22222"/>
          <w:sz w:val="22"/>
          <w:szCs w:val="22"/>
        </w:rPr>
        <w:t xml:space="preserve">A integração com a API do BACEN não pôde ser executada dentro do ambiente de sandbox usado para o restante da análise (a API bloqueia esse tipo de acesso automatizado). O código foi escrito, documentado e a lógica de tratamento foi validada com os dados reais de compras.csv — mas a chamada de rede em si precisa ser executada em um ambiente com acesso normal à internet (ver integracao_bacen_cambio.py).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22222"/>
          <w:sz w:val="22"/>
          <w:szCs w:val="22"/>
        </w:rPr>
        <w:t xml:space="preserve">A análise cobre 18 meses (jan/2025-jun/2026); sazonalidade de médio/longo prazo (mais de um ciclo anual completo) não pode ser isolada com segurança estatística.</w:t>
      </w:r>
    </w:p>
    <w:p>
      <w:pPr>
        <w:pStyle w:val="Heading1"/>
        <w:pBdr>
          <w:bottom w:val="single" w:color="1E2761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5. Ferramentas escolhidas e por quê</w:t>
      </w:r>
    </w:p>
    <w:tbl>
      <w:tblPr>
        <w:tblW w:type="pct" w:w="100%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116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116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que</w:t>
            </w:r>
          </w:p>
        </w:tc>
      </w:tr>
      <w:tr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Python (pandas)</w:t>
            </w:r>
          </w:p>
        </w:tc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Tratamento, agregação e cálculo de todas as métricas</w:t>
            </w:r>
          </w:p>
        </w:tc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Stack que uso no dia a dia profissional; permite documentar o raciocínio célula a célula em notebook, o que atende diretamente ao critério de "execução" do case.</w:t>
            </w:r>
          </w:p>
        </w:tc>
      </w:tr>
      <w:tr>
        <w:tc>
          <w:tcPr>
            <w:tcW w:type="dxa" w:w="3116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3116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Material analítico (entregável #2)</w:t>
            </w:r>
          </w:p>
        </w:tc>
        <w:tc>
          <w:tcPr>
            <w:tcW w:type="dxa" w:w="3116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Formato que une código, resultado e explicação no mesmo artefato — auditável e reprodutível.</w:t>
            </w:r>
          </w:p>
        </w:tc>
      </w:tr>
      <w:tr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PowerPoint</w:t>
            </w:r>
          </w:p>
        </w:tc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Material executivo (entregável #1)</w:t>
            </w:r>
          </w:p>
        </w:tc>
        <w:tc>
          <w:tcPr>
            <w:tcW w:type="dxa" w:w="311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Formato mais adequado para leitura por diretoria: prioriza síntese visual sobre profundidade técnica.</w:t>
            </w:r>
          </w:p>
        </w:tc>
      </w:tr>
      <w:tr>
        <w:tc>
          <w:tcPr>
            <w:tcW w:type="dxa" w:w="3116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API do Banco Central (BACEN/SGS)</w:t>
            </w:r>
          </w:p>
        </w:tc>
        <w:tc>
          <w:tcPr>
            <w:tcW w:type="dxa" w:w="3116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Fonte pública obrigatória — resultado: spread cambial médio de 2,45% entre a taxa praticada pela empresa e a PTAX oficial</w:t>
            </w:r>
          </w:p>
        </w:tc>
        <w:tc>
          <w:tcPr>
            <w:tcW w:type="dxa" w:w="3116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Câmbio é a variável pública mais diretamente conectada aos dados internos (compras importadas em USD) — evita usar uma fonte pública apenas de forma decorativa. Spread de 2,45% indica que o custo de compra importada é majoritariamente explicado por câmbio de mercado, não por sobrepreço de negociação.</w:t>
            </w:r>
          </w:p>
        </w:tc>
      </w:tr>
    </w:tbl>
    <w:p>
      <w:pPr>
        <w:pStyle w:val="Heading1"/>
        <w:pBdr>
          <w:bottom w:val="single" w:color="1E2761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6. Uso de inteligência artificial</w:t>
      </w:r>
    </w:p>
    <w:p>
      <w:pPr>
        <w:spacing w:after="160" w:line="288"/>
      </w:pPr>
      <w:r>
        <w:rPr>
          <w:color w:val="222222"/>
          <w:sz w:val="22"/>
          <w:szCs w:val="22"/>
        </w:rPr>
        <w:t xml:space="preserve">Utilizei o Claude (Anthropic) como copiloto de análise ao longo de todo o processo. Descrição transparente do uso: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O que a IA ajudou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22222"/>
          <w:sz w:val="22"/>
          <w:szCs w:val="22"/>
        </w:rPr>
        <w:t xml:space="preserve">Exploração inicial das 10 bases (estrutura, granularidade, valores nulos e categóricos).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22222"/>
          <w:sz w:val="22"/>
          <w:szCs w:val="22"/>
        </w:rPr>
        <w:t xml:space="preserve">Sugestão de hipóteses de análise e discussão do recorte estratégico (comparação entre diferentes narrativas possíveis antes de decidir a que está neste documento).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22222"/>
          <w:sz w:val="22"/>
          <w:szCs w:val="22"/>
        </w:rPr>
        <w:t xml:space="preserve">Geração de código Python/pandas para os cálculos e para os gráficos.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22222"/>
          <w:sz w:val="22"/>
          <w:szCs w:val="22"/>
        </w:rPr>
        <w:t xml:space="preserve">Geração dos artefatos finais (notebook, apresentação e este documento) a partir do conteúdo já validado.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O que foi revisado e corrigido por mim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22222"/>
          <w:sz w:val="22"/>
          <w:szCs w:val="22"/>
        </w:rPr>
        <w:t xml:space="preserve">Uma hipótese inicial da IA de que os 593 nulos em taxa_cambio_interna eram, em bloco, um problema de qualidade de dado a corrigir. Ao pedir a quebra por origem_fornecedor, ficou claro que 592 eram nulos esperados (compras nacionais) e só 1 precisava de tratamento — documentado na Seção 3.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22222"/>
          <w:sz w:val="22"/>
          <w:szCs w:val="22"/>
        </w:rPr>
        <w:t xml:space="preserve">Um erro de execução no script de integração com o BACEN (merge_asof não aceita chave nula) — identificado ao rodar o script no meu ambiente local, reportado e corrigido, e revalidado com os dados reais de compras.csv antes de aceitar a correção.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22222"/>
          <w:sz w:val="22"/>
          <w:szCs w:val="22"/>
        </w:rPr>
        <w:t xml:space="preserve">Um bug visual nos gráficos do material executivo (cores alternando incorretamente por categoria em vez de por série) — identificado por inspeção visual direta dos slides gerados, não aceito sem essa checagem.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Como validei</w:t>
      </w:r>
    </w:p>
    <w:p>
      <w:pPr>
        <w:spacing w:after="160" w:line="288"/>
      </w:pPr>
      <w:r>
        <w:rPr>
          <w:color w:val="222222"/>
          <w:sz w:val="22"/>
          <w:szCs w:val="22"/>
        </w:rPr>
        <w:t xml:space="preserve">Todo código foi executado por mim (ou, no caso do script do BACEN, rodado no meu próprio ambiente local com acesso à internet) — não aceitei nenhum número sem rodar o cálculo e inspecionar o resultado. Os gráficos foram inspecionados visualmente antes de aceitar cada entregável. As decisões de recorte, priorização e recomendação final são minhas — a IA propôs alternativas, mas a escolha entre elas (Seção 2) foi feita por mim, considerando o que eu queria evidenciar como candidato.</w:t>
      </w:r>
    </w:p>
    <w:p>
      <w:pPr>
        <w:pStyle w:val="Heading1"/>
        <w:pBdr>
          <w:bottom w:val="single" w:color="1E2761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7. Plano de trabalho — próximos passos</w:t>
      </w:r>
    </w:p>
    <w:p>
      <w:pPr>
        <w:spacing w:after="160" w:line="288"/>
      </w:pPr>
      <w:r>
        <w:rPr>
          <w:color w:val="222222"/>
          <w:sz w:val="22"/>
          <w:szCs w:val="22"/>
        </w:rPr>
        <w:t xml:space="preserve">Caso este diagnóstico fosse levado adiante como projeto real, a sequência proposta para os próximos meses seria: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22222"/>
          <w:sz w:val="22"/>
          <w:szCs w:val="22"/>
        </w:rPr>
        <w:t xml:space="preserve">Validar as recomendações com Marketing, Comercial e Operação em uma sessão conjunta — hoje cada área lê os dados de forma isolada, e o primeiro ganho é uma leitura compartilhada.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22222"/>
          <w:sz w:val="22"/>
          <w:szCs w:val="22"/>
        </w:rPr>
        <w:t xml:space="preserve">Definir metas por canal de aquisição que incluam recorrência mínima (não apenas CAC ou volume de novos clientes).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22222"/>
          <w:sz w:val="22"/>
          <w:szCs w:val="22"/>
        </w:rPr>
        <w:t xml:space="preserve">Redesenhar a política de compra por classe ABC, priorizando disponibilidade da classe A e revisando o SLA de fornecedores importados.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22222"/>
          <w:sz w:val="22"/>
          <w:szCs w:val="22"/>
        </w:rPr>
        <w:t xml:space="preserve">Rodar um piloto de turno de sábado extra em 1-2 picos sazonais e medir o impacto real no SLA antes de decidir por contratação.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22222"/>
          <w:sz w:val="22"/>
          <w:szCs w:val="22"/>
        </w:rPr>
        <w:t xml:space="preserve">Revisar critérios de desconto e subsídio de frete, atrelando-os a regras por segmento de cliente (hoje parecem ter crescido sem critério explícito).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22222"/>
          <w:sz w:val="22"/>
          <w:szCs w:val="22"/>
        </w:rPr>
        <w:t xml:space="preserve">Acompanhar mensalmente, em um painel único: % de desconto sobre receita, CAC por canal, SLA de expedição e semanas de ruptura da classe A — os quatro indicadores que sustentam o diagnóstico deste case.</w:t>
      </w:r>
    </w:p>
    <w:p>
      <w:pPr>
        <w:spacing w:after="200"/>
      </w:pPr>
    </w:p>
    <w:p>
      <w:pPr>
        <w:pBdr>
          <w:top w:val="single" w:color="D1D5DB" w:sz="4" w:space="8"/>
        </w:pBdr>
        <w:spacing w:before="200"/>
      </w:pPr>
      <w:r>
        <w:rPr>
          <w:i/>
          <w:iCs/>
          <w:color w:val="6B7280"/>
          <w:sz w:val="18"/>
          <w:szCs w:val="18"/>
        </w:rPr>
        <w:t xml:space="preserve">Documentos relacionados: Case_Distribuidora_Diagnostico.pptx (material executivo) · Case_Distribuidora_Analise.ipynb (material analítico) · integracao_bacen_cambio.py (fonte pública)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2026-08-11T20:11:03.339Z</dcterms:created>
  <dcterms:modified xsi:type="dcterms:W3CDTF">2026-08-11T20:11:03.353Z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