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HealthScore Orkestria360</w:t>
      </w:r>
    </w:p>
    <w:p>
      <w:pPr>
        <w:jc w:val="center"/>
      </w:pPr>
      <w:r>
        <w:rPr>
          <w:i/>
          <w:sz w:val="24"/>
        </w:rPr>
        <w:t>Modelo de cálculo V1 — baseado apenas em dados coletáveis por API</w:t>
      </w:r>
    </w:p>
    <w:p>
      <w:r>
        <w:rPr>
          <w:b/>
        </w:rPr>
        <w:t xml:space="preserve">Objetivo: </w:t>
      </w:r>
      <w:r>
        <w:t>definir como calcular o HealthScore Orkestria360 a partir de pilares ponderados. Cada indicador gera uma nota de 0 a 100 e recebe 100% do seu peso interno quando atinge o critério de excelência definido. Não há dependência de dados manuais.</w:t>
      </w:r>
    </w:p>
    <w:p>
      <w:r>
        <w:rPr>
          <w:b/>
        </w:rPr>
        <w:t xml:space="preserve">Fórmula geral: </w:t>
      </w:r>
      <w:r>
        <w:t>HealthScore = Segurança*0,30 + Licenciamento*0,20 + Governança*0,15 + Disponibilidade*0,10 + Compliance*0,10 + Produtividade*0,10 + Configurações Gerais*0,05</w:t>
      </w:r>
    </w:p>
    <w:p>
      <w:r>
        <w:rPr>
          <w:b/>
        </w:rPr>
        <w:t xml:space="preserve">Observação de cobertura: </w:t>
      </w:r>
      <w:r>
        <w:t>quando uma API não estiver disponível por licença/permissão, o indicador deve ser marcado como não coletado. O score deve exibir também a cobertura dos dados, para evitar uma nota aparentemente precisa com baixa coleta.</w:t>
      </w:r>
    </w:p>
    <w:p>
      <w:pPr>
        <w:pStyle w:val="Heading1"/>
      </w:pPr>
      <w:r>
        <w:t>1. Segurança — peso 30%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2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Peso interno</w:t>
            </w:r>
          </w:p>
        </w:tc>
        <w:tc>
          <w:tcPr>
            <w:tcW w:type="dxa" w:w="72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Cálculo / motivo para atingir peso interno total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Fonte API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Secure Score Microsoft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currentScore / maxScore &gt;= 80%. Abaixo disso, pontua proporcionalmente.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/security/secureScores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Cobertura MFA dos usuários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&gt;= 95% dos usuários habilitados estão registrados/capazes para MFA.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/reports/authenticationMethods/userRegistrationDetails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MFA em administradores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100% dos usuários em roles administrativas estão registrados/capazes para MFA.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/directoryRoles</w:t>
            </w:r>
            <w:r>
              <w:br/>
            </w:r>
            <w:r>
              <w:rPr>
                <w:b w:val="0"/>
                <w:sz w:val="16"/>
              </w:rPr>
              <w:t>/directoryRoles/{id}/members</w:t>
            </w:r>
            <w:r>
              <w:br/>
            </w:r>
            <w:r>
              <w:rPr>
                <w:b w:val="0"/>
                <w:sz w:val="16"/>
              </w:rPr>
              <w:t>/reports/authenticationMethods/userRegistrationDetails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Alertas/incidentes de segurança abertos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não existem alertas ou incidentes high/critical abertos. Quanto mais alertas críticos, menor a nota.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/security/alerts_v2</w:t>
            </w:r>
            <w:r>
              <w:br/>
            </w:r>
            <w:r>
              <w:rPr>
                <w:b w:val="0"/>
                <w:sz w:val="16"/>
              </w:rPr>
              <w:t>/security/incidents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Conditional Access ou Security Defaults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há pelo menos uma política ativa de Conditional Access relevante para MFA ou quando Security Defaults está habilitado.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/identity/conditionalAccess/policies</w:t>
            </w:r>
            <w:r>
              <w:br/>
            </w:r>
            <w:r>
              <w:rPr>
                <w:b w:val="0"/>
                <w:sz w:val="16"/>
              </w:rPr>
              <w:t>/policies/identitySecurityDefaultsEnforcementPolicy</w:t>
            </w:r>
          </w:p>
        </w:tc>
      </w:tr>
    </w:tbl>
    <w:p/>
    <w:p>
      <w:r>
        <w:br w:type="page"/>
      </w:r>
    </w:p>
    <w:p>
      <w:pPr>
        <w:pStyle w:val="Heading1"/>
      </w:pPr>
      <w:r>
        <w:t>2. Licenciamento — peso 20%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2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Peso interno</w:t>
            </w:r>
          </w:p>
        </w:tc>
        <w:tc>
          <w:tcPr>
            <w:tcW w:type="dxa" w:w="72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Cálculo / motivo para atingir peso interno total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Fonte API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Utilização das licenças compradas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40%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a utilização fica entre 85% e 95%: consumedUnits / prepaidUnits.enabled. Abaixo disso indica desperdício; acima disso indica risco de falta de licenças.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/subscribedSkus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Licenças atribuídas com uso recente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&gt;= 90% dos usuários licenciados tiveram atividade nos últimos 30 dias em algum serviço Microsoft 365.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/users?$select=assignedLicenses</w:t>
            </w:r>
            <w:r>
              <w:br/>
            </w:r>
            <w:r>
              <w:rPr>
                <w:b w:val="0"/>
                <w:sz w:val="16"/>
              </w:rPr>
              <w:t>/reports/getOffice365ActiveUserDetail(period='D30')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Excesso de licenças disponíveis por SKU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nenhuma SKU possui sobra maior que 25% das licenças compradas.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/subscribedSkus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SKUs sem uso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não existe SKU comprada com consumedUnits = 0.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/subscribedSkus</w:t>
            </w:r>
          </w:p>
        </w:tc>
      </w:tr>
    </w:tbl>
    <w:p/>
    <w:p>
      <w:r>
        <w:br w:type="page"/>
      </w:r>
    </w:p>
    <w:p>
      <w:pPr>
        <w:pStyle w:val="Heading1"/>
      </w:pPr>
      <w:r>
        <w:t>3. Governança — peso 15%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2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Peso interno</w:t>
            </w:r>
          </w:p>
        </w:tc>
        <w:tc>
          <w:tcPr>
            <w:tcW w:type="dxa" w:w="72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Cálculo / motivo para atingir peso interno total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Fonte API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Grupos com owner definido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&gt;= 95% dos grupos suportados possuem pelo menos um owner.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/groups</w:t>
            </w:r>
            <w:r>
              <w:br/>
            </w:r>
            <w:r>
              <w:rPr>
                <w:b w:val="0"/>
                <w:sz w:val="16"/>
              </w:rPr>
              <w:t>/groups/{id}/owners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Contas inativas ainda habilitadas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&lt;= 5% dos usuários habilitados estão sem login bem-sucedido há mais de 90 dias.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/users?$select=accountEnabled,signInActivity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Usuários convidados controlados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convidados inativos há mais de 90 dias representam &lt;= 5% dos convidados ou quando não existem convidados inativos.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/users?$filter=userType eq 'Guest'&amp;$select=signInActivity,accountEnabled,userType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Roles administrativas monitoradas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todas as roles administrativas possuem membros identificados e nenhum admin está inativo há mais de 90 dias.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/directoryRoles</w:t>
            </w:r>
            <w:r>
              <w:br/>
            </w:r>
            <w:r>
              <w:rPr>
                <w:b w:val="0"/>
                <w:sz w:val="16"/>
              </w:rPr>
              <w:t>/directoryRoles/{id}/members</w:t>
            </w:r>
            <w:r>
              <w:br/>
            </w:r>
            <w:r>
              <w:rPr>
                <w:b w:val="0"/>
                <w:sz w:val="16"/>
              </w:rPr>
              <w:t>/users?$select=signInActivity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Atividades administrativas sensíveis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não existem eventos sensíveis recentes sem revisão, como criação de app, admin consent, alteração de role ou mudança crítica de política.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/auditLogs/directoryAudits</w:t>
            </w:r>
          </w:p>
        </w:tc>
      </w:tr>
    </w:tbl>
    <w:p/>
    <w:p>
      <w:r>
        <w:br w:type="page"/>
      </w:r>
    </w:p>
    <w:p>
      <w:pPr>
        <w:pStyle w:val="Heading1"/>
      </w:pPr>
      <w:r>
        <w:t>4. Disponibilidade — peso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2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Peso interno</w:t>
            </w:r>
          </w:p>
        </w:tc>
        <w:tc>
          <w:tcPr>
            <w:tcW w:type="dxa" w:w="72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Cálculo / motivo para atingir peso interno total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Fonte API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Status dos serviços principais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60%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todos os serviços principais estão serviceOperational.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/admin/serviceAnnouncement/healthOverviews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Incidentes ativos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não existem issues ativas afetando serviços principais.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/admin/serviceAnnouncement/issues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Recorrência de degradação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não houve degradação recorrente nos últimos 30 dias, baseado nos snapshots coletados via API pelo Orkestria.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/admin/serviceAnnouncement/healthOverviews</w:t>
            </w:r>
            <w:r>
              <w:br/>
            </w:r>
            <w:r>
              <w:rPr>
                <w:b w:val="0"/>
                <w:sz w:val="16"/>
              </w:rPr>
              <w:t>/admin/serviceAnnouncement/issues</w:t>
            </w:r>
            <w:r>
              <w:br/>
            </w:r>
            <w:r>
              <w:rPr>
                <w:b w:val="0"/>
                <w:sz w:val="16"/>
              </w:rPr>
              <w:t>Snapshots internos</w:t>
            </w:r>
          </w:p>
        </w:tc>
      </w:tr>
    </w:tbl>
    <w:p/>
    <w:p>
      <w:r>
        <w:br w:type="page"/>
      </w:r>
    </w:p>
    <w:p>
      <w:pPr>
        <w:pStyle w:val="Heading1"/>
      </w:pPr>
      <w:r>
        <w:t>5. Compliance — peso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2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Peso interno</w:t>
            </w:r>
          </w:p>
        </w:tc>
        <w:tc>
          <w:tcPr>
            <w:tcW w:type="dxa" w:w="72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Cálculo / motivo para atingir peso interno total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Fonte API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Controles de compliance/information protection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controles do Secure Score relacionados a compliance, proteção de informação e governança estão &gt;= 80% implementados.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/security/secureScoreControlProfiles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Sensitivity labels disponíveis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existem labels habilitadas para classificação/proteção de dados.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Microsoft Purview / Graph Information Protection APIs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Saúde do Purview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o serviço Purview está serviceOperational.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/admin/serviceAnnouncement/healthOverviews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Auditoria administrativa disponível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há coleta recente de auditoria e eventos administrativos estão disponíveis para análise.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/auditLogs/directoryAudits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Governança de acesso externo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convidados, grupos e acessos externos estão dentro dos limites definidos pelo Orkestria.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/users</w:t>
            </w:r>
            <w:r>
              <w:br/>
            </w:r>
            <w:r>
              <w:rPr>
                <w:b w:val="0"/>
                <w:sz w:val="16"/>
              </w:rPr>
              <w:t>/groups</w:t>
            </w:r>
            <w:r>
              <w:br/>
            </w:r>
            <w:r>
              <w:rPr>
                <w:b w:val="0"/>
                <w:sz w:val="16"/>
              </w:rPr>
              <w:t>/groups/{id}/owners</w:t>
            </w:r>
          </w:p>
        </w:tc>
      </w:tr>
    </w:tbl>
    <w:p/>
    <w:p>
      <w:r>
        <w:br w:type="page"/>
      </w:r>
    </w:p>
    <w:p>
      <w:pPr>
        <w:pStyle w:val="Heading1"/>
      </w:pPr>
      <w:r>
        <w:t>6. Produtividade — peso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2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Peso interno</w:t>
            </w:r>
          </w:p>
        </w:tc>
        <w:tc>
          <w:tcPr>
            <w:tcW w:type="dxa" w:w="72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Cálculo / motivo para atingir peso interno total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Fonte API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Usuários ativos Microsoft 365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&gt;= 80% dos usuários licenciados tiveram atividade nos últimos 30 dias.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/reports/getOffice365ActiveUserDetail(period='D30')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Uso geral dos serviços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os workloads principais têm atividade consistente nos últimos 30 dias.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/reports/getOffice365ServicesUserCounts(period='D30')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Adoção do Teams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&gt;= 60% dos usuários elegíveis usam Teams nos últimos 30 dias.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/reports/getTeamsUserActivityUserCounts(period='D30')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Adoção do Exchange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&gt;= 80% dos usuários com mailbox tiveram atividade de e-mail nos últimos 30 dias.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/reports/getEmailActivityUserCounts(period='D30')</w:t>
            </w:r>
            <w:r>
              <w:br/>
            </w:r>
            <w:r>
              <w:rPr>
                <w:b w:val="0"/>
                <w:sz w:val="16"/>
              </w:rPr>
              <w:t>/reports/getMailboxUsageMailboxCounts(period='D30')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Adoção de OneDrive/SharePoint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há uso ativo de arquivos/sites por &gt;= 60% dos usuários elegíveis.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/reports/getOneDriveUsageAccountCounts(period='D30')</w:t>
            </w:r>
            <w:r>
              <w:br/>
            </w:r>
            <w:r>
              <w:rPr>
                <w:b w:val="0"/>
                <w:sz w:val="16"/>
              </w:rPr>
              <w:t>/reports/getSharePointSiteUsageDetail(period='D30')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Uso dos Microsoft 365 Apps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&gt;= 80% dos usuários elegíveis usam ou ativaram apps Microsoft 365.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/reports/getM365AppUserCounts(period='D30')</w:t>
            </w:r>
            <w:r>
              <w:br/>
            </w:r>
            <w:r>
              <w:rPr>
                <w:b w:val="0"/>
                <w:sz w:val="16"/>
              </w:rPr>
              <w:t>/reports/getOffice365ActivationsUserCounts</w:t>
            </w:r>
          </w:p>
        </w:tc>
      </w:tr>
    </w:tbl>
    <w:p/>
    <w:p>
      <w:r>
        <w:br w:type="page"/>
      </w:r>
    </w:p>
    <w:p>
      <w:pPr>
        <w:pStyle w:val="Heading1"/>
      </w:pPr>
      <w:r>
        <w:t>7. Configurações Gerais — peso 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884"/>
        <w:gridCol w:w="3884"/>
        <w:gridCol w:w="3884"/>
        <w:gridCol w:w="3884"/>
      </w:tblGrid>
      <w:tr>
        <w:trPr>
          <w:tblHeader w:val="true"/>
          <w:cantSplit/>
        </w:trP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29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Peso interno</w:t>
            </w:r>
          </w:p>
        </w:tc>
        <w:tc>
          <w:tcPr>
            <w:tcW w:type="dxa" w:w="72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Cálculo / motivo para atingir peso interno total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Fonte API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Tenant identificado corretamente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os dados básicos do tenant são coletados com sucesso.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/organization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Domínios verificados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100% dos domínios em uso estão verificados.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/domains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Registros de domínio essenciais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os registros necessários para os serviços Microsoft 365 estão presentes e válidos.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/domains/{domainName}/serviceConfigurationRecords</w:t>
            </w:r>
            <w:r>
              <w:br/>
            </w:r>
            <w:r>
              <w:rPr>
                <w:b w:val="0"/>
                <w:sz w:val="16"/>
              </w:rPr>
              <w:t>DNS lookup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Proteção base de identidade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Security Defaults está habilitado ou existe Conditional Access ativo cobrindo MFA.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/policies/identitySecurityDefaultsEnforcementPolicy</w:t>
            </w:r>
            <w:r>
              <w:br/>
            </w:r>
            <w:r>
              <w:rPr>
                <w:b w:val="0"/>
                <w:sz w:val="16"/>
              </w:rPr>
              <w:t>/identity/conditionalAccess/policies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Freshness das coletas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Atinge 100 quando todas as coletas obrigatórias foram executadas com sucesso dentro da janela definida, por exemplo, últimas 24h.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Logs internos do Orkestria gerados pelas coletas de API</w:t>
            </w:r>
          </w:p>
        </w:tc>
      </w:tr>
    </w:tbl>
    <w:p/>
    <w:p>
      <w:pPr>
        <w:pStyle w:val="Heading1"/>
      </w:pPr>
      <w:r>
        <w:t>Como calcular quando o indicador não atinge 100</w:t>
      </w:r>
    </w:p>
    <w:p>
      <w:pPr>
        <w:pStyle w:val="ListBullet"/>
      </w:pPr>
      <w:r>
        <w:t>Cada indicador deve ser convertido para uma nota de 0 a 100 antes de aplicar o peso interno.</w:t>
      </w:r>
    </w:p>
    <w:p>
      <w:pPr>
        <w:pStyle w:val="ListBullet"/>
      </w:pPr>
      <w:r>
        <w:t>Contribuição no pilar = score_do_indicador * peso_interno.</w:t>
      </w:r>
    </w:p>
    <w:p>
      <w:pPr>
        <w:pStyle w:val="ListBullet"/>
      </w:pPr>
      <w:r>
        <w:t>Contribuição no HealthScore = score_do_indicador * peso_interno * peso_do_pilar.</w:t>
      </w:r>
    </w:p>
    <w:p>
      <w:pPr>
        <w:pStyle w:val="ListBullet"/>
      </w:pPr>
      <w:r>
        <w:t>Exemplo: Licenciamento pesa 20% no HealthScore, e Utilização das licenças pesa 40% dentro de Licenciamento. Se esse indicador fizer 100 pontos, ele contribui com 40 pontos no pilar e 8 pontos no HealthScore geral.</w:t>
      </w:r>
    </w:p>
    <w:p>
      <w:pPr>
        <w:pStyle w:val="Heading1"/>
      </w:pPr>
      <w:r>
        <w:t>Fontes oficiais consultadas</w:t>
      </w:r>
    </w:p>
    <w:p>
      <w:pPr>
        <w:pStyle w:val="ListBullet"/>
      </w:pPr>
      <w:r>
        <w:t>Microsoft Graph — subscribedSkus: https://learn.microsoft.com/en-us/graph/api/subscribedsku-list?view=graph-rest-1.0</w:t>
      </w:r>
    </w:p>
    <w:p>
      <w:pPr>
        <w:pStyle w:val="ListBullet"/>
      </w:pPr>
      <w:r>
        <w:t>Microsoft Graph — Service Health healthOverviews: https://learn.microsoft.com/en-us/graph/api/serviceannouncement-list-healthoverviews?view=graph-rest-1.0</w:t>
      </w:r>
    </w:p>
    <w:p>
      <w:pPr>
        <w:pStyle w:val="ListBullet"/>
      </w:pPr>
      <w:r>
        <w:t>Microsoft Graph — userRegistrationDetails: https://learn.microsoft.com/en-us/graph/api/authenticationmethodsroot-list-userregistrationdetails?view=graph-rest-1.0</w:t>
      </w:r>
    </w:p>
    <w:p>
      <w:pPr>
        <w:pStyle w:val="ListBullet"/>
      </w:pPr>
      <w:r>
        <w:t>Microsoft Graph — Security API overview: https://learn.microsoft.com/en-us/graph/api/resources/security-api-overview?view=graph-rest-1.0</w:t>
      </w:r>
    </w:p>
    <w:p>
      <w:pPr>
        <w:pStyle w:val="ListBullet"/>
      </w:pPr>
      <w:r>
        <w:t>Microsoft Graph — Reports API overview: https://learn.microsoft.com/en-us/graph/reportroot-concept-overview</w:t>
      </w:r>
    </w:p>
    <w:p>
      <w:pPr>
        <w:pStyle w:val="ListBullet"/>
      </w:pPr>
      <w:r>
        <w:t>Microsoft Graph — Group owners: https://learn.microsoft.com/en-us/graph/api/group-list-owners?view=graph-rest-1.0</w:t>
      </w:r>
    </w:p>
    <w:p>
      <w:pPr>
        <w:pStyle w:val="ListBullet"/>
      </w:pPr>
      <w:r>
        <w:t>Microsoft Graph — signInActivity: https://learn.microsoft.com/en-us/graph/api/resources/signinactivity?view=graph-rest-1.0</w:t>
      </w:r>
    </w:p>
    <w:p>
      <w:pPr>
        <w:pStyle w:val="ListBullet"/>
      </w:pPr>
      <w:r>
        <w:t>Microsoft Graph — serviceConfigurationRecords: https://learn.microsoft.com/en-us/graph/api/domain-list-serviceconfigurationrecords?view=graph-rest-1.0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5B5B"/>
        <w:sz w:val="16"/>
      </w:rPr>
      <w:t>Orkestria360 — HealthScore Microsoft 365 — Modelo V1 API-only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HealthScore Orkestria360 - Modelo de Cálculo V1</dc:title>
  <dc:subject>Modelo de cálculo API-only para HealthScore Microsoft 365</dc:subject>
  <dc:creator>OpenAI</dc:creator>
  <cp:keywords/>
  <dc:description>Documento gerado a partir de consolidação solicitada no chat.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