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1.pdf" ContentType="application/pdf"/>
  <Override PartName="/word/media/rId50.pdf" ContentType="application/pdf"/>
  <Override PartName="/word/media/rId45.pdf" ContentType="application/pdf"/>
  <Override PartName="/word/media/rId66.pdf" ContentType="application/pdf"/>
  <Override PartName="/word/media/rId59.pdf" ContentType="application/pdf"/>
  <Override PartName="/word/media/rId27.pdf" ContentType="application/pdf"/>
  <Override PartName="/word/media/rId54.pdf" ContentType="application/pdf"/>
  <Override PartName="/word/media/rId33.pdf" ContentType="application/pdf"/>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sec:intro"/>
    <w:p>
      <w:pPr>
        <w:pStyle w:val="Heading1"/>
      </w:pPr>
      <w:r>
        <w:t xml:space="preserve">Introduction</w:t>
      </w:r>
    </w:p>
    <w:p>
      <w:pPr>
        <w:pStyle w:val="FirstParagraph"/>
      </w:pPr>
      <w:r>
        <w:t xml:space="preserve">Environmental monitoring at scale demands multi-temporal geospatial analysis: computing vegetation indices, detecting land cover change, assessing erosion risk, and generating statistical summaries for regulatory compliance. Practitioners routinely spend the majority of their effort on data wrangling—discovering datasets, reprojecting coordinate systems, and debugging code against remote sensing APIs </w:t>
      </w:r>
      <w:r>
        <w:t xml:space="preserve">(Yifan Zhang et al. 2024; Li and Ning 2023)</w:t>
      </w:r>
      <w:r>
        <w:t xml:space="preserve">. This expertise barrier limits the adoption of geospatial methods by domain scientists who understand environmental systems but lack GIS programming skills.</w:t>
      </w:r>
    </w:p>
    <w:p>
      <w:pPr>
        <w:pStyle w:val="BodyText"/>
      </w:pPr>
      <w:r>
        <w:t xml:space="preserve">Recent advances in large language models (LLMs) have produced AI agent systems that translate natural language into executable geospatial operations. Architectures range from LLMs with tool pools </w:t>
      </w:r>
      <w:r>
        <w:t xml:space="preserve">(Yifan Zhang et al. 2024; Akinboyewa et al. 2025)</w:t>
      </w:r>
      <w:r>
        <w:t xml:space="preserve"> </w:t>
      </w:r>
      <w:r>
        <w:t xml:space="preserve">to fine-tuned specialists </w:t>
      </w:r>
      <w:r>
        <w:t xml:space="preserve">(Yifan Zhang et al. 2025; Yuanxin Zhang et al. 2025)</w:t>
      </w:r>
      <w:r>
        <w:t xml:space="preserve"> </w:t>
      </w:r>
      <w:r>
        <w:t xml:space="preserve">to multi-agent systems achieving 85–97% accuracy </w:t>
      </w:r>
      <w:r>
        <w:t xml:space="preserve">(Luo et al. 2026; Lee et al. 2025)</w:t>
      </w:r>
      <w:r>
        <w:t xml:space="preserve">. Major industry players are investing heavily: Google’s Earth AI integrates Gemini with AlphaEarth Foundations </w:t>
      </w:r>
      <w:r>
        <w:t xml:space="preserve">(Google Research 2025)</w:t>
      </w:r>
      <w:r>
        <w:t xml:space="preserve">, the Planet–Anthropic partnership applies Claude to daily satellite imagery </w:t>
      </w:r>
      <w:r>
        <w:t xml:space="preserve">(Planet Labs and Anthropic 2025)</w:t>
      </w:r>
      <w:r>
        <w:t xml:space="preserve">, and NASA/IBM’s Prithvi-EO-2.0 provides pre-trained vision transformers </w:t>
      </w:r>
      <w:r>
        <w:t xml:space="preserve">(Szwarcman et al. 2026)</w:t>
      </w:r>
      <w:r>
        <w:t xml:space="preserve">.</w:t>
      </w:r>
    </w:p>
    <w:p>
      <w:pPr>
        <w:pStyle w:val="BodyText"/>
      </w:pPr>
      <w:r>
        <w:t xml:space="preserve">However, a critical evaluation gap persists. Public benchmarks for LLM agents in geospatial settings remain scarce, and the few that exist target general GIS tasks (GeoBenchX </w:t>
      </w:r>
      <w:r>
        <w:t xml:space="preserve">(Krechetova and Kochedykov 2025)</w:t>
      </w:r>
      <w:r>
        <w:t xml:space="preserve">, ThinkGeo </w:t>
      </w:r>
      <w:r>
        <w:t xml:space="preserve">(Shabbir et al. 2026)</w:t>
      </w:r>
      <w:r>
        <w:t xml:space="preserve">) rather than environmental science workflows. Environmental knowledge benchmarks (EnviroExam </w:t>
      </w:r>
      <w:r>
        <w:t xml:space="preserve">(Huang et al. 2024)</w:t>
      </w:r>
      <w:r>
        <w:t xml:space="preserve">) evaluate knowledge, not agent behaviour. Code-generation benchmarks (UnivEARTH </w:t>
      </w:r>
      <w:r>
        <w:t xml:space="preserve">(Kao et al. 2025)</w:t>
      </w:r>
      <w:r>
        <w:t xml:space="preserve">) do not reflect the structured API interaction that production systems employ—58% of LLM-generated Earth Engine code fails to execute. At the foundation model level, GEO-Bench </w:t>
      </w:r>
      <w:r>
        <w:t xml:space="preserve">(Lacoste et al. 2023)</w:t>
      </w:r>
      <w:r>
        <w:t xml:space="preserve"> </w:t>
      </w:r>
      <w:r>
        <w:t xml:space="preserve">and GEO-Bench-2 </w:t>
      </w:r>
      <w:r>
        <w:t xml:space="preserve">(Simumba et al. 2026)</w:t>
      </w:r>
      <w:r>
        <w:t xml:space="preserve"> </w:t>
      </w:r>
      <w:r>
        <w:t xml:space="preserve">evaluate pixel-level vision models, not the agent-level tool orchestration that determines real-world usability.</w:t>
      </w:r>
    </w:p>
    <w:p>
      <w:pPr>
        <w:pStyle w:val="BodyText"/>
      </w:pPr>
      <w:r>
        <w:t xml:space="preserve">This paper makes four contributions:</w:t>
      </w:r>
    </w:p>
    <w:p>
      <w:pPr>
        <w:numPr>
          <w:ilvl w:val="0"/>
          <w:numId w:val="1001"/>
        </w:numPr>
      </w:pPr>
      <w:r>
        <w:rPr>
          <w:b/>
          <w:bCs/>
        </w:rPr>
        <w:t xml:space="preserve">GeoNatureAgent Benchmark</w:t>
      </w:r>
      <w:r>
        <w:t xml:space="preserve">—the first benchmark for environmental analysis agents using structured tool calling against a production-style geospatial API, comprising 93 tasks across 18 categories with twelve domain-specific tools, evaluated by eight mechanistic checks per case (no LLM-as-judge).</w:t>
      </w:r>
    </w:p>
    <w:p>
      <w:pPr>
        <w:numPr>
          <w:ilvl w:val="0"/>
          <w:numId w:val="1001"/>
        </w:numPr>
      </w:pPr>
      <w:r>
        <w:rPr>
          <w:b/>
          <w:bCs/>
        </w:rPr>
        <w:t xml:space="preserve">Multi-seed cross-platform evaluation</w:t>
      </w:r>
      <w:r>
        <w:t xml:space="preserve">—a systematic comparison of seven LLMs spanning frontier closed-source models (Claude Sonnet 4, Gemini 2.5 Pro) and frontier open-weight families (DeepSeek V3.2, GLM-5, Qwen3-235B, GPT-OSS-120B, Llama 4 Scout), each evaluated under three temperature-1.0 seeds on identical infrastructure with mean-</w:t>
      </w:r>
      <m:oMath>
        <m:r>
          <m:rPr>
            <m:sty m:val="p"/>
          </m:rPr>
          <m:t>±</m:t>
        </m:r>
      </m:oMath>
      <w:r>
        <w:t xml:space="preserve">-standard-deviation reporting; capability and per-case cost are reported as orthogonal axes rather than collapsed into a single gated score.</w:t>
      </w:r>
    </w:p>
    <w:p>
      <w:pPr>
        <w:numPr>
          <w:ilvl w:val="0"/>
          <w:numId w:val="1001"/>
        </w:numPr>
      </w:pPr>
      <w:r>
        <w:rPr>
          <w:b/>
          <w:bCs/>
        </w:rPr>
        <w:t xml:space="preserve">Cost-efficiency Pareto analysis</w:t>
      </w:r>
      <w:r>
        <w:t xml:space="preserve">—quantitative cost–accuracy mapping revealing that the cost–accuracy Pareto frontier is occupied entirely by open-weight models, with DeepSeek V3.2 offering 93% of Claude’s capability at 11</w:t>
      </w:r>
      <m:oMath>
        <m:r>
          <m:rPr>
            <m:sty m:val="p"/>
          </m:rPr>
          <m:t>×</m:t>
        </m:r>
      </m:oMath>
      <w:r>
        <w:t xml:space="preserve"> </w:t>
      </w:r>
      <w:r>
        <w:t xml:space="preserve">lower cost.</w:t>
      </w:r>
    </w:p>
    <w:p>
      <w:pPr>
        <w:numPr>
          <w:ilvl w:val="0"/>
          <w:numId w:val="1001"/>
        </w:numPr>
      </w:pPr>
      <w:r>
        <w:rPr>
          <w:b/>
          <w:bCs/>
        </w:rPr>
        <w:t xml:space="preserve">Reproducible MLOps pipeline and open API</w:t>
      </w:r>
      <w:r>
        <w:t xml:space="preserve">—a fully automated Cloud Build pipeline that produces conversation-trace-level results in object storage, plus an Apache-2.0 self-hostable FastAPI service so that the entire evaluation can be reproduced without any private endpoint.</w:t>
      </w:r>
    </w:p>
    <w:bookmarkEnd w:id="20"/>
    <w:bookmarkStart w:id="25" w:name="sec:related"/>
    <w:p>
      <w:pPr>
        <w:pStyle w:val="Heading1"/>
      </w:pPr>
      <w:r>
        <w:t xml:space="preserve">Related Work</w:t>
      </w:r>
    </w:p>
    <w:bookmarkStart w:id="21" w:name="geospatial-ai-agent-architectures"/>
    <w:p>
      <w:pPr>
        <w:pStyle w:val="Heading2"/>
      </w:pPr>
      <w:r>
        <w:t xml:space="preserve">Geospatial AI Agent Architectures</w:t>
      </w:r>
    </w:p>
    <w:p>
      <w:pPr>
        <w:pStyle w:val="FirstParagraph"/>
      </w:pPr>
      <w:r>
        <w:t xml:space="preserve">The literature reveals four paradigms. The</w:t>
      </w:r>
      <w:r>
        <w:t xml:space="preserve"> </w:t>
      </w:r>
      <w:r>
        <w:rPr>
          <w:b/>
          <w:bCs/>
        </w:rPr>
        <w:t xml:space="preserve">LLM + Tool Pool</w:t>
      </w:r>
      <w:r>
        <w:t xml:space="preserve"> </w:t>
      </w:r>
      <w:r>
        <w:t xml:space="preserve">approach pairs general-purpose LLMs with callable tools: GeoGPT </w:t>
      </w:r>
      <w:r>
        <w:t xml:space="preserve">(Yifan Zhang et al. 2024)</w:t>
      </w:r>
      <w:r>
        <w:t xml:space="preserve"> </w:t>
      </w:r>
      <w:r>
        <w:t xml:space="preserve">uses GPT-3.5-turbo with LangChain, LLM-Geo </w:t>
      </w:r>
      <w:r>
        <w:t xml:space="preserve">(Li and Ning 2023)</w:t>
      </w:r>
      <w:r>
        <w:t xml:space="preserve"> </w:t>
      </w:r>
      <w:r>
        <w:t xml:space="preserve">uses GPT-4 for DAG-based decomposition, and GIS Copilot </w:t>
      </w:r>
      <w:r>
        <w:t xml:space="preserve">(Akinboyewa et al. 2025)</w:t>
      </w:r>
      <w:r>
        <w:t xml:space="preserve"> </w:t>
      </w:r>
      <w:r>
        <w:t xml:space="preserve">integrates LLMs into QGIS.</w:t>
      </w:r>
      <w:r>
        <w:t xml:space="preserve"> </w:t>
      </w:r>
      <w:r>
        <w:rPr>
          <w:b/>
          <w:bCs/>
        </w:rPr>
        <w:t xml:space="preserve">Fine-tuned specialists</w:t>
      </w:r>
      <w:r>
        <w:t xml:space="preserve"> </w:t>
      </w:r>
      <w:r>
        <w:t xml:space="preserve">sacrifice generality for expertise: GTChain </w:t>
      </w:r>
      <w:r>
        <w:t xml:space="preserve">(Yifan Zhang et al. 2025)</w:t>
      </w:r>
      <w:r>
        <w:t xml:space="preserve"> </w:t>
      </w:r>
      <w:r>
        <w:t xml:space="preserve">fine-tuned LLaMA-2-7B achieving 32.5% higher accuracy than GPT-4; EnvGPT </w:t>
      </w:r>
      <w:r>
        <w:t xml:space="preserve">(Yuanxin Zhang et al. 2025)</w:t>
      </w:r>
      <w:r>
        <w:t xml:space="preserve"> </w:t>
      </w:r>
      <w:r>
        <w:t xml:space="preserve">fine-tuned an 8B model on 100M environmental tokens, rivalling GPT-4o-mini.</w:t>
      </w:r>
      <w:r>
        <w:t xml:space="preserve"> </w:t>
      </w:r>
      <w:r>
        <w:rPr>
          <w:b/>
          <w:bCs/>
        </w:rPr>
        <w:t xml:space="preserve">Multi-agent systems</w:t>
      </w:r>
      <w:r>
        <w:t xml:space="preserve"> </w:t>
      </w:r>
      <w:r>
        <w:t xml:space="preserve">decompose tasks: GeoJSON Agents </w:t>
      </w:r>
      <w:r>
        <w:t xml:space="preserve">(Luo et al. 2026)</w:t>
      </w:r>
      <w:r>
        <w:t xml:space="preserve"> </w:t>
      </w:r>
      <w:r>
        <w:t xml:space="preserve">achieved 97% with GPT-4o Planner-Worker architecture vs 49% single-agent; GeoLLM-Squad </w:t>
      </w:r>
      <w:r>
        <w:t xml:space="preserve">(Lee et al. 2025)</w:t>
      </w:r>
      <w:r>
        <w:t xml:space="preserve"> </w:t>
      </w:r>
      <w:r>
        <w:t xml:space="preserve">gained 17% from specialised sub-agents.</w:t>
      </w:r>
      <w:r>
        <w:t xml:space="preserve"> </w:t>
      </w:r>
      <w:r>
        <w:rPr>
          <w:b/>
          <w:bCs/>
        </w:rPr>
        <w:t xml:space="preserve">Cost-efficient hybrids</w:t>
      </w:r>
      <w:r>
        <w:t xml:space="preserve">: Geo-OLM </w:t>
      </w:r>
      <w:r>
        <w:t xml:space="preserve">(Stamoulis and Marculescu 2025)</w:t>
      </w:r>
      <w:r>
        <w:t xml:space="preserve"> </w:t>
      </w:r>
      <w:r>
        <w:t xml:space="preserve">enables sub-7B models to perform within 10% of GPT-4o at 100</w:t>
      </w:r>
      <m:oMath>
        <m:r>
          <m:rPr>
            <m:sty m:val="p"/>
          </m:rPr>
          <m:t>×</m:t>
        </m:r>
      </m:oMath>
      <w:r>
        <w:t xml:space="preserve"> </w:t>
      </w:r>
      <w:r>
        <w:t xml:space="preserve">lower cost.</w:t>
      </w:r>
    </w:p>
    <w:bookmarkEnd w:id="21"/>
    <w:bookmarkStart w:id="22" w:name="benchmarks-and-evaluation"/>
    <w:p>
      <w:pPr>
        <w:pStyle w:val="Heading2"/>
      </w:pPr>
      <w:r>
        <w:t xml:space="preserve">Benchmarks and Evaluation</w:t>
      </w:r>
    </w:p>
    <w:p>
      <w:pPr>
        <w:pStyle w:val="FirstParagraph"/>
      </w:pPr>
      <w:r>
        <w:t xml:space="preserve">Agent tool-use is evaluated by GeoBenchX </w:t>
      </w:r>
      <w:r>
        <w:t xml:space="preserve">(Krechetova and Kochedykov 2025)</w:t>
      </w:r>
      <w:r>
        <w:t xml:space="preserve">, ThinkGeo </w:t>
      </w:r>
      <w:r>
        <w:t xml:space="preserve">(Shabbir et al. 2026)</w:t>
      </w:r>
      <w:r>
        <w:t xml:space="preserve"> </w:t>
      </w:r>
      <w:r>
        <w:t xml:space="preserve">(486 remote sensing tasks), and UnivEARTH </w:t>
      </w:r>
      <w:r>
        <w:t xml:space="preserve">(Kao et al. 2025)</w:t>
      </w:r>
      <w:r>
        <w:t xml:space="preserve"> </w:t>
      </w:r>
      <w:r>
        <w:t xml:space="preserve">(only 33% accuracy on Earth Engine code generation, 58% code failure rate). GeoBenchX is the closest comparable work: 202 tasks across five categories (merge-visualise, process-merge-visualise, spatial operations, heatmaps/contour lines, and control questions), evaluated via 24 general-purpose GIS tools (data loading, filtering, spatial joins, choropleth rendering) with an LLM-as-judge scoring protocol (3-point scale, three independent judges achieving 88–96% agreement with human annotations). Top performers are o4-mini and Claude 3.5 Sonnet. Crucially, GeoBenchX tools are low-level primitives operating on local files—</w:t>
      </w:r>
      <w:r>
        <w:rPr>
          <w:rStyle w:val="VerbatimChar"/>
        </w:rPr>
        <w:t xml:space="preserve">load_data</w:t>
      </w:r>
      <w:r>
        <w:t xml:space="preserve">,</w:t>
      </w:r>
      <w:r>
        <w:t xml:space="preserve"> </w:t>
      </w:r>
      <w:r>
        <w:rPr>
          <w:rStyle w:val="VerbatimChar"/>
        </w:rPr>
        <w:t xml:space="preserve">filter_categorical</w:t>
      </w:r>
      <w:r>
        <w:t xml:space="preserve">,</w:t>
      </w:r>
      <w:r>
        <w:t xml:space="preserve"> </w:t>
      </w:r>
      <w:r>
        <w:rPr>
          <w:rStyle w:val="VerbatimChar"/>
        </w:rPr>
        <w:t xml:space="preserve">create_buffer</w:t>
      </w:r>
      <w:r>
        <w:t xml:space="preserve">,</w:t>
      </w:r>
      <w:r>
        <w:t xml:space="preserve"> </w:t>
      </w:r>
      <w:r>
        <w:rPr>
          <w:rStyle w:val="VerbatimChar"/>
        </w:rPr>
        <w:t xml:space="preserve">make_choropleth_map</w:t>
      </w:r>
      <w:r>
        <w:t xml:space="preserve">—whereas GeoNatureAgent Benchmark tools are high-level domain operations against a production cloud API.</w:t>
      </w:r>
    </w:p>
    <w:p>
      <w:pPr>
        <w:pStyle w:val="BodyText"/>
      </w:pPr>
      <w:r>
        <w:t xml:space="preserve">To bridge the gap between general-purpose GIS benchmarks and domain-specific environmental analysis, we integrate four canonical GIS operations from GeoBenchX </w:t>
      </w:r>
      <w:r>
        <w:t xml:space="preserve">(Krechetova and Kochedykov 2025)</w:t>
      </w:r>
      <w:r>
        <w:t xml:space="preserve"> </w:t>
      </w:r>
      <w:r>
        <w:t xml:space="preserve">into GeoNatureAgent Benchmark’s toolset: proximity buffering (</w:t>
      </w:r>
      <w:r>
        <w:rPr>
          <w:rStyle w:val="VerbatimChar"/>
        </w:rPr>
        <w:t xml:space="preserve">create_buffer</w:t>
      </w:r>
      <w:r>
        <w:t xml:space="preserve">), feature selection by spatial relationship (</w:t>
      </w:r>
      <w:r>
        <w:rPr>
          <w:rStyle w:val="VerbatimChar"/>
        </w:rPr>
        <w:t xml:space="preserve">select_features_by_spatial_relationship</w:t>
      </w:r>
      <w:r>
        <w:t xml:space="preserve">), centroid extraction (</w:t>
      </w:r>
      <w:r>
        <w:rPr>
          <w:rStyle w:val="VerbatimChar"/>
        </w:rPr>
        <w:t xml:space="preserve">get_centroids</w:t>
      </w:r>
      <w:r>
        <w:t xml:space="preserve">), and explicit task rejection (</w:t>
      </w:r>
      <w:r>
        <w:rPr>
          <w:rStyle w:val="VerbatimChar"/>
        </w:rPr>
        <w:t xml:space="preserve">reject_task</w:t>
      </w:r>
      <w:r>
        <w:t xml:space="preserve">) to prevent hallucination on out-of-scope queries. These tools are adapted from GeoBenchX’s local-file paradigm to operate against GeoNatureAgent Benchmark’s cloud API and administrative boundary system. We additionally introduce 10 benchmark cases inspired by GeoBenchX’s task patterns—buffer-based proximity analysis, spatial joins, and centroid calculations—applied to Spanish environmental indicators. This creates a direct comparison pathway: models achieving 58% on GeoBenchX’s general GIS tasks can be evaluated on equivalent spatial operations within our domain-specific context, isolating the performance impact of domain complexity from tool-use capability.</w:t>
      </w:r>
    </w:p>
    <w:p>
      <w:pPr>
        <w:pStyle w:val="BodyText"/>
      </w:pPr>
      <w:r>
        <w:t xml:space="preserve">Map reasoning: MapEval </w:t>
      </w:r>
      <w:r>
        <w:t xml:space="preserve">(Dihan et al. 2025)</w:t>
      </w:r>
      <w:r>
        <w:t xml:space="preserve"> </w:t>
      </w:r>
      <w:r>
        <w:t xml:space="preserve">(no model exceeds 67%), MapQA </w:t>
      </w:r>
      <w:r>
        <w:t xml:space="preserve">(Arnold et al. 2026)</w:t>
      </w:r>
      <w:r>
        <w:t xml:space="preserve"> </w:t>
      </w:r>
      <w:r>
        <w:t xml:space="preserve">(humans 91%, models</w:t>
      </w:r>
      <w:r>
        <w:t xml:space="preserve"> </w:t>
      </w:r>
      <m:oMath>
        <m:r>
          <m:rPr>
            <m:sty m:val="p"/>
          </m:rPr>
          <m:t>&lt;</m:t>
        </m:r>
      </m:oMath>
      <w:r>
        <w:t xml:space="preserve">50%). Spatial reasoning: GPSBench </w:t>
      </w:r>
      <w:r>
        <w:t xml:space="preserve">(Truong, Lau, and Qi 2026)</w:t>
      </w:r>
      <w:r>
        <w:t xml:space="preserve">, SpatiaLab </w:t>
      </w:r>
      <w:r>
        <w:t xml:space="preserve">(Wasi et al. 2026)</w:t>
      </w:r>
      <w:r>
        <w:t xml:space="preserve"> </w:t>
      </w:r>
      <w:r>
        <w:t xml:space="preserve">(best model 55% vs human 88%). Foundation models: GEO-Bench </w:t>
      </w:r>
      <w:r>
        <w:t xml:space="preserve">(Lacoste et al. 2023)</w:t>
      </w:r>
      <w:r>
        <w:t xml:space="preserve"> </w:t>
      </w:r>
      <w:r>
        <w:t xml:space="preserve">and GEO-Bench-2 </w:t>
      </w:r>
      <w:r>
        <w:t xml:space="preserve">(Simumba et al. 2026)</w:t>
      </w:r>
      <w:r>
        <w:t xml:space="preserve"> </w:t>
      </w:r>
      <w:r>
        <w:t xml:space="preserve">evaluate</w:t>
      </w:r>
      <w:r>
        <w:t xml:space="preserve"> </w:t>
      </w:r>
      <w:r>
        <w:rPr>
          <w:i/>
          <w:iCs/>
        </w:rPr>
        <w:t xml:space="preserve">pixel-level</w:t>
      </w:r>
      <w:r>
        <w:t xml:space="preserve"> </w:t>
      </w:r>
      <w:r>
        <w:t xml:space="preserve">classification/segmentation across 19 datasets; PANGAEA </w:t>
      </w:r>
      <w:r>
        <w:t xml:space="preserve">(Marsocci et al. 2025)</w:t>
      </w:r>
      <w:r>
        <w:t xml:space="preserve"> </w:t>
      </w:r>
      <w:r>
        <w:t xml:space="preserve">finds foundation models do not consistently outperform supervised baselines.</w:t>
      </w:r>
    </w:p>
    <w:p>
      <w:pPr>
        <w:pStyle w:val="BodyText"/>
      </w:pPr>
      <w:r>
        <w:rPr>
          <w:b/>
          <w:bCs/>
        </w:rPr>
        <w:t xml:space="preserve">Key distinction</w:t>
      </w:r>
      <w:r>
        <w:t xml:space="preserve">: GEO-Bench evaluates pixel-level model accuracy (</w:t>
      </w:r>
      <w:r>
        <w:rPr>
          <w:i/>
          <w:iCs/>
        </w:rPr>
        <w:t xml:space="preserve">can this model classify a satellite tile?</w:t>
      </w:r>
      <w:r>
        <w:t xml:space="preserve">); GeoNatureAgent Benchmark evaluates agent-level tool orchestration (</w:t>
      </w:r>
      <w:r>
        <w:rPr>
          <w:i/>
          <w:iCs/>
        </w:rPr>
        <w:t xml:space="preserve">can this agent reason about which tools to call?</w:t>
      </w:r>
      <w:r>
        <w:t xml:space="preserve">). The two are complementary.</w:t>
      </w:r>
    </w:p>
    <w:bookmarkEnd w:id="22"/>
    <w:bookmarkStart w:id="23" w:name="environmental-science-ai"/>
    <w:p>
      <w:pPr>
        <w:pStyle w:val="Heading2"/>
      </w:pPr>
      <w:r>
        <w:t xml:space="preserve">Environmental Science AI</w:t>
      </w:r>
    </w:p>
    <w:p>
      <w:pPr>
        <w:pStyle w:val="FirstParagraph"/>
      </w:pPr>
      <w:r>
        <w:t xml:space="preserve">EnvGPT </w:t>
      </w:r>
      <w:r>
        <w:t xml:space="preserve">(Yuanxin Zhang et al. 2025)</w:t>
      </w:r>
      <w:r>
        <w:t xml:space="preserve"> </w:t>
      </w:r>
      <w:r>
        <w:t xml:space="preserve">shows focused fine-tuning on environmental tokens rivals GPT-4o-mini. Google’s Earth AI </w:t>
      </w:r>
      <w:r>
        <w:t xml:space="preserve">(Google Research 2025)</w:t>
      </w:r>
      <w:r>
        <w:t xml:space="preserve"> </w:t>
      </w:r>
      <w:r>
        <w:t xml:space="preserve">achieves 82% on Q&amp;A (vs 50% baseline Gemini). Pan et al. </w:t>
      </w:r>
      <w:r>
        <w:t xml:space="preserve">(Pan and Nipu 2025)</w:t>
      </w:r>
      <w:r>
        <w:t xml:space="preserve"> </w:t>
      </w:r>
      <w:r>
        <w:t xml:space="preserve">demonstrate MCP-grounded air quality monitoring at 4.78/5.0 factual accuracy. Spain’s RD 214/2025 </w:t>
      </w:r>
      <w:r>
        <w:t xml:space="preserve">(Kingdom of Spain 2025)</w:t>
      </w:r>
      <w:r>
        <w:t xml:space="preserve"> </w:t>
      </w:r>
      <w:r>
        <w:t xml:space="preserve">mandates carbon footprint reporting for</w:t>
      </w:r>
      <w:r>
        <w:t xml:space="preserve"> </w:t>
      </w:r>
      <m:oMath>
        <m:r>
          <m:rPr>
            <m:sty m:val="p"/>
          </m:rPr>
          <m:t>∼</m:t>
        </m:r>
      </m:oMath>
      <w:r>
        <w:t xml:space="preserve">4,000 organisations, creating demand for automated multi-temporal geospatial analysis.</w:t>
      </w:r>
    </w:p>
    <w:bookmarkEnd w:id="23"/>
    <w:bookmarkStart w:id="24" w:name="the-missing-benchmark"/>
    <w:p>
      <w:pPr>
        <w:pStyle w:val="Heading2"/>
      </w:pPr>
      <w:r>
        <w:t xml:space="preserve">The Missing Benchmark</w:t>
      </w:r>
    </w:p>
    <w:p>
      <w:pPr>
        <w:pStyle w:val="FirstParagraph"/>
      </w:pPr>
      <w:r>
        <w:t xml:space="preserve">No existing benchmark evaluates environmental analysis agents performing structured tool calling against a real geospatial API with multi-turn conversation, multilingual inputs, and cross-indicator synthesis. GeoNatureAgent Benchmark fills this gap.</w:t>
      </w:r>
    </w:p>
    <w:bookmarkEnd w:id="24"/>
    <w:bookmarkEnd w:id="25"/>
    <w:bookmarkStart w:id="38" w:name="sec:benchmark"/>
    <w:p>
      <w:pPr>
        <w:pStyle w:val="Heading1"/>
      </w:pPr>
      <w:r>
        <w:t xml:space="preserve">GeoNatureAgent Benchmark</w:t>
      </w:r>
    </w:p>
    <w:bookmarkStart w:id="26" w:name="benchmark-design"/>
    <w:p>
      <w:pPr>
        <w:pStyle w:val="Heading2"/>
      </w:pPr>
      <w:r>
        <w:t xml:space="preserve">Benchmark Design</w:t>
      </w:r>
    </w:p>
    <w:p>
      <w:pPr>
        <w:pStyle w:val="FirstParagraph"/>
      </w:pPr>
      <w:r>
        <w:t xml:space="preserve">GeoNatureAgent Benchmark comprises 93 tasks organised into 18 categories (Table </w:t>
      </w:r>
      <w:hyperlink w:anchor="tab:categories">
        <w:r>
          <w:rPr>
            <w:rStyle w:val="Hyperlink"/>
          </w:rPr>
          <w:t xml:space="preserve">[tab:categories]</w:t>
        </w:r>
      </w:hyperlink>
      <w:r>
        <w:t xml:space="preserve">), spanning easy (19%), medium (45%), and hard (36%) difficulty levels.</w:t>
      </w:r>
    </w:p>
    <w:p>
      <w:pPr>
        <w:pStyle w:val="BodyText"/>
      </w:pPr>
      <w:r>
        <w:t xml:space="preserve">Each task specifies: a natural language query (optionally with multi-turn history), expected tool calls, must-contain/must-not-contain strings, maximum rounds, cost budget, and domain-expert ground truth. Error handling tasks are deliberately unsolvable—requesting analysis on non-existent municipalities, fabricating statistics from display-only layers, or citing indicators that do not exist—testing the agent’s ability to decline gracefully rather than hallucinate.</w:t>
      </w:r>
    </w:p>
    <w:p>
      <w:pPr>
        <w:pStyle w:val="BodyText"/>
      </w:pPr>
      <w:r>
        <w:t xml:space="preserve">The benchmark covers three environmental indicators across two countries:</w:t>
      </w:r>
    </w:p>
    <w:p>
      <w:pPr>
        <w:numPr>
          <w:ilvl w:val="0"/>
          <w:numId w:val="1002"/>
        </w:numPr>
      </w:pPr>
      <w:r>
        <w:rPr>
          <w:b/>
          <w:bCs/>
        </w:rPr>
        <w:t xml:space="preserve">CO</w:t>
      </w:r>
      <m:oMath>
        <m:sSub>
          <m:e>
            <m:r>
              <m:t>​</m:t>
            </m:r>
          </m:e>
          <m:sub>
            <m:r>
              <m:t>2</m:t>
            </m:r>
          </m:sub>
        </m:sSub>
      </m:oMath>
      <w:r>
        <w:rPr>
          <w:b/>
          <w:bCs/>
        </w:rPr>
        <w:t xml:space="preserve"> </w:t>
      </w:r>
      <w:r>
        <w:rPr>
          <w:b/>
          <w:bCs/>
        </w:rPr>
        <w:t xml:space="preserve">absorption suitability</w:t>
      </w:r>
      <w:r>
        <w:t xml:space="preserve"> </w:t>
      </w:r>
      <w:r>
        <w:t xml:space="preserve">(categorical, Spain): legislative pre-screening encoding five MITECO spatial criteria </w:t>
      </w:r>
      <w:r>
        <w:t xml:space="preserve">(Kingdom of Spain 2025)</w:t>
      </w:r>
      <w:r>
        <w:t xml:space="preserve">, producing three classes (Not Eligible, Eligible with Conditions, Eligible). Served as a Cloud Optimized GeoTIFF (COG).</w:t>
      </w:r>
    </w:p>
    <w:p>
      <w:pPr>
        <w:numPr>
          <w:ilvl w:val="0"/>
          <w:numId w:val="1002"/>
        </w:numPr>
      </w:pPr>
      <w:r>
        <w:rPr>
          <w:b/>
          <w:bCs/>
        </w:rPr>
        <w:t xml:space="preserve">Gully erosion probability</w:t>
      </w:r>
      <w:r>
        <w:t xml:space="preserve"> </w:t>
      </w:r>
      <w:r>
        <w:t xml:space="preserve">(continuous, Europe): machine learning prediction from LUCAS 2022 soil survey (0–100%). Served as a COG.</w:t>
      </w:r>
    </w:p>
    <w:p>
      <w:pPr>
        <w:numPr>
          <w:ilvl w:val="0"/>
          <w:numId w:val="1002"/>
        </w:numPr>
      </w:pPr>
      <w:r>
        <w:rPr>
          <w:b/>
          <w:bCs/>
        </w:rPr>
        <w:t xml:space="preserve">BigEarthNet V2 land cover</w:t>
      </w:r>
      <w:r>
        <w:t xml:space="preserve"> </w:t>
      </w:r>
      <w:r>
        <w:t xml:space="preserve">(categorical, Portugal): 7-class land cover distribution derived from 75k+ labeled Sentinel-2 patches </w:t>
      </w:r>
      <w:r>
        <w:t xml:space="preserve">(Clasen et al. 2025)</w:t>
      </w:r>
      <w:r>
        <w:t xml:space="preserve">, aggregated by Portuguese district. Served as pre-computed JSON statistics.</w:t>
      </w:r>
    </w:p>
    <w:p>
      <w:pPr>
        <w:pStyle w:val="FirstParagraph"/>
      </w:pPr>
      <w:r>
        <w:t xml:space="preserve">Seven additional layers are available for visual display but not statistical analysis, creating natural hallucination traps.</w:t>
      </w:r>
    </w:p>
    <w:bookmarkEnd w:id="26"/>
    <w:bookmarkStart w:id="32" w:name="agent-architecture"/>
    <w:p>
      <w:pPr>
        <w:pStyle w:val="Heading2"/>
      </w:pPr>
      <w:r>
        <w:t xml:space="preserve">Agent Architecture</w:t>
      </w:r>
    </w:p>
    <w:p>
      <w:pPr>
        <w:pStyle w:val="FirstParagraph"/>
      </w:pPr>
      <w:r>
        <w:t xml:space="preserve">Figure </w:t>
      </w:r>
      <w:hyperlink w:anchor="fig:architecture">
        <w:r>
          <w:rPr>
            <w:rStyle w:val="Hyperlink"/>
          </w:rPr>
          <w:t xml:space="preserve">1</w:t>
        </w:r>
      </w:hyperlink>
      <w:r>
        <w:t xml:space="preserve"> </w:t>
      </w:r>
      <w:r>
        <w:t xml:space="preserve">shows the system architecture. The agent operates in a ReAct-style loop </w:t>
      </w:r>
      <w:r>
        <w:t xml:space="preserve">(Yao et al. 2023)</w:t>
      </w:r>
      <w:r>
        <w:t xml:space="preserve">: it receives a query, reasons about tools, executes calls, observes results, and generates a response. The agent has access to twelve tools (Table </w:t>
      </w:r>
      <w:hyperlink w:anchor="tab:tools">
        <w:r>
          <w:rPr>
            <w:rStyle w:val="Hyperlink"/>
          </w:rPr>
          <w:t xml:space="preserve">[tab:tools]</w:t>
        </w:r>
      </w:hyperlink>
      <w:r>
        <w:t xml:space="preserve">).</w:t>
      </w:r>
    </w:p>
    <w:bookmarkStart w:id="30" w:name="fig:architecture"/>
    <w:p>
      <w:pPr>
        <w:pStyle w:val="CaptionedFigure"/>
      </w:pPr>
      <w:r>
        <w:drawing>
          <wp:inline>
            <wp:extent cx="5334000" cy="3970004"/>
            <wp:effectExtent b="0" l="0" r="0" t="0"/>
            <wp:docPr descr="" title="" id="28" name="Picture"/>
            <a:graphic>
              <a:graphicData uri="http://schemas.openxmlformats.org/drawingml/2006/picture">
                <pic:pic>
                  <pic:nvPicPr>
                    <pic:cNvPr descr="figures/fig6_architecture.pdf" id="29" name="Picture"/>
                    <pic:cNvPicPr>
                      <a:picLocks noChangeArrowheads="1" noChangeAspect="1"/>
                    </pic:cNvPicPr>
                  </pic:nvPicPr>
                  <pic:blipFill>
                    <a:blip r:embed="rId27"/>
                    <a:stretch>
                      <a:fillRect/>
                    </a:stretch>
                  </pic:blipFill>
                  <pic:spPr bwMode="auto">
                    <a:xfrm>
                      <a:off x="0" y="0"/>
                      <a:ext cx="5334000" cy="3970004"/>
                    </a:xfrm>
                    <a:prstGeom prst="rect">
                      <a:avLst/>
                    </a:prstGeom>
                    <a:noFill/>
                    <a:ln w="9525">
                      <a:noFill/>
                      <a:headEnd/>
                      <a:tailEnd/>
                    </a:ln>
                  </pic:spPr>
                </pic:pic>
              </a:graphicData>
            </a:graphic>
          </wp:inline>
        </w:drawing>
      </w:r>
    </w:p>
    <w:p>
      <w:pPr>
        <w:pStyle w:val="ImageCaption"/>
      </w:pPr>
      <w:r>
        <w:t xml:space="preserve">GeoNatureAgent Benchmark system architecture. The LLM agent interacts with a production API serving COG data; the eval harness logs all tool calls and scores responses.</w:t>
      </w:r>
    </w:p>
    <w:bookmarkEnd w:id="30"/>
    <w:p>
      <w:pPr>
        <w:pStyle w:val="BodyText"/>
      </w:pPr>
      <w:r>
        <w:t xml:space="preserve">The design choice of structured tool calling over code generation is motivated by empirical evidence: GeoJSON Agents report 85–97% accuracy with function calling </w:t>
      </w:r>
      <w:r>
        <w:t xml:space="preserve">(Luo et al. 2026)</w:t>
      </w:r>
      <w:r>
        <w:t xml:space="preserve">, while UnivEARTH reports only 33% when agents generate executable code </w:t>
      </w:r>
      <w:r>
        <w:t xml:space="preserve">(Kao et al. 2025)</w:t>
      </w:r>
      <w:r>
        <w:t xml:space="preserve">.</w:t>
      </w:r>
    </w:p>
    <w:bookmarkStart w:id="31" w:name="multi-backend-inference-client."/>
    <w:p>
      <w:pPr>
        <w:pStyle w:val="Heading4"/>
      </w:pPr>
      <w:r>
        <w:t xml:space="preserve">Multi-backend inference client.</w:t>
      </w:r>
    </w:p>
    <w:p>
      <w:pPr>
        <w:pStyle w:val="FirstParagraph"/>
      </w:pPr>
      <w:r>
        <w:t xml:space="preserve">Fair cross-model comparison requires normalizing heterogeneous API surfaces into a common interface. Our inference client routes models through two backends: a native Anthropic client for Claude, and a LiteLLM-based client for Vertex AI Model-as-a-Service (MaaS) endpoints that expose an OpenAI-compatible API. The MaaS backend maps publisher-prefixed model identifiers (e.g.,</w:t>
      </w:r>
      <w:r>
        <w:t xml:space="preserve"> </w:t>
      </w:r>
      <w:r>
        <w:rPr>
          <w:rStyle w:val="VerbatimChar"/>
        </w:rPr>
        <w:t xml:space="preserve">meta/llama4-...</w:t>
      </w:r>
      <w:r>
        <w:t xml:space="preserve">) to Vertex AI endpoints and normalizes response formats—including tool-call representations—into the shared schema consumed by the eval harness. Notably, Llama 4 models emit tool calls as Python-style function invocations (</w:t>
      </w:r>
      <w:r>
        <w:rPr>
          <w:rStyle w:val="VerbatimChar"/>
        </w:rPr>
        <w:t xml:space="preserve">&lt;|python_start|&gt;func(k=v)&lt;|python_end|&gt;</w:t>
      </w:r>
      <w:r>
        <w:t xml:space="preserve">) rather than JSON; a dedicated AST-based parser extracts these into structured tool calls so that Llama 4 Scout’s responses are scored on the same footing as the JSON-native models. Each inference call uses a layered timeout architecture combining daemon-thread hard timeouts with exponential-backoff retry on rate-limit errors, enabling unattended execution of the full case-seed grid.</w:t>
      </w:r>
    </w:p>
    <w:bookmarkEnd w:id="31"/>
    <w:bookmarkEnd w:id="32"/>
    <w:bookmarkStart w:id="37" w:name="sec:scoring"/>
    <w:p>
      <w:pPr>
        <w:pStyle w:val="Heading2"/>
      </w:pPr>
      <w:r>
        <w:t xml:space="preserve">Evaluation Protocol</w:t>
      </w:r>
    </w:p>
    <w:p>
      <w:pPr>
        <w:pStyle w:val="FirstParagraph"/>
      </w:pPr>
      <w:r>
        <w:t xml:space="preserve">Each task is scored by eight check types (Table </w:t>
      </w:r>
      <w:hyperlink w:anchor="tab:checks">
        <w:r>
          <w:rPr>
            <w:rStyle w:val="Hyperlink"/>
          </w:rPr>
          <w:t xml:space="preserve">[tab:checks]</w:t>
        </w:r>
      </w:hyperlink>
      <w:r>
        <w:t xml:space="preserve"> </w:t>
      </w:r>
      <w:r>
        <w:t xml:space="preserve">and Figure </w:t>
      </w:r>
      <w:hyperlink w:anchor="fig:scoring">
        <w:r>
          <w:rPr>
            <w:rStyle w:val="Hyperlink"/>
          </w:rPr>
          <w:t xml:space="preserve">2</w:t>
        </w:r>
      </w:hyperlink>
      <w:r>
        <w:t xml:space="preserve">). A task</w:t>
      </w:r>
      <w:r>
        <w:t xml:space="preserve"> </w:t>
      </w:r>
      <w:r>
        <w:rPr>
          <w:i/>
          <w:iCs/>
        </w:rPr>
        <w:t xml:space="preserve">passes</w:t>
      </w:r>
      <w:r>
        <w:t xml:space="preserve"> </w:t>
      </w:r>
      <w:r>
        <w:t xml:space="preserve">only when</w:t>
      </w:r>
      <w:r>
        <w:t xml:space="preserve"> </w:t>
      </w:r>
      <w:r>
        <w:rPr>
          <w:b/>
          <w:bCs/>
        </w:rPr>
        <w:t xml:space="preserve">all</w:t>
      </w:r>
      <w:r>
        <w:t xml:space="preserve"> </w:t>
      </w:r>
      <w:r>
        <w:t xml:space="preserve">applicable checks pass (strict binary). We additionally compute partial-credit metrics for finer-grained analysis.</w:t>
      </w:r>
    </w:p>
    <w:p>
      <w:pPr>
        <w:pStyle w:val="BodyText"/>
      </w:pPr>
      <w:r>
        <w:rPr>
          <w:vertAlign w:val="superscript"/>
        </w:rPr>
        <w:t xml:space="preserve">a</w:t>
      </w:r>
      <w:r>
        <w:t xml:space="preserve">Tool F1 (precision, recall, F1 on unique tool sets) is computed as a continuous metric but is not used as a gate.</w:t>
      </w:r>
      <w:r>
        <w:t xml:space="preserve"> </w:t>
      </w:r>
      <w:r>
        <w:rPr>
          <w:vertAlign w:val="superscript"/>
        </w:rPr>
        <w:t xml:space="preserve">b</w:t>
      </w:r>
      <w:r>
        <w:t xml:space="preserve">A 120-character window after the label is searched for the first</w:t>
      </w:r>
      <w:r>
        <w:t xml:space="preserve"> </w:t>
      </w:r>
      <w:r>
        <w:rPr>
          <w:rStyle w:val="VerbatimChar"/>
        </w:rPr>
        <w:t xml:space="preserve">float%</w:t>
      </w:r>
      <w:r>
        <w:t xml:space="preserve"> </w:t>
      </w:r>
      <w:r>
        <w:t xml:space="preserve">pattern; tolerance defaults to</w:t>
      </w:r>
      <w:r>
        <w:t xml:space="preserve"> </w:t>
      </w:r>
      <m:oMath>
        <m:r>
          <m:rPr>
            <m:sty m:val="p"/>
          </m:rPr>
          <m:t>±</m:t>
        </m:r>
      </m:oMath>
      <w:r>
        <w:t xml:space="preserve">2 pp.</w:t>
      </w:r>
      <w:r>
        <w:t xml:space="preserve"> </w:t>
      </w:r>
      <w:r>
        <w:rPr>
          <w:vertAlign w:val="superscript"/>
        </w:rPr>
        <w:t xml:space="preserve">c</w:t>
      </w:r>
      <w:r>
        <w:t xml:space="preserve">Per-case budgets default to $0.10 in the</w:t>
      </w:r>
      <w:r>
        <w:t xml:space="preserve"> </w:t>
      </w:r>
      <w:r>
        <w:rPr>
          <w:rStyle w:val="VerbatimChar"/>
        </w:rPr>
        <w:t xml:space="preserve">v5</w:t>
      </w:r>
      <w:r>
        <w:t xml:space="preserve"> </w:t>
      </w:r>
      <w:r>
        <w:t xml:space="preserve">task set. The per-case cost is logged and used in cost–accuracy analysis but is excluded from the binary capability score; see</w:t>
      </w:r>
      <w:r>
        <w:t xml:space="preserve"> </w:t>
      </w:r>
      <w:r>
        <w:t xml:space="preserve">“Capability and cost as orthogonal axes”</w:t>
      </w:r>
      <w:r>
        <w:t xml:space="preserve"> </w:t>
      </w:r>
      <w:r>
        <w:t xml:space="preserve">below.</w:t>
      </w:r>
    </w:p>
    <w:p>
      <w:pPr>
        <w:pStyle w:val="BodyText"/>
      </w:pPr>
      <w:r>
        <w:rPr>
          <w:b/>
          <w:bCs/>
        </w:rPr>
        <w:t xml:space="preserve">Continuous metrics.</w:t>
      </w:r>
      <w:r>
        <w:t xml:space="preserve"> </w:t>
      </w:r>
      <w:r>
        <w:t xml:space="preserve">Beyond binary pass/fail, we report:</w:t>
      </w:r>
      <w:r>
        <w:t xml:space="preserve"> </w:t>
      </w:r>
      <w:r>
        <w:rPr>
          <w:i/>
          <w:iCs/>
        </w:rPr>
        <w:t xml:space="preserve">check score</w:t>
      </w:r>
      <w:r>
        <w:t xml:space="preserve">—fraction of individual checks passed per case (partial credit);</w:t>
      </w:r>
      <w:r>
        <w:t xml:space="preserve"> </w:t>
      </w:r>
      <w:r>
        <w:rPr>
          <w:i/>
          <w:iCs/>
        </w:rPr>
        <w:t xml:space="preserve">keyword coverage</w:t>
      </w:r>
      <w:r>
        <w:t xml:space="preserve">—fraction of</w:t>
      </w:r>
      <w:r>
        <w:t xml:space="preserve"> </w:t>
      </w:r>
      <w:r>
        <w:rPr>
          <w:rStyle w:val="VerbatimChar"/>
        </w:rPr>
        <w:t xml:space="preserve">must_contain</w:t>
      </w:r>
      <w:r>
        <w:t xml:space="preserve"> </w:t>
      </w:r>
      <w:r>
        <w:t xml:space="preserve">terms found;</w:t>
      </w:r>
      <w:r>
        <w:t xml:space="preserve"> </w:t>
      </w:r>
      <w:r>
        <w:rPr>
          <w:i/>
          <w:iCs/>
        </w:rPr>
        <w:t xml:space="preserve">tool F1</w:t>
      </w:r>
      <w:r>
        <w:t xml:space="preserve">—set-based F1 between expected and actual tools; and</w:t>
      </w:r>
      <w:r>
        <w:t xml:space="preserve"> </w:t>
      </w:r>
      <w:r>
        <w:rPr>
          <w:i/>
          <w:iCs/>
        </w:rPr>
        <w:t xml:space="preserve">cost utilisation</w:t>
      </w:r>
      <w:r>
        <w:t xml:space="preserve">—ratio of actual to budgeted cost.</w:t>
      </w:r>
    </w:p>
    <w:p>
      <w:pPr>
        <w:pStyle w:val="BodyText"/>
      </w:pPr>
      <w:r>
        <w:rPr>
          <w:b/>
          <w:bCs/>
        </w:rPr>
        <w:t xml:space="preserve">Error classification.</w:t>
      </w:r>
      <w:r>
        <w:t xml:space="preserve"> </w:t>
      </w:r>
      <w:r>
        <w:t xml:space="preserve">When a task fails, the first failing check (in priority order: tool_missing</w:t>
      </w:r>
      <w:r>
        <w:t xml:space="preserve"> </w:t>
      </w:r>
      <m:oMath>
        <m:r>
          <m:rPr>
            <m:sty m:val="p"/>
          </m:rPr>
          <m:t>→</m:t>
        </m:r>
      </m:oMath>
      <w:r>
        <w:t xml:space="preserve"> </w:t>
      </w:r>
      <w:r>
        <w:t xml:space="preserve">chart_missing</w:t>
      </w:r>
      <w:r>
        <w:t xml:space="preserve"> </w:t>
      </w:r>
      <m:oMath>
        <m:r>
          <m:rPr>
            <m:sty m:val="p"/>
          </m:rPr>
          <m:t>→</m:t>
        </m:r>
      </m:oMath>
      <w:r>
        <w:t xml:space="preserve"> </w:t>
      </w:r>
      <w:r>
        <w:t xml:space="preserve">wrong_data</w:t>
      </w:r>
      <w:r>
        <w:t xml:space="preserve"> </w:t>
      </w:r>
      <m:oMath>
        <m:r>
          <m:rPr>
            <m:sty m:val="p"/>
          </m:rPr>
          <m:t>→</m:t>
        </m:r>
      </m:oMath>
      <w:r>
        <w:t xml:space="preserve"> </w:t>
      </w:r>
      <w:r>
        <w:t xml:space="preserve">rounds_exceeded</w:t>
      </w:r>
      <w:r>
        <w:t xml:space="preserve"> </w:t>
      </w:r>
      <m:oMath>
        <m:r>
          <m:rPr>
            <m:sty m:val="p"/>
          </m:rPr>
          <m:t>→</m:t>
        </m:r>
      </m:oMath>
      <w:r>
        <w:t xml:space="preserve"> </w:t>
      </w:r>
      <w:r>
        <w:t xml:space="preserve">keyword_missing</w:t>
      </w:r>
      <w:r>
        <w:t xml:space="preserve"> </w:t>
      </w:r>
      <m:oMath>
        <m:r>
          <m:rPr>
            <m:sty m:val="p"/>
          </m:rPr>
          <m:t>→</m:t>
        </m:r>
      </m:oMath>
      <w:r>
        <w:t xml:space="preserve"> </w:t>
      </w:r>
      <w:r>
        <w:t xml:space="preserve">forbidden_keyword) determines the error category. This priority reflects diagnostic value: tool selection failures are the most informative for understanding agent reasoning. Cases that would only fail</w:t>
      </w:r>
      <w:r>
        <w:t xml:space="preserve"> </w:t>
      </w:r>
      <w:r>
        <w:rPr>
          <w:rStyle w:val="VerbatimChar"/>
        </w:rPr>
        <w:t xml:space="preserve">max_cost_usd</w:t>
      </w:r>
      <w:r>
        <w:t xml:space="preserve"> </w:t>
      </w:r>
      <w:r>
        <w:t xml:space="preserve">are not counted as failures for capability scoring; their cost is instead reported on the cost–accuracy axis (Section </w:t>
      </w:r>
      <w:hyperlink w:anchor="sec:cost">
        <w:r>
          <w:rPr>
            <w:rStyle w:val="Hyperlink"/>
          </w:rPr>
          <w:t xml:space="preserve">4.4</w:t>
        </w:r>
      </w:hyperlink>
      <w:r>
        <w:t xml:space="preserve">).</w:t>
      </w:r>
    </w:p>
    <w:p>
      <w:pPr>
        <w:pStyle w:val="BodyText"/>
      </w:pPr>
      <w:r>
        <w:rPr>
          <w:b/>
          <w:bCs/>
        </w:rPr>
        <w:t xml:space="preserve">Design rationale.</w:t>
      </w:r>
      <w:r>
        <w:t xml:space="preserve"> </w:t>
      </w:r>
      <w:r>
        <w:t xml:space="preserve">Tool and action checks use</w:t>
      </w:r>
      <w:r>
        <w:t xml:space="preserve"> </w:t>
      </w:r>
      <w:r>
        <w:rPr>
          <w:i/>
          <w:iCs/>
        </w:rPr>
        <w:t xml:space="preserve">recall</w:t>
      </w:r>
      <w:r>
        <w:t xml:space="preserve"> </w:t>
      </w:r>
      <w:r>
        <w:t xml:space="preserve">as the gate rather than F1. An agent that calls all expected tools plus an exploratory extra tool should not be penalised—the key question is whether it performed the required operations. F1 is tracked as a separate metric for efficiency analysis.</w:t>
      </w:r>
    </w:p>
    <w:p>
      <w:pPr>
        <w:pStyle w:val="BodyText"/>
      </w:pPr>
      <w:r>
        <w:rPr>
          <w:b/>
          <w:bCs/>
        </w:rPr>
        <w:t xml:space="preserve">Capability and cost as orthogonal axes.</w:t>
      </w:r>
      <w:r>
        <w:t xml:space="preserve"> </w:t>
      </w:r>
      <w:r>
        <w:t xml:space="preserve">Per-case cost budgets are deployment thresholds, not measures of reasoning ability: a model that pays more in tokens has not necessarily reasoned less correctly. Conflating the two into a single binary score forces the reader to interpret a model’s accuracy through the lens of one specific, unjustified price threshold. We therefore decouple them: the binary leaderboard scores capability only (does the agent solve the case, evidenced by tool selection, keywords, and numeric accuracy), and per-case cost is reported alongside as a Pareto axis (Section </w:t>
      </w:r>
      <w:hyperlink w:anchor="sec:cost">
        <w:r>
          <w:rPr>
            <w:rStyle w:val="Hyperlink"/>
          </w:rPr>
          <w:t xml:space="preserve">4.4</w:t>
        </w:r>
      </w:hyperlink>
      <w:r>
        <w:t xml:space="preserve">). This separation follows HELM </w:t>
      </w:r>
      <w:r>
        <w:t xml:space="preserve">(Liang et al. 2023)</w:t>
      </w:r>
      <w:r>
        <w:t xml:space="preserve">, GAIA </w:t>
      </w:r>
      <w:r>
        <w:t xml:space="preserve">(Mialon et al. 2024)</w:t>
      </w:r>
      <w:r>
        <w:t xml:space="preserve">, and other modern agent benchmarks that report cost and latency as orthogonal dimensions rather than gates. Aggregated cost remains visible in the leaderboard table; a reader who cares about a specific per-case budget can recover the cost-gated number from the supplementary per-case CSV (column</w:t>
      </w:r>
      <w:r>
        <w:t xml:space="preserve"> </w:t>
      </w:r>
      <w:r>
        <w:rPr>
          <w:rStyle w:val="VerbatimChar"/>
        </w:rPr>
        <w:t xml:space="preserve">passed_with_cost_gate</w:t>
      </w:r>
      <w:r>
        <w:t xml:space="preserve">).</w:t>
      </w:r>
    </w:p>
    <w:bookmarkStart w:id="36" w:name="fig:scoring"/>
    <w:p>
      <w:pPr>
        <w:pStyle w:val="CaptionedFigure"/>
      </w:pPr>
      <w:r>
        <w:drawing>
          <wp:inline>
            <wp:extent cx="5334000" cy="3344430"/>
            <wp:effectExtent b="0" l="0" r="0" t="0"/>
            <wp:docPr descr="" title="" id="34" name="Picture"/>
            <a:graphic>
              <a:graphicData uri="http://schemas.openxmlformats.org/drawingml/2006/picture">
                <pic:pic>
                  <pic:nvPicPr>
                    <pic:cNvPr descr="figures/fig8_scoring_pipeline.pdf" id="35" name="Picture"/>
                    <pic:cNvPicPr>
                      <a:picLocks noChangeArrowheads="1" noChangeAspect="1"/>
                    </pic:cNvPicPr>
                  </pic:nvPicPr>
                  <pic:blipFill>
                    <a:blip r:embed="rId33"/>
                    <a:stretch>
                      <a:fillRect/>
                    </a:stretch>
                  </pic:blipFill>
                  <pic:spPr bwMode="auto">
                    <a:xfrm>
                      <a:off x="0" y="0"/>
                      <a:ext cx="5334000" cy="3344430"/>
                    </a:xfrm>
                    <a:prstGeom prst="rect">
                      <a:avLst/>
                    </a:prstGeom>
                    <a:noFill/>
                    <a:ln w="9525">
                      <a:noFill/>
                      <a:headEnd/>
                      <a:tailEnd/>
                    </a:ln>
                  </pic:spPr>
                </pic:pic>
              </a:graphicData>
            </a:graphic>
          </wp:inline>
        </w:drawing>
      </w:r>
    </w:p>
    <w:p>
      <w:pPr>
        <w:pStyle w:val="ImageCaption"/>
      </w:pPr>
      <w:r>
        <w:t xml:space="preserve">Scoring pipeline. Each case is evaluated by up to eight checks; binary pass requires all to pass. Partial-credit metrics (check score, tool F1, keyword coverage) are always computed.</w:t>
      </w:r>
    </w:p>
    <w:bookmarkEnd w:id="36"/>
    <w:bookmarkEnd w:id="37"/>
    <w:bookmarkEnd w:id="38"/>
    <w:bookmarkStart w:id="71" w:name="sec:results"/>
    <w:p>
      <w:pPr>
        <w:pStyle w:val="Heading1"/>
      </w:pPr>
      <w:r>
        <w:t xml:space="preserve">Experiments and Results</w:t>
      </w:r>
    </w:p>
    <w:bookmarkStart w:id="39" w:name="experimental-setup"/>
    <w:p>
      <w:pPr>
        <w:pStyle w:val="Heading2"/>
      </w:pPr>
      <w:r>
        <w:t xml:space="preserve">Experimental Setup</w:t>
      </w:r>
    </w:p>
    <w:p>
      <w:pPr>
        <w:pStyle w:val="FirstParagraph"/>
      </w:pPr>
      <w:r>
        <w:t xml:space="preserve">We evaluate seven LLMs on GeoNatureAgent Benchmark v5 (93 tasks, 18 categories) across Vertex AI Model-as-a-Service and the Anthropic Messages API (Table </w:t>
      </w:r>
      <w:hyperlink w:anchor="tab:models">
        <w:r>
          <w:rPr>
            <w:rStyle w:val="Hyperlink"/>
          </w:rPr>
          <w:t xml:space="preserve">[tab:models]</w:t>
        </w:r>
      </w:hyperlink>
      <w:r>
        <w:t xml:space="preserve">). All experiments use the v3 system prompt (a zero-shot ReAct-style instruction; the full prompt is committed to the repository at</w:t>
      </w:r>
      <w:r>
        <w:t xml:space="preserve"> </w:t>
      </w:r>
      <w:r>
        <w:rPr>
          <w:rStyle w:val="VerbatimChar"/>
        </w:rPr>
        <w:t xml:space="preserve">api/agent/prompts/v3.md</w:t>
      </w:r>
      <w:r>
        <w:t xml:space="preserve">),</w:t>
      </w:r>
      <w:r>
        <w:t xml:space="preserve"> </w:t>
      </w:r>
      <w:r>
        <w:rPr>
          <w:rStyle w:val="VerbatimChar"/>
        </w:rPr>
        <w:t xml:space="preserve">max_turns=10</w:t>
      </w:r>
      <w:r>
        <w:t xml:space="preserve">,</w:t>
      </w:r>
      <w:r>
        <w:t xml:space="preserve"> </w:t>
      </w:r>
      <w:r>
        <w:rPr>
          <w:rStyle w:val="VerbatimChar"/>
        </w:rPr>
        <w:t xml:space="preserve">max_tokens=4096</w:t>
      </w:r>
      <w:r>
        <w:t xml:space="preserve">, and</w:t>
      </w:r>
      <w:r>
        <w:t xml:space="preserve"> </w:t>
      </w:r>
      <w:r>
        <w:rPr>
          <w:rStyle w:val="VerbatimChar"/>
        </w:rPr>
        <w:t xml:space="preserve">temperature=1.0</w:t>
      </w:r>
      <w:r>
        <w:t xml:space="preserve">. We use temperature-1.0 to expose run-to-run variance and stress-test tool-use reliability under realistic sampling noise rather than the deterministic temperature-0 regime that overstates production stability. The prompt is held constant across all models to isolate capability from prompt-engineering effort; chain-of-thought, few-shot, and self-reflection variants are a distinct research question and are left to future work. Experiments run sequentially inside a single Cloud Run Job to ensure identical infrastructure conditions.</w:t>
      </w:r>
    </w:p>
    <w:bookmarkEnd w:id="39"/>
    <w:bookmarkStart w:id="40" w:name="sec:aggregation"/>
    <w:p>
      <w:pPr>
        <w:pStyle w:val="Heading2"/>
      </w:pPr>
      <w:r>
        <w:t xml:space="preserve">Aggregation Protocol</w:t>
      </w:r>
    </w:p>
    <w:p>
      <w:pPr>
        <w:pStyle w:val="FirstParagraph"/>
      </w:pPr>
      <w:r>
        <w:t xml:space="preserve">To control for run-to-run variance under temperature-1.0 sampling, every model is evaluated on the full v5 case set (93 tasks) under three random seeds,</w:t>
      </w:r>
      <w:r>
        <w:t xml:space="preserve"> </w:t>
      </w:r>
      <m:oMath>
        <m:r>
          <m:rPr>
            <m:sty m:val="p"/>
          </m:rPr>
          <m:t>{</m:t>
        </m:r>
        <m:r>
          <m:t>42</m:t>
        </m:r>
        <m:r>
          <m:rPr>
            <m:sty m:val="p"/>
          </m:rPr>
          <m:t>,</m:t>
        </m:r>
        <m:r>
          <m:t>1337</m:t>
        </m:r>
        <m:r>
          <m:rPr>
            <m:sty m:val="p"/>
          </m:rPr>
          <m:t>,</m:t>
        </m:r>
        <m:r>
          <m:t>2024</m:t>
        </m:r>
        <m:r>
          <m:rPr>
            <m:sty m:val="p"/>
          </m:rPr>
          <m:t>}</m:t>
        </m:r>
      </m:oMath>
      <w:r>
        <w:t xml:space="preserve">, where the underlying inference API exposes a</w:t>
      </w:r>
      <w:r>
        <w:t xml:space="preserve"> </w:t>
      </w:r>
      <w:r>
        <w:rPr>
          <w:rStyle w:val="VerbatimChar"/>
        </w:rPr>
        <w:t xml:space="preserve">seed</w:t>
      </w:r>
      <w:r>
        <w:t xml:space="preserve"> </w:t>
      </w:r>
      <w:r>
        <w:t xml:space="preserve">parameter (Vertex MaaS endpoints). The Anthropic Messages API does not implement deterministic seeding, so Claude Sonnet 4 is evaluated under two independent temperature-1.0 samples drawn under the same configuration; this yields a valid run-to-run variance estimate but is not bit-for-bit replayable. Reported accuracies are the per-seed mean with one standard deviation, and per-category accuracies are the unweighted mean across the available seeds. Each Cloud Run output directory contains a</w:t>
      </w:r>
      <w:r>
        <w:t xml:space="preserve"> </w:t>
      </w:r>
      <w:r>
        <w:rPr>
          <w:rStyle w:val="VerbatimChar"/>
        </w:rPr>
        <w:t xml:space="preserve">results.jsonl</w:t>
      </w:r>
      <w:r>
        <w:t xml:space="preserve"> </w:t>
      </w:r>
      <w:r>
        <w:t xml:space="preserve">where every row carries its own</w:t>
      </w:r>
      <w:r>
        <w:t xml:space="preserve"> </w:t>
      </w:r>
      <w:r>
        <w:rPr>
          <w:rStyle w:val="VerbatimChar"/>
        </w:rPr>
        <w:t xml:space="preserve">seed</w:t>
      </w:r>
      <w:r>
        <w:t xml:space="preserve">,</w:t>
      </w:r>
      <w:r>
        <w:t xml:space="preserve"> </w:t>
      </w:r>
      <w:r>
        <w:rPr>
          <w:rStyle w:val="VerbatimChar"/>
        </w:rPr>
        <w:t xml:space="preserve">case_id</w:t>
      </w:r>
      <w:r>
        <w:t xml:space="preserve">, and</w:t>
      </w:r>
      <w:r>
        <w:t xml:space="preserve"> </w:t>
      </w:r>
      <w:r>
        <w:rPr>
          <w:rStyle w:val="VerbatimChar"/>
        </w:rPr>
        <w:t xml:space="preserve">git_commit</w:t>
      </w:r>
      <w:r>
        <w:t xml:space="preserve">, so any leaderboard cell can be traced back to a Cloud Build log line.</w:t>
      </w:r>
    </w:p>
    <w:p>
      <w:pPr>
        <w:pStyle w:val="BodyText"/>
      </w:pPr>
      <w:r>
        <w:t xml:space="preserve">The mapping from each model’s leaderboard entry to its specific Cloud Run output directory is committed in</w:t>
      </w:r>
      <w:r>
        <w:t xml:space="preserve"> </w:t>
      </w:r>
      <w:r>
        <w:rPr>
          <w:rStyle w:val="VerbatimChar"/>
        </w:rPr>
        <w:t xml:space="preserve">paper/final_results/sources.yaml</w:t>
      </w:r>
      <w:r>
        <w:t xml:space="preserve">. A single deterministic script (</w:t>
      </w:r>
      <w:r>
        <w:rPr>
          <w:rStyle w:val="VerbatimChar"/>
        </w:rPr>
        <w:t xml:space="preserve">scripts/compile_final_results.py</w:t>
      </w:r>
      <w:r>
        <w:t xml:space="preserve">) reads this manifest, pulls each</w:t>
      </w:r>
      <w:r>
        <w:t xml:space="preserve"> </w:t>
      </w:r>
      <w:r>
        <w:rPr>
          <w:rStyle w:val="VerbatimChar"/>
        </w:rPr>
        <w:t xml:space="preserve">results.jsonl</w:t>
      </w:r>
      <w:r>
        <w:t xml:space="preserve"> </w:t>
      </w:r>
      <w:r>
        <w:t xml:space="preserve">from GCS, and emits the per-model leaderboard, per-category breakdown, and per-case matrix as CSV artefacts that are themselves committed to the repository. These CSVs are the single source of truth for every number reported in this paper; a reviewer can regenerate them from the public bucket with one command and diff-check against the committed copies.</w:t>
      </w:r>
    </w:p>
    <w:bookmarkEnd w:id="40"/>
    <w:bookmarkStart w:id="49" w:name="overall-results"/>
    <w:p>
      <w:pPr>
        <w:pStyle w:val="Heading2"/>
      </w:pPr>
      <w:r>
        <w:t xml:space="preserve">Overall Results</w:t>
      </w:r>
    </w:p>
    <w:bookmarkStart w:id="44" w:name="fig:leaderboard"/>
    <w:p>
      <w:pPr>
        <w:pStyle w:val="CaptionedFigure"/>
      </w:pPr>
      <w:r>
        <w:drawing>
          <wp:inline>
            <wp:extent cx="5334000" cy="2967181"/>
            <wp:effectExtent b="0" l="0" r="0" t="0"/>
            <wp:docPr descr="" title="" id="42" name="Picture"/>
            <a:graphic>
              <a:graphicData uri="http://schemas.openxmlformats.org/drawingml/2006/picture">
                <pic:pic>
                  <pic:nvPicPr>
                    <pic:cNvPr descr="figures/fig1_leaderboard.pdf" id="43" name="Picture"/>
                    <pic:cNvPicPr>
                      <a:picLocks noChangeArrowheads="1" noChangeAspect="1"/>
                    </pic:cNvPicPr>
                  </pic:nvPicPr>
                  <pic:blipFill>
                    <a:blip r:embed="rId41"/>
                    <a:stretch>
                      <a:fillRect/>
                    </a:stretch>
                  </pic:blipFill>
                  <pic:spPr bwMode="auto">
                    <a:xfrm>
                      <a:off x="0" y="0"/>
                      <a:ext cx="5334000" cy="2967181"/>
                    </a:xfrm>
                    <a:prstGeom prst="rect">
                      <a:avLst/>
                    </a:prstGeom>
                    <a:noFill/>
                    <a:ln w="9525">
                      <a:noFill/>
                      <a:headEnd/>
                      <a:tailEnd/>
                    </a:ln>
                  </pic:spPr>
                </pic:pic>
              </a:graphicData>
            </a:graphic>
          </wp:inline>
        </w:drawing>
      </w:r>
    </w:p>
    <w:p>
      <w:pPr>
        <w:pStyle w:val="ImageCaption"/>
      </w:pPr>
      <w:r>
        <w:t xml:space="preserve">GeoNatureAgent Benchmark v5 leaderboard. Accuracy (%) with total cost in parentheses. Dashed line at 50%.</w:t>
      </w:r>
    </w:p>
    <w:bookmarkEnd w:id="44"/>
    <w:p>
      <w:pPr>
        <w:pStyle w:val="BodyText"/>
      </w:pPr>
      <w:r>
        <w:t xml:space="preserve">Table </w:t>
      </w:r>
      <w:hyperlink w:anchor="tab:leaderboard">
        <w:r>
          <w:rPr>
            <w:rStyle w:val="Hyperlink"/>
          </w:rPr>
          <w:t xml:space="preserve">[tab:leaderboard]</w:t>
        </w:r>
      </w:hyperlink>
      <w:r>
        <w:t xml:space="preserve"> </w:t>
      </w:r>
      <w:r>
        <w:t xml:space="preserve">and Figure </w:t>
      </w:r>
      <w:hyperlink w:anchor="fig:leaderboard">
        <w:r>
          <w:rPr>
            <w:rStyle w:val="Hyperlink"/>
          </w:rPr>
          <w:t xml:space="preserve">3</w:t>
        </w:r>
      </w:hyperlink>
      <w:r>
        <w:t xml:space="preserve"> </w:t>
      </w:r>
      <w:r>
        <w:t xml:space="preserve">present the main results aggregated across seeds.</w:t>
      </w:r>
      <w:r>
        <w:t xml:space="preserve"> </w:t>
      </w:r>
      <w:r>
        <w:rPr>
          <w:b/>
          <w:bCs/>
        </w:rPr>
        <w:t xml:space="preserve">Claude Sonnet 4</w:t>
      </w:r>
      <w:r>
        <w:t xml:space="preserve"> </w:t>
      </w:r>
      <w:r>
        <w:t xml:space="preserve">leads on capability at</w:t>
      </w:r>
      <w:r>
        <w:t xml:space="preserve"> </w:t>
      </w:r>
      <m:oMath>
        <m:r>
          <m:t>60.8</m:t>
        </m:r>
        <m:r>
          <m:rPr>
            <m:sty m:val="p"/>
          </m:rPr>
          <m:t>%</m:t>
        </m:r>
        <m:r>
          <m:rPr>
            <m:sty m:val="p"/>
          </m:rPr>
          <m:t>±</m:t>
        </m:r>
        <m:r>
          <m:t>0.8</m:t>
        </m:r>
        <m:r>
          <m:rPr>
            <m:sty m:val="p"/>
          </m:rPr>
          <m:t>%</m:t>
        </m:r>
      </m:oMath>
      <w:r>
        <w:t xml:space="preserve">, with</w:t>
      </w:r>
      <w:r>
        <w:t xml:space="preserve"> </w:t>
      </w:r>
      <w:r>
        <w:rPr>
          <w:b/>
          <w:bCs/>
        </w:rPr>
        <w:t xml:space="preserve">DeepSeek V3.2</w:t>
      </w:r>
      <w:r>
        <w:t xml:space="preserve"> </w:t>
      </w:r>
      <w:r>
        <w:t xml:space="preserve">a close second at</w:t>
      </w:r>
      <w:r>
        <w:t xml:space="preserve"> </w:t>
      </w:r>
      <m:oMath>
        <m:r>
          <m:t>56.3</m:t>
        </m:r>
        <m:r>
          <m:rPr>
            <m:sty m:val="p"/>
          </m:rPr>
          <m:t>%</m:t>
        </m:r>
        <m:r>
          <m:rPr>
            <m:sty m:val="p"/>
          </m:rPr>
          <m:t>±</m:t>
        </m:r>
        <m:r>
          <m:t>3.1</m:t>
        </m:r>
        <m:r>
          <m:rPr>
            <m:sty m:val="p"/>
          </m:rPr>
          <m:t>%</m:t>
        </m:r>
      </m:oMath>
      <w:r>
        <w:t xml:space="preserve">.</w:t>
      </w:r>
      <w:r>
        <w:t xml:space="preserve"> </w:t>
      </w:r>
      <w:r>
        <w:rPr>
          <w:b/>
          <w:bCs/>
        </w:rPr>
        <w:t xml:space="preserve">GLM-5</w:t>
      </w:r>
      <w:r>
        <w:t xml:space="preserve"> </w:t>
      </w:r>
      <w:r>
        <w:t xml:space="preserve">(</w:t>
      </w:r>
      <m:oMath>
        <m:r>
          <m:t>50.2</m:t>
        </m:r>
        <m:r>
          <m:rPr>
            <m:sty m:val="p"/>
          </m:rPr>
          <m:t>%</m:t>
        </m:r>
        <m:r>
          <m:rPr>
            <m:sty m:val="p"/>
          </m:rPr>
          <m:t>±</m:t>
        </m:r>
        <m:r>
          <m:t>2.2</m:t>
        </m:r>
        <m:r>
          <m:rPr>
            <m:sty m:val="p"/>
          </m:rPr>
          <m:t>%</m:t>
        </m:r>
      </m:oMath>
      <w:r>
        <w:t xml:space="preserve">) and</w:t>
      </w:r>
      <w:r>
        <w:t xml:space="preserve"> </w:t>
      </w:r>
      <w:r>
        <w:rPr>
          <w:b/>
          <w:bCs/>
        </w:rPr>
        <w:t xml:space="preserve">Gemini 2.5 Pro</w:t>
      </w:r>
      <w:r>
        <w:t xml:space="preserve"> </w:t>
      </w:r>
      <w:r>
        <w:t xml:space="preserve">(</w:t>
      </w:r>
      <m:oMath>
        <m:r>
          <m:t>48.0</m:t>
        </m:r>
        <m:r>
          <m:rPr>
            <m:sty m:val="p"/>
          </m:rPr>
          <m:t>%</m:t>
        </m:r>
        <m:r>
          <m:rPr>
            <m:sty m:val="p"/>
          </m:rPr>
          <m:t>±</m:t>
        </m:r>
        <m:r>
          <m:t>3.3</m:t>
        </m:r>
        <m:r>
          <m:rPr>
            <m:sty m:val="p"/>
          </m:rPr>
          <m:t>%</m:t>
        </m:r>
      </m:oMath>
      <w:r>
        <w:t xml:space="preserve">) form the second tier.</w:t>
      </w:r>
      <w:r>
        <w:t xml:space="preserve"> </w:t>
      </w:r>
      <w:r>
        <w:rPr>
          <w:b/>
          <w:bCs/>
        </w:rPr>
        <w:t xml:space="preserve">Qwen3-235B</w:t>
      </w:r>
      <w:r>
        <w:t xml:space="preserve"> </w:t>
      </w:r>
      <w:r>
        <w:t xml:space="preserve">(</w:t>
      </w:r>
      <m:oMath>
        <m:r>
          <m:t>41.2</m:t>
        </m:r>
        <m:r>
          <m:rPr>
            <m:sty m:val="p"/>
          </m:rPr>
          <m:t>%</m:t>
        </m:r>
        <m:r>
          <m:rPr>
            <m:sty m:val="p"/>
          </m:rPr>
          <m:t>±</m:t>
        </m:r>
        <m:r>
          <m:t>4.3</m:t>
        </m:r>
        <m:r>
          <m:rPr>
            <m:sty m:val="p"/>
          </m:rPr>
          <m:t>%</m:t>
        </m:r>
      </m:oMath>
      <w:r>
        <w:t xml:space="preserve">),</w:t>
      </w:r>
      <w:r>
        <w:t xml:space="preserve"> </w:t>
      </w:r>
      <w:r>
        <w:rPr>
          <w:b/>
          <w:bCs/>
        </w:rPr>
        <w:t xml:space="preserve">GPT-OSS-120B</w:t>
      </w:r>
      <w:r>
        <w:t xml:space="preserve"> </w:t>
      </w:r>
      <w:r>
        <w:t xml:space="preserve">(</w:t>
      </w:r>
      <m:oMath>
        <m:r>
          <m:t>34.1</m:t>
        </m:r>
        <m:r>
          <m:rPr>
            <m:sty m:val="p"/>
          </m:rPr>
          <m:t>%</m:t>
        </m:r>
        <m:r>
          <m:rPr>
            <m:sty m:val="p"/>
          </m:rPr>
          <m:t>±</m:t>
        </m:r>
        <m:r>
          <m:t>1.2</m:t>
        </m:r>
        <m:r>
          <m:rPr>
            <m:sty m:val="p"/>
          </m:rPr>
          <m:t>%</m:t>
        </m:r>
      </m:oMath>
      <w:r>
        <w:t xml:space="preserve">), and</w:t>
      </w:r>
      <w:r>
        <w:t xml:space="preserve"> </w:t>
      </w:r>
      <w:r>
        <w:rPr>
          <w:b/>
          <w:bCs/>
        </w:rPr>
        <w:t xml:space="preserve">Llama 4 Scout</w:t>
      </w:r>
      <w:r>
        <w:t xml:space="preserve"> </w:t>
      </w:r>
      <w:r>
        <w:t xml:space="preserve">(</w:t>
      </w:r>
      <m:oMath>
        <m:r>
          <m:t>26.9</m:t>
        </m:r>
        <m:r>
          <m:rPr>
            <m:sty m:val="p"/>
          </m:rPr>
          <m:t>%</m:t>
        </m:r>
        <m:r>
          <m:rPr>
            <m:sty m:val="p"/>
          </m:rPr>
          <m:t>±</m:t>
        </m:r>
        <m:r>
          <m:t>2.1</m:t>
        </m:r>
        <m:r>
          <m:rPr>
            <m:sty m:val="p"/>
          </m:rPr>
          <m:t>%</m:t>
        </m:r>
      </m:oMath>
      <w:r>
        <w:t xml:space="preserve">) trail. Only two models exceed 55% and none reaches 65%, confirming that environmental geospatial tool orchestration remains a significant challenge even for the strongest frontier models. Inter-seed standard deviations are tight (</w:t>
      </w:r>
      <m:oMath>
        <m:r>
          <m:t>0.8</m:t>
        </m:r>
      </m:oMath>
      <w:r>
        <w:t xml:space="preserve">–</w:t>
      </w:r>
      <m:oMath>
        <m:r>
          <m:t>4.3</m:t>
        </m:r>
      </m:oMath>
      <w:r>
        <w:t xml:space="preserve"> </w:t>
      </w:r>
      <w:r>
        <w:t xml:space="preserve">percentage points), so the inter-model ordering is robust to sampling noise.</w:t>
      </w:r>
    </w:p>
    <w:p>
      <w:pPr>
        <w:pStyle w:val="BodyText"/>
      </w:pPr>
      <w:r>
        <w:t xml:space="preserve">Three findings stand out. First,</w:t>
      </w:r>
      <w:r>
        <w:t xml:space="preserve"> </w:t>
      </w:r>
      <w:r>
        <w:rPr>
          <w:b/>
          <w:bCs/>
        </w:rPr>
        <w:t xml:space="preserve">the top of the leaderboard is bimodal but close</w:t>
      </w:r>
      <w:r>
        <w:t xml:space="preserve">: Claude Sonnet 4 and DeepSeek V3.2 are separated by only</w:t>
      </w:r>
      <w:r>
        <w:t xml:space="preserve"> </w:t>
      </w:r>
      <m:oMath>
        <m:r>
          <m:t>4.5</m:t>
        </m:r>
      </m:oMath>
      <w:r>
        <w:t xml:space="preserve"> </w:t>
      </w:r>
      <w:r>
        <w:t xml:space="preserve">percentage points (Welch’s</w:t>
      </w:r>
      <w:r>
        <w:t xml:space="preserve"> </w:t>
      </w:r>
      <m:oMath>
        <m:r>
          <m:t>t</m:t>
        </m:r>
        <m:r>
          <m:rPr>
            <m:sty m:val="p"/>
          </m:rPr>
          <m:t>=</m:t>
        </m:r>
        <m:r>
          <m:t>2.40</m:t>
        </m:r>
      </m:oMath>
      <w:r>
        <w:t xml:space="preserve">,</w:t>
      </w:r>
      <w:r>
        <w:t xml:space="preserve"> </w:t>
      </w:r>
      <m:oMath>
        <m:r>
          <m:t>d</m:t>
        </m:r>
        <m:r>
          <m:t>f</m:t>
        </m:r>
        <m:r>
          <m:t>​</m:t>
        </m:r>
        <m:r>
          <m:rPr>
            <m:sty m:val="p"/>
          </m:rPr>
          <m:t>≈</m:t>
        </m:r>
        <m:r>
          <m:t>​</m:t>
        </m:r>
        <m:r>
          <m:t>2</m:t>
        </m:r>
      </m:oMath>
      <w:r>
        <w:t xml:space="preserve">,</w:t>
      </w:r>
      <w:r>
        <w:t xml:space="preserve"> </w:t>
      </w:r>
      <m:oMath>
        <m:r>
          <m:t>p</m:t>
        </m:r>
        <m:r>
          <m:t>​</m:t>
        </m:r>
        <m:r>
          <m:rPr>
            <m:sty m:val="p"/>
          </m:rPr>
          <m:t>≈</m:t>
        </m:r>
        <m:r>
          <m:t>​</m:t>
        </m:r>
        <m:r>
          <m:t>0.13</m:t>
        </m:r>
      </m:oMath>
      <w:r>
        <w:t xml:space="preserve">)—within statistical noise at our sample size—while both lead the third-place GLM-5 by more than</w:t>
      </w:r>
      <w:r>
        <w:t xml:space="preserve"> </w:t>
      </w:r>
      <m:oMath>
        <m:r>
          <m:t>6</m:t>
        </m:r>
      </m:oMath>
      <w:r>
        <w:t xml:space="preserve"> pp (</w:t>
      </w:r>
      <m:oMath>
        <m:r>
          <m:t>t</m:t>
        </m:r>
        <m:r>
          <m:t>​</m:t>
        </m:r>
        <m:r>
          <m:rPr>
            <m:sty m:val="p"/>
          </m:rPr>
          <m:t>≥</m:t>
        </m:r>
        <m:r>
          <m:t>​</m:t>
        </m:r>
        <m:r>
          <m:t>2.76</m:t>
        </m:r>
      </m:oMath>
      <w:r>
        <w:t xml:space="preserve">). The capability gap between the top two and the rest of the cohort is robust: Claude Sonnet 4 vs. Llama 4 Scout yields</w:t>
      </w:r>
      <w:r>
        <w:t xml:space="preserve"> </w:t>
      </w:r>
      <m:oMath>
        <m:r>
          <m:t>t</m:t>
        </m:r>
        <m:r>
          <m:rPr>
            <m:sty m:val="p"/>
          </m:rPr>
          <m:t>=</m:t>
        </m:r>
        <m:r>
          <m:t>25.0</m:t>
        </m:r>
      </m:oMath>
      <w:r>
        <w:t xml:space="preserve">, and every adjacent pair below the top two is significant at</w:t>
      </w:r>
      <w:r>
        <w:t xml:space="preserve"> </w:t>
      </w:r>
      <m:oMath>
        <m:r>
          <m:t>p</m:t>
        </m:r>
        <m:r>
          <m:rPr>
            <m:sty m:val="p"/>
          </m:rPr>
          <m:t>&lt;</m:t>
        </m:r>
        <m:r>
          <m:t>0.1</m:t>
        </m:r>
      </m:oMath>
      <w:r>
        <w:t xml:space="preserve"> </w:t>
      </w:r>
      <w:r>
        <w:t xml:space="preserve">except GLM-5 vs. Gemini 2.5 Pro, which are statistically indistinguishable. Second,</w:t>
      </w:r>
      <w:r>
        <w:t xml:space="preserve"> </w:t>
      </w:r>
      <w:r>
        <w:rPr>
          <w:b/>
          <w:bCs/>
        </w:rPr>
        <w:t xml:space="preserve">scale does not predict accuracy within the open-weight cluster</w:t>
      </w:r>
      <w:r>
        <w:t xml:space="preserve">: Llama 4 Scout (109B MoE active parameters) trails Qwen3-235B, which trails DeepSeek V3.2 (671B MoE), but GPT-OSS-120B is outperformed by the 109B-parameter Scout on partial-credit metrics, indicating that parameter count alone is insufficient to predict tool-orchestration competence. Third,</w:t>
      </w:r>
      <w:r>
        <w:t xml:space="preserve"> </w:t>
      </w:r>
      <w:r>
        <w:rPr>
          <w:b/>
          <w:bCs/>
        </w:rPr>
        <w:t xml:space="preserve">closed-source frontier models do not categorically dominate open-weight peers</w:t>
      </w:r>
      <w:r>
        <w:t xml:space="preserve">: Claude leads on capability but only marginally above DeepSeek; Gemini 2.5 Pro sits in third position, below both open-weight contenders. As we show in Section </w:t>
      </w:r>
      <w:hyperlink w:anchor="sec:cost">
        <w:r>
          <w:rPr>
            <w:rStyle w:val="Hyperlink"/>
          </w:rPr>
          <w:t xml:space="preserve">4.4</w:t>
        </w:r>
      </w:hyperlink>
      <w:r>
        <w:t xml:space="preserve">, this pattern is reinforced on the cost axis, where the entire cost–accuracy Pareto frontier is occupied by open-weight models.</w:t>
      </w:r>
    </w:p>
    <w:p>
      <w:pPr>
        <w:pStyle w:val="BodyText"/>
      </w:pPr>
      <m:oMath>
        <m:r>
          <m:rPr>
            <m:sty m:val="p"/>
          </m:rPr>
          <m:t>†</m:t>
        </m:r>
      </m:oMath>
      <w:r>
        <w:t xml:space="preserve">Claude Sonnet 4 is reported from two temperature-1.0 samples (the Anthropic Messages API does not implement deterministic seeding); the other six models are evaluated under three seeds. The variance estimate for Claude is therefore based on fewer observations and should be interpreted as an indicative measure rather than a precise one.</w:t>
      </w:r>
    </w:p>
    <w:p>
      <w:pPr>
        <w:pStyle w:val="BodyText"/>
      </w:pPr>
      <w:r>
        <w:rPr>
          <w:b/>
          <w:bCs/>
        </w:rPr>
        <w:t xml:space="preserve">Partial credit tells a different story.</w:t>
      </w:r>
      <w:r>
        <w:t xml:space="preserve"> </w:t>
      </w:r>
      <w:r>
        <w:t xml:space="preserve">Even failing cases often demonstrate partial competence: correct tool selection but missing a keyword, or correct keywords but an extra unnecessary tool call. This gap between binary accuracy and partial-credit scores (Figure </w:t>
      </w:r>
      <w:hyperlink w:anchor="fig:binary_partial">
        <w:r>
          <w:rPr>
            <w:rStyle w:val="Hyperlink"/>
          </w:rPr>
          <w:t xml:space="preserve">4</w:t>
        </w:r>
      </w:hyperlink>
      <w:r>
        <w:t xml:space="preserve">) suggests that many failures are</w:t>
      </w:r>
      <w:r>
        <w:t xml:space="preserve"> </w:t>
      </w:r>
      <w:r>
        <w:t xml:space="preserve">“near-misses”</w:t>
      </w:r>
      <w:r>
        <w:t xml:space="preserve"> </w:t>
      </w:r>
      <w:r>
        <w:t xml:space="preserve">addressable through prompt engineering.</w:t>
      </w:r>
    </w:p>
    <w:bookmarkStart w:id="48" w:name="fig:binary_partial"/>
    <w:p>
      <w:pPr>
        <w:pStyle w:val="CaptionedFigure"/>
      </w:pPr>
      <w:r>
        <w:drawing>
          <wp:inline>
            <wp:extent cx="5334000" cy="3197901"/>
            <wp:effectExtent b="0" l="0" r="0" t="0"/>
            <wp:docPr descr="" title="" id="46" name="Picture"/>
            <a:graphic>
              <a:graphicData uri="http://schemas.openxmlformats.org/drawingml/2006/picture">
                <pic:pic>
                  <pic:nvPicPr>
                    <pic:cNvPr descr="figures/fig3_binary_vs_partial.pdf" id="47" name="Picture"/>
                    <pic:cNvPicPr>
                      <a:picLocks noChangeArrowheads="1" noChangeAspect="1"/>
                    </pic:cNvPicPr>
                  </pic:nvPicPr>
                  <pic:blipFill>
                    <a:blip r:embed="rId45"/>
                    <a:stretch>
                      <a:fillRect/>
                    </a:stretch>
                  </pic:blipFill>
                  <pic:spPr bwMode="auto">
                    <a:xfrm>
                      <a:off x="0" y="0"/>
                      <a:ext cx="5334000" cy="3197901"/>
                    </a:xfrm>
                    <a:prstGeom prst="rect">
                      <a:avLst/>
                    </a:prstGeom>
                    <a:noFill/>
                    <a:ln w="9525">
                      <a:noFill/>
                      <a:headEnd/>
                      <a:tailEnd/>
                    </a:ln>
                  </pic:spPr>
                </pic:pic>
              </a:graphicData>
            </a:graphic>
          </wp:inline>
        </w:drawing>
      </w:r>
    </w:p>
    <w:p>
      <w:pPr>
        <w:pStyle w:val="ImageCaption"/>
      </w:pPr>
      <w:r>
        <w:t xml:space="preserve">Binary accuracy vs partial-credit check score. The gap indicates many</w:t>
      </w:r>
      <w:r>
        <w:t xml:space="preserve"> </w:t>
      </w:r>
      <w:r>
        <w:t xml:space="preserve">“near-miss”</w:t>
      </w:r>
      <w:r>
        <w:t xml:space="preserve"> </w:t>
      </w:r>
      <w:r>
        <w:t xml:space="preserve">failures.</w:t>
      </w:r>
    </w:p>
    <w:bookmarkEnd w:id="48"/>
    <w:bookmarkEnd w:id="49"/>
    <w:bookmarkStart w:id="58" w:name="sec:cost"/>
    <w:p>
      <w:pPr>
        <w:pStyle w:val="Heading2"/>
      </w:pPr>
      <w:r>
        <w:t xml:space="preserve">Cost-Accuracy Analysis</w:t>
      </w:r>
    </w:p>
    <w:bookmarkStart w:id="53" w:name="fig:cost_accuracy"/>
    <w:p>
      <w:pPr>
        <w:pStyle w:val="CaptionedFigure"/>
      </w:pPr>
      <w:r>
        <w:drawing>
          <wp:inline>
            <wp:extent cx="4330700" cy="3556000"/>
            <wp:effectExtent b="0" l="0" r="0" t="0"/>
            <wp:docPr descr="" title="" id="51" name="Picture"/>
            <a:graphic>
              <a:graphicData uri="http://schemas.openxmlformats.org/drawingml/2006/picture">
                <pic:pic>
                  <pic:nvPicPr>
                    <pic:cNvPr descr="figures/fig2_cost_accuracy.pdf" id="52" name="Picture"/>
                    <pic:cNvPicPr>
                      <a:picLocks noChangeArrowheads="1" noChangeAspect="1"/>
                    </pic:cNvPicPr>
                  </pic:nvPicPr>
                  <pic:blipFill>
                    <a:blip r:embed="rId50"/>
                    <a:stretch>
                      <a:fillRect/>
                    </a:stretch>
                  </pic:blipFill>
                  <pic:spPr bwMode="auto">
                    <a:xfrm>
                      <a:off x="0" y="0"/>
                      <a:ext cx="4330700" cy="3556000"/>
                    </a:xfrm>
                    <a:prstGeom prst="rect">
                      <a:avLst/>
                    </a:prstGeom>
                    <a:noFill/>
                    <a:ln w="9525">
                      <a:noFill/>
                      <a:headEnd/>
                      <a:tailEnd/>
                    </a:ln>
                  </pic:spPr>
                </pic:pic>
              </a:graphicData>
            </a:graphic>
          </wp:inline>
        </w:drawing>
      </w:r>
    </w:p>
    <w:p>
      <w:pPr>
        <w:pStyle w:val="ImageCaption"/>
      </w:pPr>
      <w:r>
        <w:t xml:space="preserve">Cost-accuracy trade-off. Bubble size proportional to total tokens; cost is the mean per-seed run cost (93 cases). The Pareto frontier (dashed line) runs Scout </w:t>
      </w:r>
      <m:oMath>
        <m:r>
          <m:rPr>
            <m:sty m:val="p"/>
          </m:rPr>
          <m:t>→</m:t>
        </m:r>
      </m:oMath>
      <w:r>
        <w:t xml:space="preserve"> Qwen3-235B </w:t>
      </w:r>
      <m:oMath>
        <m:r>
          <m:rPr>
            <m:sty m:val="p"/>
          </m:rPr>
          <m:t>→</m:t>
        </m:r>
      </m:oMath>
      <w:r>
        <w:t xml:space="preserve"> DeepSeek V3.2 </w:t>
      </w:r>
      <m:oMath>
        <m:r>
          <m:rPr>
            <m:sty m:val="p"/>
          </m:rPr>
          <m:t>→</m:t>
        </m:r>
      </m:oMath>
      <w:r>
        <w:t xml:space="preserve"> Claude Sonnet 4: three of the four frontier models are open-weight.</w:t>
      </w:r>
    </w:p>
    <w:bookmarkEnd w:id="53"/>
    <w:p>
      <w:pPr>
        <w:pStyle w:val="BodyText"/>
      </w:pPr>
      <w:r>
        <w:t xml:space="preserve">Cost per case varies by more than an order of magnitude across the cohort, from $0.003 for Llama 4 Scout to $0.127 for Claude Sonnet 4 (Figure </w:t>
      </w:r>
      <w:hyperlink w:anchor="fig:cost_accuracy">
        <w:r>
          <w:rPr>
            <w:rStyle w:val="Hyperlink"/>
          </w:rPr>
          <w:t xml:space="preserve">5</w:t>
        </w:r>
      </w:hyperlink>
      <w:r>
        <w:t xml:space="preserve">). The cost–accuracy Pareto frontier comprises four models:</w:t>
      </w:r>
      <w:r>
        <w:t xml:space="preserve"> </w:t>
      </w:r>
      <w:r>
        <w:rPr>
          <w:b/>
          <w:bCs/>
        </w:rPr>
        <w:t xml:space="preserve">Llama 4 Scout</w:t>
      </w:r>
      <w:r>
        <w:t xml:space="preserve"> </w:t>
      </w:r>
      <w:r>
        <w:t xml:space="preserve">(cheapest,</w:t>
      </w:r>
      <w:r>
        <w:t xml:space="preserve"> </w:t>
      </w:r>
      <m:oMath>
        <m:r>
          <m:t>26.9</m:t>
        </m:r>
        <m:r>
          <m:rPr>
            <m:sty m:val="p"/>
          </m:rPr>
          <m:t>%</m:t>
        </m:r>
      </m:oMath>
      <w:r>
        <w:t xml:space="preserve"> </w:t>
      </w:r>
      <w:r>
        <w:t xml:space="preserve">capability),</w:t>
      </w:r>
      <w:r>
        <w:t xml:space="preserve"> </w:t>
      </w:r>
      <w:r>
        <w:rPr>
          <w:b/>
          <w:bCs/>
        </w:rPr>
        <w:t xml:space="preserve">Qwen3-235B</w:t>
      </w:r>
      <w:r>
        <w:t xml:space="preserve"> </w:t>
      </w:r>
      <w:r>
        <w:t xml:space="preserve">(</w:t>
      </w:r>
      <m:oMath>
        <m:r>
          <m:t>41.2</m:t>
        </m:r>
        <m:r>
          <m:rPr>
            <m:sty m:val="p"/>
          </m:rPr>
          <m:t>%</m:t>
        </m:r>
      </m:oMath>
      <w:r>
        <w:t xml:space="preserve"> </w:t>
      </w:r>
      <w:r>
        <w:t xml:space="preserve">at $0.010/case),</w:t>
      </w:r>
      <w:r>
        <w:t xml:space="preserve"> </w:t>
      </w:r>
      <w:r>
        <w:rPr>
          <w:b/>
          <w:bCs/>
        </w:rPr>
        <w:t xml:space="preserve">DeepSeek V3.2</w:t>
      </w:r>
      <w:r>
        <w:t xml:space="preserve"> </w:t>
      </w:r>
      <w:r>
        <w:t xml:space="preserve">(</w:t>
      </w:r>
      <m:oMath>
        <m:r>
          <m:t>56.3</m:t>
        </m:r>
        <m:r>
          <m:rPr>
            <m:sty m:val="p"/>
          </m:rPr>
          <m:t>%</m:t>
        </m:r>
      </m:oMath>
      <w:r>
        <w:t xml:space="preserve"> </w:t>
      </w:r>
      <w:r>
        <w:t xml:space="preserve">at $0.011/case), and</w:t>
      </w:r>
      <w:r>
        <w:t xml:space="preserve"> </w:t>
      </w:r>
      <w:r>
        <w:rPr>
          <w:b/>
          <w:bCs/>
        </w:rPr>
        <w:t xml:space="preserve">Claude Sonnet 4</w:t>
      </w:r>
      <w:r>
        <w:t xml:space="preserve"> </w:t>
      </w:r>
      <w:r>
        <w:t xml:space="preserve">(highest capability at</w:t>
      </w:r>
      <w:r>
        <w:t xml:space="preserve"> </w:t>
      </w:r>
      <m:oMath>
        <m:r>
          <m:t>60.8</m:t>
        </m:r>
        <m:r>
          <m:rPr>
            <m:sty m:val="p"/>
          </m:rPr>
          <m:t>%</m:t>
        </m:r>
      </m:oMath>
      <w:r>
        <w:t xml:space="preserve">, $0.127/case). Three of these four frontier models are open-weight; closed-source Gemini 2.5 Pro and the open-weight GPT-OSS-120B are dominated (every Pareto-frontier point matches or exceeds their accuracy at lower cost). The DeepSeek V3.2 entry is particularly notable: it delivers</w:t>
      </w:r>
      <w:r>
        <w:t xml:space="preserve"> </w:t>
      </w:r>
      <m:oMath>
        <m:r>
          <m:t>93</m:t>
        </m:r>
        <m:r>
          <m:rPr>
            <m:sty m:val="p"/>
          </m:rPr>
          <m:t>%</m:t>
        </m:r>
      </m:oMath>
      <w:r>
        <w:t xml:space="preserve"> </w:t>
      </w:r>
      <w:r>
        <w:t xml:space="preserve">of Claude’s capability (</w:t>
      </w:r>
      <m:oMath>
        <m:r>
          <m:t>56.3</m:t>
        </m:r>
        <m:r>
          <m:rPr>
            <m:sty m:val="p"/>
          </m:rPr>
          <m:t>%</m:t>
        </m:r>
      </m:oMath>
      <w:r>
        <w:t xml:space="preserve"> </w:t>
      </w:r>
      <w:r>
        <w:t xml:space="preserve">vs. </w:t>
      </w:r>
      <m:oMath>
        <m:r>
          <m:t>60.8</m:t>
        </m:r>
        <m:r>
          <m:rPr>
            <m:sty m:val="p"/>
          </m:rPr>
          <m:t>%</m:t>
        </m:r>
      </m:oMath>
      <w:r>
        <w:t xml:space="preserve">) at</w:t>
      </w:r>
      <w:r>
        <w:t xml:space="preserve"> </w:t>
      </w:r>
      <m:oMath>
        <m:r>
          <m:t>11.6</m:t>
        </m:r>
        <m:r>
          <m:rPr>
            <m:sty m:val="p"/>
          </m:rPr>
          <m:t>×</m:t>
        </m:r>
      </m:oMath>
      <w:r>
        <w:t xml:space="preserve"> </w:t>
      </w:r>
      <w:r>
        <w:t xml:space="preserve">lower per-case cost, making it the strongest single-model recommendation for cost-sensitive deployments. Models priced between DeepSeek and Claude—GLM-5, Gemini 2.5 Pro, and GPT-OSS-120B—neither match Claude’s accuracy nor undercut DeepSeek’s price; they are interior to the frontier in the cost–accuracy plane.</w:t>
      </w:r>
    </w:p>
    <w:p>
      <w:pPr>
        <w:pStyle w:val="BodyText"/>
      </w:pPr>
      <w:r>
        <w:t xml:space="preserve">Table </w:t>
      </w:r>
      <w:hyperlink w:anchor="tab:cost_projection">
        <w:r>
          <w:rPr>
            <w:rStyle w:val="Hyperlink"/>
          </w:rPr>
          <w:t xml:space="preserve">[tab:cost_projection]</w:t>
        </w:r>
      </w:hyperlink>
      <w:r>
        <w:t xml:space="preserve"> </w:t>
      </w:r>
      <w:r>
        <w:t xml:space="preserve">projects per-query costs to a production deployment serving 1</w:t>
      </w:r>
      <w:r>
        <w:t xml:space="preserve">,</w:t>
      </w:r>
      <w:r>
        <w:t xml:space="preserve">000 queries/day. The capability leader (Claude Sonnet 4,</w:t>
      </w:r>
      <w:r>
        <w:t xml:space="preserve"> </w:t>
      </w:r>
      <m:oMath>
        <m:r>
          <m:t>60.8</m:t>
        </m:r>
        <m:r>
          <m:rPr>
            <m:sty m:val="p"/>
          </m:rPr>
          <m:t>%</m:t>
        </m:r>
      </m:oMath>
      <w:r>
        <w:t xml:space="preserve">) costs $127/day, while the second-place DeepSeek V3.2 (</w:t>
      </w:r>
      <m:oMath>
        <m:r>
          <m:t>56.3</m:t>
        </m:r>
        <m:r>
          <m:rPr>
            <m:sty m:val="p"/>
          </m:rPr>
          <m:t>%</m:t>
        </m:r>
      </m:oMath>
      <w:r>
        <w:t xml:space="preserve">) costs $11/day—a</w:t>
      </w:r>
      <w:r>
        <w:t xml:space="preserve"> </w:t>
      </w:r>
      <m:oMath>
        <m:r>
          <m:t>4.5</m:t>
        </m:r>
      </m:oMath>
      <w:r>
        <w:t xml:space="preserve">-percentage-point capability gap for an</w:t>
      </w:r>
      <w:r>
        <w:t xml:space="preserve"> </w:t>
      </w:r>
      <m:oMath>
        <m:r>
          <m:t>11.6</m:t>
        </m:r>
        <m:r>
          <m:rPr>
            <m:sty m:val="p"/>
          </m:rPr>
          <m:t>×</m:t>
        </m:r>
      </m:oMath>
      <w:r>
        <w:t xml:space="preserve"> </w:t>
      </w:r>
      <w:r>
        <w:t xml:space="preserve">price difference. For most production deployments the right operating point sits on the open-weight Pareto frontier; the rare scenarios that justify the premium price are those where the absolute capability ceiling matters more than throughput economics. These dynamics align with prior cost-efficient findings such as Geo-OLM </w:t>
      </w:r>
      <w:r>
        <w:t xml:space="preserve">(Stamoulis and Marculescu 2025)</w:t>
      </w:r>
      <w:r>
        <w:t xml:space="preserve">, which shows that small specialised models can match frontier model performance at a fraction of frontier cost; here the same pattern emerges among general-purpose models at the larger scale required for environmental analysis.</w:t>
      </w:r>
    </w:p>
    <w:p>
      <w:pPr>
        <w:pStyle w:val="BodyText"/>
      </w:pPr>
      <w:r>
        <w:t xml:space="preserve">Figure </w:t>
      </w:r>
      <w:hyperlink w:anchor="fig:tokens_accuracy">
        <w:r>
          <w:rPr>
            <w:rStyle w:val="Hyperlink"/>
          </w:rPr>
          <w:t xml:space="preserve">6</w:t>
        </w:r>
      </w:hyperlink>
      <w:r>
        <w:t xml:space="preserve"> </w:t>
      </w:r>
      <w:r>
        <w:t xml:space="preserve">further illustrates this relationship, showing that token consumption does not predict capability—models that generate more tokens do not necessarily achieve higher scores.</w:t>
      </w:r>
    </w:p>
    <w:bookmarkStart w:id="57" w:name="fig:tokens_accuracy"/>
    <w:p>
      <w:pPr>
        <w:pStyle w:val="CaptionedFigure"/>
      </w:pPr>
      <w:r>
        <w:drawing>
          <wp:inline>
            <wp:extent cx="5334000" cy="3600450"/>
            <wp:effectExtent b="0" l="0" r="0" t="0"/>
            <wp:docPr descr="" title="" id="55" name="Picture"/>
            <a:graphic>
              <a:graphicData uri="http://schemas.openxmlformats.org/drawingml/2006/picture">
                <pic:pic>
                  <pic:nvPicPr>
                    <pic:cNvPr descr="figures/fig7_tokens_accuracy.pdf" id="56" name="Picture"/>
                    <pic:cNvPicPr>
                      <a:picLocks noChangeArrowheads="1" noChangeAspect="1"/>
                    </pic:cNvPicPr>
                  </pic:nvPicPr>
                  <pic:blipFill>
                    <a:blip r:embed="rId54"/>
                    <a:stretch>
                      <a:fillRect/>
                    </a:stretch>
                  </pic:blipFill>
                  <pic:spPr bwMode="auto">
                    <a:xfrm>
                      <a:off x="0" y="0"/>
                      <a:ext cx="5334000" cy="3600450"/>
                    </a:xfrm>
                    <a:prstGeom prst="rect">
                      <a:avLst/>
                    </a:prstGeom>
                    <a:noFill/>
                    <a:ln w="9525">
                      <a:noFill/>
                      <a:headEnd/>
                      <a:tailEnd/>
                    </a:ln>
                  </pic:spPr>
                </pic:pic>
              </a:graphicData>
            </a:graphic>
          </wp:inline>
        </w:drawing>
      </w:r>
    </w:p>
    <w:p>
      <w:pPr>
        <w:pStyle w:val="ImageCaption"/>
      </w:pPr>
      <w:r>
        <w:t xml:space="preserve">Token consumption vs accuracy. Token volume is a poor predictor of performance.</w:t>
      </w:r>
    </w:p>
    <w:bookmarkEnd w:id="57"/>
    <w:bookmarkEnd w:id="58"/>
    <w:bookmarkStart w:id="65" w:name="failure-analysis"/>
    <w:p>
      <w:pPr>
        <w:pStyle w:val="Heading2"/>
      </w:pPr>
      <w:r>
        <w:t xml:space="preserve">Failure Analysis</w:t>
      </w:r>
    </w:p>
    <w:bookmarkStart w:id="63" w:name="universally-hard-tasks"/>
    <w:p>
      <w:pPr>
        <w:pStyle w:val="Heading3"/>
      </w:pPr>
      <w:r>
        <w:t xml:space="preserve">Universally Hard Tasks</w:t>
      </w:r>
    </w:p>
    <w:p>
      <w:pPr>
        <w:pStyle w:val="FirstParagraph"/>
      </w:pPr>
      <w:r>
        <w:t xml:space="preserve">One case—close-value comparison—defeats every model in every seed, and two further categories sit in the 0–25% range (Figure </w:t>
      </w:r>
      <w:hyperlink w:anchor="fig:hard_cases">
        <w:r>
          <w:rPr>
            <w:rStyle w:val="Hyperlink"/>
          </w:rPr>
          <w:t xml:space="preserve">7</w:t>
        </w:r>
      </w:hyperlink>
      <w:r>
        <w:t xml:space="preserve">), revealing systematic limitations:</w:t>
      </w:r>
    </w:p>
    <w:bookmarkStart w:id="62" w:name="fig:hard_cases"/>
    <w:p>
      <w:pPr>
        <w:pStyle w:val="CaptionedFigure"/>
      </w:pPr>
      <w:r>
        <w:drawing>
          <wp:inline>
            <wp:extent cx="5334000" cy="3470313"/>
            <wp:effectExtent b="0" l="0" r="0" t="0"/>
            <wp:docPr descr="" title="" id="60" name="Picture"/>
            <a:graphic>
              <a:graphicData uri="http://schemas.openxmlformats.org/drawingml/2006/picture">
                <pic:pic>
                  <pic:nvPicPr>
                    <pic:cNvPr descr="figures/fig5_hard_cases.pdf" id="61" name="Picture"/>
                    <pic:cNvPicPr>
                      <a:picLocks noChangeArrowheads="1" noChangeAspect="1"/>
                    </pic:cNvPicPr>
                  </pic:nvPicPr>
                  <pic:blipFill>
                    <a:blip r:embed="rId59"/>
                    <a:stretch>
                      <a:fillRect/>
                    </a:stretch>
                  </pic:blipFill>
                  <pic:spPr bwMode="auto">
                    <a:xfrm>
                      <a:off x="0" y="0"/>
                      <a:ext cx="5334000" cy="3470313"/>
                    </a:xfrm>
                    <a:prstGeom prst="rect">
                      <a:avLst/>
                    </a:prstGeom>
                    <a:noFill/>
                    <a:ln w="9525">
                      <a:noFill/>
                      <a:headEnd/>
                      <a:tailEnd/>
                    </a:ln>
                  </pic:spPr>
                </pic:pic>
              </a:graphicData>
            </a:graphic>
          </wp:inline>
        </w:drawing>
      </w:r>
    </w:p>
    <w:p>
      <w:pPr>
        <w:pStyle w:val="ImageCaption"/>
      </w:pPr>
      <w:r>
        <w:t xml:space="preserve">Category difficulty—mean accuracy across all seven models, sorted by difficulty.</w:t>
      </w:r>
    </w:p>
    <w:bookmarkEnd w:id="62"/>
    <w:p>
      <w:pPr>
        <w:pStyle w:val="BodyText"/>
      </w:pPr>
      <w:r>
        <w:rPr>
          <w:b/>
          <w:bCs/>
        </w:rPr>
        <w:t xml:space="preserve">Close-value comparison</w:t>
      </w:r>
      <w:r>
        <w:t xml:space="preserve"> </w:t>
      </w:r>
      <w:r>
        <w:t xml:space="preserve">(case</w:t>
      </w:r>
      <w:r>
        <w:t xml:space="preserve"> </w:t>
      </w:r>
      <w:r>
        <w:rPr>
          <w:rStyle w:val="VerbatimChar"/>
        </w:rPr>
        <w:t xml:space="preserve">V5_21</w:t>
      </w:r>
      <w:r>
        <w:t xml:space="preserve">, 0/20 trials across 7 models</w:t>
      </w:r>
      <w:r>
        <w:t xml:space="preserve"> </w:t>
      </w:r>
      <m:oMath>
        <m:r>
          <m:rPr>
            <m:sty m:val="p"/>
          </m:rPr>
          <m:t>×</m:t>
        </m:r>
      </m:oMath>
      <w:r>
        <w:t xml:space="preserve"> </w:t>
      </w:r>
      <w:r>
        <w:t xml:space="preserve">2–3 seeds): the close-value sub-case (Murcia 68.5% vs. Córdoba 68.4%) leads every model in every seed to fabricate a directional difference rather than reporting near-identical values. We treat this as a strong qualitative falsification of the hypothesis that any model in our cohort returns</w:t>
      </w:r>
      <w:r>
        <w:t xml:space="preserve"> </w:t>
      </w:r>
      <w:r>
        <w:t xml:space="preserve">“effectively equal”</w:t>
      </w:r>
      <w:r>
        <w:t xml:space="preserve"> </w:t>
      </w:r>
      <w:r>
        <w:t xml:space="preserve">as an answer; the failure mode is consistent: agents call the correct</w:t>
      </w:r>
      <w:r>
        <w:t xml:space="preserve"> </w:t>
      </w:r>
      <w:r>
        <w:rPr>
          <w:rStyle w:val="VerbatimChar"/>
        </w:rPr>
        <w:t xml:space="preserve">compare_areas</w:t>
      </w:r>
      <w:r>
        <w:t xml:space="preserve"> </w:t>
      </w:r>
      <w:r>
        <w:t xml:space="preserve">tool, receive the correct numeric output, and then state in natural language that one province is higher. The</w:t>
      </w:r>
      <w:r>
        <w:t xml:space="preserve"> </w:t>
      </w:r>
      <w:r>
        <w:rPr>
          <w:i/>
          <w:iCs/>
        </w:rPr>
        <w:t xml:space="preserve">directional</w:t>
      </w:r>
      <w:r>
        <w:t xml:space="preserve"> </w:t>
      </w:r>
      <w:r>
        <w:t xml:space="preserve">sub-case (</w:t>
      </w:r>
      <w:r>
        <w:rPr>
          <w:rStyle w:val="VerbatimChar"/>
        </w:rPr>
        <w:t xml:space="preserve">V5_22</w:t>
      </w:r>
      <w:r>
        <w:t xml:space="preserve">: Asturias-north vs. Granada-south erosion, where the difference is large and obvious) tells a different story: DeepSeek V3.2 passes 2/3 seeds and GPT-OSS-120B passes 3/3, while the other five models still fail. The capability gap is therefore specifically about distinguishing</w:t>
      </w:r>
      <w:r>
        <w:t xml:space="preserve"> </w:t>
      </w:r>
      <w:r>
        <w:t xml:space="preserve">“different”</w:t>
      </w:r>
      <w:r>
        <w:t xml:space="preserve"> </w:t>
      </w:r>
      <w:r>
        <w:t xml:space="preserve">from</w:t>
      </w:r>
      <w:r>
        <w:t xml:space="preserve"> </w:t>
      </w:r>
      <w:r>
        <w:t xml:space="preserve">“effectively equal”</w:t>
      </w:r>
      <w:r>
        <w:t xml:space="preserve"> </w:t>
      </w:r>
      <w:r>
        <w:t xml:space="preserve">under small numeric gaps, not about directional reasoning in general.</w:t>
      </w:r>
      <w:r>
        <w:t xml:space="preserve"> </w:t>
      </w:r>
      <w:r>
        <w:rPr>
          <w:b/>
          <w:bCs/>
        </w:rPr>
        <w:t xml:space="preserve">Ranking</w:t>
      </w:r>
      <w:r>
        <w:t xml:space="preserve"> </w:t>
      </w:r>
      <w:r>
        <w:t xml:space="preserve">(0–33% across models): bottom-N and top-N province queries failed even on models that aced single-province lookups, with errors split between calling the wrong tool (</w:t>
      </w:r>
      <w:r>
        <w:rPr>
          <w:rStyle w:val="VerbatimChar"/>
        </w:rPr>
        <w:t xml:space="preserve">analyze_area</w:t>
      </w:r>
      <w:r>
        <w:t xml:space="preserve"> </w:t>
      </w:r>
      <w:r>
        <w:t xml:space="preserve">instead of</w:t>
      </w:r>
      <w:r>
        <w:t xml:space="preserve"> </w:t>
      </w:r>
      <w:r>
        <w:rPr>
          <w:rStyle w:val="VerbatimChar"/>
        </w:rPr>
        <w:t xml:space="preserve">find_top_n</w:t>
      </w:r>
      <w:r>
        <w:t xml:space="preserve">) and confabulating rankings from training data.</w:t>
      </w:r>
      <w:r>
        <w:t xml:space="preserve"> </w:t>
      </w:r>
      <w:r>
        <w:rPr>
          <w:b/>
          <w:bCs/>
        </w:rPr>
        <w:t xml:space="preserve">Single analysis</w:t>
      </w:r>
      <w:r>
        <w:t xml:space="preserve"> </w:t>
      </w:r>
      <w:r>
        <w:t xml:space="preserve">(0–100%): trivially-passable for some models but a 0/2 floor for Claude and Llama 4 Scout.</w:t>
      </w:r>
      <w:r>
        <w:t xml:space="preserve"> </w:t>
      </w:r>
      <w:r>
        <w:rPr>
          <w:b/>
          <w:bCs/>
        </w:rPr>
        <w:t xml:space="preserve">Province aggregation</w:t>
      </w:r>
      <w:r>
        <w:t xml:space="preserve"> </w:t>
      </w:r>
      <w:r>
        <w:t xml:space="preserve">(0–75%): wide variance, with Claude and GLM-5 above 50% but DeepSeek and Qwen3 below 20%.</w:t>
      </w:r>
    </w:p>
    <w:p>
      <w:pPr>
        <w:pStyle w:val="BodyText"/>
      </w:pPr>
      <w:r>
        <w:t xml:space="preserve">Conversely, the easiest categories are</w:t>
      </w:r>
      <w:r>
        <w:t xml:space="preserve"> </w:t>
      </w:r>
      <w:r>
        <w:rPr>
          <w:b/>
          <w:bCs/>
        </w:rPr>
        <w:t xml:space="preserve">habitat analysis</w:t>
      </w:r>
      <w:r>
        <w:t xml:space="preserve"> </w:t>
      </w:r>
      <w:r>
        <w:t xml:space="preserve">(Claude 100%, GLM-5 81%, mean 60%),</w:t>
      </w:r>
      <w:r>
        <w:t xml:space="preserve"> </w:t>
      </w:r>
      <w:r>
        <w:rPr>
          <w:b/>
          <w:bCs/>
        </w:rPr>
        <w:t xml:space="preserve">memory/multi-turn</w:t>
      </w:r>
      <w:r>
        <w:t xml:space="preserve"> </w:t>
      </w:r>
      <w:r>
        <w:t xml:space="preserve">(mean 79%), and</w:t>
      </w:r>
      <w:r>
        <w:t xml:space="preserve"> </w:t>
      </w:r>
      <w:r>
        <w:rPr>
          <w:b/>
          <w:bCs/>
        </w:rPr>
        <w:t xml:space="preserve">language</w:t>
      </w:r>
      <w:r>
        <w:t xml:space="preserve"> </w:t>
      </w:r>
      <w:r>
        <w:t xml:space="preserve">(mean 51% across the five cost-gate-free models; Claude’s 0% on this category is a cost-budget artefact, Section </w:t>
      </w:r>
      <w:hyperlink w:anchor="sec:cost">
        <w:r>
          <w:rPr>
            <w:rStyle w:val="Hyperlink"/>
          </w:rPr>
          <w:t xml:space="preserve">4.4</w:t>
        </w:r>
      </w:hyperlink>
      <w:r>
        <w:t xml:space="preserve">). Models that pay the cost-budget can sustain multi-turn context and parse Galician/Basque inputs but cannot reliably perform the multi-step numeric reasoning that ranking and comparison demand.</w:t>
      </w:r>
    </w:p>
    <w:bookmarkEnd w:id="63"/>
    <w:bookmarkStart w:id="64" w:name="model-specific-patterns"/>
    <w:p>
      <w:pPr>
        <w:pStyle w:val="Heading3"/>
      </w:pPr>
      <w:r>
        <w:t xml:space="preserve">Model-Specific Patterns</w:t>
      </w:r>
    </w:p>
    <w:p>
      <w:pPr>
        <w:pStyle w:val="FirstParagraph"/>
      </w:pPr>
      <w:r>
        <w:rPr>
          <w:b/>
          <w:bCs/>
        </w:rPr>
        <w:t xml:space="preserve">DeepSeek V3.2</w:t>
      </w:r>
      <w:r>
        <w:t xml:space="preserve"> </w:t>
      </w:r>
      <w:r>
        <w:t xml:space="preserve">(</w:t>
      </w:r>
      <m:oMath>
        <m:r>
          <m:t>56.3</m:t>
        </m:r>
        <m:r>
          <m:rPr>
            <m:sty m:val="p"/>
          </m:rPr>
          <m:t>%</m:t>
        </m:r>
      </m:oMath>
      <w:r>
        <w:t xml:space="preserve">): leader, with the most balanced profile—above 70% on cross-indicator synthesis, memory, multi-municipality ranking, single analysis, spatial reasoning, threshold, and municipality categories. Notably the only model in the top three to break 30% on the universally hard comparison category (33%, vs 0% for all others).</w:t>
      </w:r>
      <w:r>
        <w:t xml:space="preserve"> </w:t>
      </w:r>
      <w:r>
        <w:rPr>
          <w:b/>
          <w:bCs/>
        </w:rPr>
        <w:t xml:space="preserve">GLM-5</w:t>
      </w:r>
      <w:r>
        <w:t xml:space="preserve"> </w:t>
      </w:r>
      <w:r>
        <w:t xml:space="preserve">(</w:t>
      </w:r>
      <m:oMath>
        <m:r>
          <m:t>50.2</m:t>
        </m:r>
        <m:r>
          <m:rPr>
            <m:sty m:val="p"/>
          </m:rPr>
          <m:t>%</m:t>
        </m:r>
      </m:oMath>
      <w:r>
        <w:t xml:space="preserve">): strong on cross-indicator (88%), habitat (81%), memory (83%), municipality (92%), and threshold (78%); weaker on tool selection (27%) and a 0% floor on comparison and ranking.</w:t>
      </w:r>
      <w:r>
        <w:t xml:space="preserve"> </w:t>
      </w:r>
      <w:r>
        <w:rPr>
          <w:b/>
          <w:bCs/>
        </w:rPr>
        <w:t xml:space="preserve">Gemini 2.5 Pro</w:t>
      </w:r>
      <w:r>
        <w:t xml:space="preserve"> </w:t>
      </w:r>
      <w:r>
        <w:t xml:space="preserve">(</w:t>
      </w:r>
      <m:oMath>
        <m:r>
          <m:t>48.0</m:t>
        </m:r>
        <m:r>
          <m:rPr>
            <m:sty m:val="p"/>
          </m:rPr>
          <m:t>%</m:t>
        </m:r>
      </m:oMath>
      <w:r>
        <w:t xml:space="preserve">): the highest-accuracy closed-source model in the cohort, with habitat (86%), memory (78%), and error handling (72%) among its strengths; notably weak on ranking and temporal change (both 0%).</w:t>
      </w:r>
      <w:r>
        <w:t xml:space="preserve"> </w:t>
      </w:r>
      <w:r>
        <w:rPr>
          <w:b/>
          <w:bCs/>
        </w:rPr>
        <w:t xml:space="preserve">Claude Sonnet 4</w:t>
      </w:r>
      <w:r>
        <w:t xml:space="preserve"> </w:t>
      </w:r>
      <w:r>
        <w:t xml:space="preserve">(</w:t>
      </w:r>
      <m:oMath>
        <m:r>
          <m:t>60.8</m:t>
        </m:r>
        <m:r>
          <m:rPr>
            <m:sty m:val="p"/>
          </m:rPr>
          <m:t>%</m:t>
        </m:r>
      </m:oMath>
      <w:r>
        <w:t xml:space="preserve">): the capability leader, with the most uniformly strong per-category profile in the cohort. Claude reaches 100% on habitat analysis, memory/multi-turn, and municipality; 94% on cross-indicator synthesis (the highest in the cohort); 83% on threshold; and 75% on language, spatial reasoning, and province aggregation. Its principal weakness is the universally hard comparison category (0%, shared with five other models—only DeepSeek breaks zero) and tool selection (33%, tied with DeepSeek but well below its other categories). Per-token cost is high ($0.127/case), placing Claude on the upper-right of the Pareto frontier: the most capable single point, but at</w:t>
      </w:r>
      <w:r>
        <w:t xml:space="preserve"> </w:t>
      </w:r>
      <m:oMath>
        <m:r>
          <m:t>11.6</m:t>
        </m:r>
        <m:r>
          <m:rPr>
            <m:sty m:val="p"/>
          </m:rPr>
          <m:t>×</m:t>
        </m:r>
      </m:oMath>
      <w:r>
        <w:t xml:space="preserve"> </w:t>
      </w:r>
      <w:r>
        <w:t xml:space="preserve">the price of the next-best Pareto point (DeepSeek).</w:t>
      </w:r>
      <w:r>
        <w:t xml:space="preserve"> </w:t>
      </w:r>
      <w:r>
        <w:rPr>
          <w:b/>
          <w:bCs/>
        </w:rPr>
        <w:t xml:space="preserve">Qwen3-235B</w:t>
      </w:r>
      <w:r>
        <w:t xml:space="preserve"> </w:t>
      </w:r>
      <w:r>
        <w:t xml:space="preserve">(</w:t>
      </w:r>
      <m:oMath>
        <m:r>
          <m:t>41.2</m:t>
        </m:r>
        <m:r>
          <m:rPr>
            <m:sty m:val="p"/>
          </m:rPr>
          <m:t>%</m:t>
        </m:r>
      </m:oMath>
      <w:r>
        <w:t xml:space="preserve">): strongest on threshold (100%), habitat (76%), memory (83%), and deep dive (56%); weakest on tool selection (17%) and province aggregation (0%).</w:t>
      </w:r>
      <w:r>
        <w:t xml:space="preserve"> </w:t>
      </w:r>
      <w:r>
        <w:rPr>
          <w:b/>
          <w:bCs/>
        </w:rPr>
        <w:t xml:space="preserve">GPT-OSS-120B</w:t>
      </w:r>
      <w:r>
        <w:t xml:space="preserve"> </w:t>
      </w:r>
      <w:r>
        <w:t xml:space="preserve">(</w:t>
      </w:r>
      <m:oMath>
        <m:r>
          <m:t>30.1</m:t>
        </m:r>
        <m:r>
          <m:rPr>
            <m:sty m:val="p"/>
          </m:rPr>
          <m:t>%</m:t>
        </m:r>
      </m:oMath>
      <w:r>
        <w:t xml:space="preserve">): moderate across categories with no standout strengths; threshold (89%) is its only category above 70%.</w:t>
      </w:r>
      <w:r>
        <w:t xml:space="preserve"> </w:t>
      </w:r>
      <w:r>
        <w:rPr>
          <w:b/>
          <w:bCs/>
        </w:rPr>
        <w:t xml:space="preserve">Llama 4 Scout</w:t>
      </w:r>
      <w:r>
        <w:t xml:space="preserve"> </w:t>
      </w:r>
      <w:r>
        <w:t xml:space="preserve">(</w:t>
      </w:r>
      <m:oMath>
        <m:r>
          <m:t>26.9</m:t>
        </m:r>
        <m:r>
          <m:rPr>
            <m:sty m:val="p"/>
          </m:rPr>
          <m:t>%</m:t>
        </m:r>
      </m:oMath>
      <w:r>
        <w:t xml:space="preserve">): trails the cohort, with successes concentrated in language (78%), memory (72%), and error recovery (67%) but a near-floor on tool selection (6%) and cross-indicator synthesis (29%).</w:t>
      </w:r>
    </w:p>
    <w:bookmarkEnd w:id="64"/>
    <w:bookmarkEnd w:id="65"/>
    <w:bookmarkStart w:id="70" w:name="sec:category"/>
    <w:p>
      <w:pPr>
        <w:pStyle w:val="Heading2"/>
      </w:pPr>
      <w:r>
        <w:t xml:space="preserve">Category-Level Analysis</w:t>
      </w:r>
    </w:p>
    <w:bookmarkStart w:id="69" w:name="fig:heatmap"/>
    <w:p>
      <w:pPr>
        <w:pStyle w:val="CaptionedFigure"/>
      </w:pPr>
      <w:r>
        <w:drawing>
          <wp:inline>
            <wp:extent cx="5334000" cy="2878381"/>
            <wp:effectExtent b="0" l="0" r="0" t="0"/>
            <wp:docPr descr="" title="" id="67" name="Picture"/>
            <a:graphic>
              <a:graphicData uri="http://schemas.openxmlformats.org/drawingml/2006/picture">
                <pic:pic>
                  <pic:nvPicPr>
                    <pic:cNvPr descr="figures/fig4_category_heatmap.pdf" id="68" name="Picture"/>
                    <pic:cNvPicPr>
                      <a:picLocks noChangeArrowheads="1" noChangeAspect="1"/>
                    </pic:cNvPicPr>
                  </pic:nvPicPr>
                  <pic:blipFill>
                    <a:blip r:embed="rId66"/>
                    <a:stretch>
                      <a:fillRect/>
                    </a:stretch>
                  </pic:blipFill>
                  <pic:spPr bwMode="auto">
                    <a:xfrm>
                      <a:off x="0" y="0"/>
                      <a:ext cx="5334000" cy="2878381"/>
                    </a:xfrm>
                    <a:prstGeom prst="rect">
                      <a:avLst/>
                    </a:prstGeom>
                    <a:noFill/>
                    <a:ln w="9525">
                      <a:noFill/>
                      <a:headEnd/>
                      <a:tailEnd/>
                    </a:ln>
                  </pic:spPr>
                </pic:pic>
              </a:graphicData>
            </a:graphic>
          </wp:inline>
        </w:drawing>
      </w:r>
    </w:p>
    <w:p>
      <w:pPr>
        <w:pStyle w:val="ImageCaption"/>
      </w:pPr>
      <w:r>
        <w:t xml:space="preserve">Accuracy by category across the seven models. Comparison achieves 0% across every model; the largest category (tool selection, 21 tasks) shows large inter-model variance.</w:t>
      </w:r>
    </w:p>
    <w:bookmarkEnd w:id="69"/>
    <w:p>
      <w:pPr>
        <w:pStyle w:val="BodyText"/>
      </w:pPr>
      <w:r>
        <w:t xml:space="preserve">Figure </w:t>
      </w:r>
      <w:hyperlink w:anchor="fig:heatmap">
        <w:r>
          <w:rPr>
            <w:rStyle w:val="Hyperlink"/>
          </w:rPr>
          <w:t xml:space="preserve">8</w:t>
        </w:r>
      </w:hyperlink>
      <w:r>
        <w:t xml:space="preserve"> </w:t>
      </w:r>
      <w:r>
        <w:t xml:space="preserve">shows mean accuracy by category across all seven models. Three structural findings emerge:</w:t>
      </w:r>
    </w:p>
    <w:p>
      <w:pPr>
        <w:pStyle w:val="BodyText"/>
      </w:pPr>
      <w:r>
        <w:rPr>
          <w:b/>
          <w:bCs/>
        </w:rPr>
        <w:t xml:space="preserve">(1) Close-value comparison is universally unsolved.</w:t>
      </w:r>
      <w:r>
        <w:t xml:space="preserve"> </w:t>
      </w:r>
      <w:r>
        <w:t xml:space="preserve">The close-value sub-case (</w:t>
      </w:r>
      <w:r>
        <w:rPr>
          <w:rStyle w:val="VerbatimChar"/>
        </w:rPr>
        <w:t xml:space="preserve">V5_21</w:t>
      </w:r>
      <w:r>
        <w:t xml:space="preserve">) yields 0/20 across all model-seed trials; the directional sub-case (</w:t>
      </w:r>
      <w:r>
        <w:rPr>
          <w:rStyle w:val="VerbatimChar"/>
        </w:rPr>
        <w:t xml:space="preserve">V5_22</w:t>
      </w:r>
      <w:r>
        <w:t xml:space="preserve">) is partly solvable (DeepSeek 67%, GPT-OSS-120B 100%; all other models 0%).</w:t>
      </w:r>
      <w:r>
        <w:t xml:space="preserve"> </w:t>
      </w:r>
      <w:r>
        <w:rPr>
          <w:b/>
          <w:bCs/>
        </w:rPr>
        <w:t xml:space="preserve">(2) Tool selection variance is the dominant cross-model spread.</w:t>
      </w:r>
      <w:r>
        <w:t xml:space="preserve"> </w:t>
      </w:r>
      <w:r>
        <w:t xml:space="preserve">The 21-case tool selection category is the largest and the most discriminative: Claude (33%), DeepSeek (30%), GLM-5 (27%), GPT-OSS-120B (25%) cluster within an 8-point band, while Qwen3-235B (17%) and Scout (6%) trail.</w:t>
      </w:r>
      <w:r>
        <w:t xml:space="preserve"> </w:t>
      </w:r>
      <w:r>
        <w:rPr>
          <w:b/>
          <w:bCs/>
        </w:rPr>
        <w:t xml:space="preserve">(3) Model strengths are domain-specialised rather than uniform.</w:t>
      </w:r>
      <w:r>
        <w:t xml:space="preserve"> </w:t>
      </w:r>
      <w:r>
        <w:t xml:space="preserve">No model dominates every category. Claude leads on habitat analysis (100%), memory (100%), municipality (100%), cross-indicator synthesis (94%), and ties on a further three categories. DeepSeek leads on single analysis (100%), spatial reasoning (83%), multi-municipality ranking (78%), and is the unique non-zero on comparison (33%). GLM-5 leads on threshold (78%) and is the only mid-pack model to clear 65% on cross-indicator (88%). Gemini leads on error handling (72%). Qwen3 ties Claude on threshold (100% on three cases). A practitioner optimising deployment for a specific category should consult the per-category breakdown rather than the headline accuracy alone—no single model is uniformly best, and the right choice depends on which task patterns dominate the target workload.</w:t>
      </w:r>
    </w:p>
    <w:bookmarkEnd w:id="70"/>
    <w:bookmarkEnd w:id="71"/>
    <w:bookmarkStart w:id="76" w:name="sec:discussion"/>
    <w:p>
      <w:pPr>
        <w:pStyle w:val="Heading1"/>
      </w:pPr>
      <w:r>
        <w:t xml:space="preserve">Discussion</w:t>
      </w:r>
    </w:p>
    <w:bookmarkStart w:id="72" w:name="comparison-with-prior-benchmarks"/>
    <w:p>
      <w:pPr>
        <w:pStyle w:val="Heading2"/>
      </w:pPr>
      <w:r>
        <w:t xml:space="preserve">Comparison with Prior Benchmarks</w:t>
      </w:r>
    </w:p>
    <w:p>
      <w:pPr>
        <w:pStyle w:val="FirstParagraph"/>
      </w:pPr>
      <w:r>
        <w:t xml:space="preserve">GeoNatureAgent Benchmark’s 60.8% best-model accuracy is notably lower than GeoBenchX and GeoJSON Agents (85–97%). Table </w:t>
      </w:r>
      <w:hyperlink w:anchor="tab:benchmark_comparison">
        <w:r>
          <w:rPr>
            <w:rStyle w:val="Hyperlink"/>
          </w:rPr>
          <w:t xml:space="preserve">[tab:benchmark_comparison]</w:t>
        </w:r>
      </w:hyperlink>
      <w:r>
        <w:t xml:space="preserve"> </w:t>
      </w:r>
      <w:r>
        <w:t xml:space="preserve">summarises the key differences.</w:t>
      </w:r>
    </w:p>
    <w:p>
      <w:pPr>
        <w:pStyle w:val="BodyText"/>
      </w:pPr>
      <w:r>
        <w:t xml:space="preserve">Four factors explain the accuracy gap: (1) real API interaction vs local file operations; (2) environmental domain complexity (geographic knowledge, data limitations, display-only layers); (3) multi-turn conversation history; (4) strict binary evaluation. Our results align with harder benchmarks: MapEval (</w:t>
      </w:r>
      <m:oMath>
        <m:r>
          <m:rPr>
            <m:sty m:val="p"/>
          </m:rPr>
          <m:t>&lt;</m:t>
        </m:r>
      </m:oMath>
      <w:r>
        <w:t xml:space="preserve">67%) </w:t>
      </w:r>
      <w:r>
        <w:t xml:space="preserve">(Dihan et al. 2025)</w:t>
      </w:r>
      <w:r>
        <w:t xml:space="preserve">, SpatiaLab (55%) </w:t>
      </w:r>
      <w:r>
        <w:t xml:space="preserve">(Wasi et al. 2026)</w:t>
      </w:r>
      <w:r>
        <w:t xml:space="preserve">, UnivEARTH (33%) </w:t>
      </w:r>
      <w:r>
        <w:t xml:space="preserve">(Kao et al. 2025)</w:t>
      </w:r>
      <w:r>
        <w:t xml:space="preserve">.</w:t>
      </w:r>
    </w:p>
    <w:p>
      <w:pPr>
        <w:pStyle w:val="BodyText"/>
      </w:pPr>
      <w:r>
        <w:t xml:space="preserve">The GeoBenchX comparison is particularly instructive because both benchmarks share the structured tool-calling paradigm. The roughly 30-percentage-point accuracy drop from general GIS tasks to environmental analysis suggests that general-purpose geospatial benchmarks substantially overestimate agent capability for domain-specific workflows. Environmental tasks require geographic knowledge (e.g., which provinces have erosion data), awareness of data limitations (display-only layers that cannot be analysed), multi-step reasoning across indicators, and temporal awareness—challenges absent from generic filter-merge-visualise pipelines. This motivates domain-specific benchmarks as a necessary complement to general-purpose evaluations.</w:t>
      </w:r>
    </w:p>
    <w:bookmarkEnd w:id="72"/>
    <w:bookmarkStart w:id="73" w:name="X8f54a5a9eff7f36a7a5b294b530b8200627bf68"/>
    <w:p>
      <w:pPr>
        <w:pStyle w:val="Heading2"/>
      </w:pPr>
      <w:r>
        <w:t xml:space="preserve">Structured Tool Calling vs Code Generation</w:t>
      </w:r>
    </w:p>
    <w:p>
      <w:pPr>
        <w:pStyle w:val="FirstParagraph"/>
      </w:pPr>
      <w:r>
        <w:t xml:space="preserve">Our 60.8% best-model accuracy on real API tool calls compares favourably with UnivEARTH’s 33% on code generation </w:t>
      </w:r>
      <w:r>
        <w:t xml:space="preserve">(Kao et al. 2025)</w:t>
      </w:r>
      <w:r>
        <w:t xml:space="preserve">. While not directly comparable, the structured approach constrains the output space, eliminating the 58% code execution failure rate that UnivEARTH reports. This provides further evidence that production environmental systems should prefer structured APIs over free-form code generation.</w:t>
      </w:r>
    </w:p>
    <w:bookmarkEnd w:id="73"/>
    <w:bookmarkStart w:id="74" w:name="sec:validation"/>
    <w:p>
      <w:pPr>
        <w:pStyle w:val="Heading2"/>
      </w:pPr>
      <w:r>
        <w:t xml:space="preserve">Cross-Dataset Evaluation: BigEarthNet V2</w:t>
      </w:r>
    </w:p>
    <w:p>
      <w:pPr>
        <w:pStyle w:val="FirstParagraph"/>
      </w:pPr>
      <w:r>
        <w:t xml:space="preserve">GeoNatureAgent Benchmark is designed to be domain- and geography-agnostic. To demonstrate extensibility beyond Spanish CO</w:t>
      </w:r>
      <m:oMath>
        <m:sSub>
          <m:e>
            <m:r>
              <m:t>​</m:t>
            </m:r>
          </m:e>
          <m:sub>
            <m:r>
              <m:t>2</m:t>
            </m:r>
          </m:sub>
        </m:sSub>
      </m:oMath>
      <w:r>
        <w:t xml:space="preserve"> </w:t>
      </w:r>
      <w:r>
        <w:t xml:space="preserve">and erosion indicators, we incorporate BigEarthNet V2 </w:t>
      </w:r>
      <w:r>
        <w:t xml:space="preserve">(Clasen et al. 2025)</w:t>
      </w:r>
      <w:r>
        <w:t xml:space="preserve"> </w:t>
      </w:r>
      <w:r>
        <w:t xml:space="preserve">as a third data domain covering a different country. BigEarthNet V2 provides 549k labeled Sentinel-2 patches with CLC2018 19-class labels; we aggregate the 75k+ Portuguese patches across 9 mainland districts into a 7-class land cover distribution (Coniferous Forest, Broadleaf Forest, Shrubland, Grassland, Sparse Vegetation, Water, Urban) queryable via the same</w:t>
      </w:r>
      <w:r>
        <w:t xml:space="preserve"> </w:t>
      </w:r>
      <w:r>
        <w:rPr>
          <w:rStyle w:val="VerbatimChar"/>
        </w:rPr>
        <w:t xml:space="preserve">analyze_area</w:t>
      </w:r>
      <w:r>
        <w:t xml:space="preserve"> </w:t>
      </w:r>
      <w:r>
        <w:t xml:space="preserve">tool used for Spanish indicators.</w:t>
      </w:r>
    </w:p>
    <w:p>
      <w:pPr>
        <w:pStyle w:val="BodyText"/>
      </w:pPr>
      <w:r>
        <w:t xml:space="preserve">This integration tests whether agents generalise from Spanish environmental data to a different country and data domain. The 20 BigEarthNet benchmark cases (Table </w:t>
      </w:r>
      <w:hyperlink w:anchor="tab:bigearth_cases">
        <w:r>
          <w:rPr>
            <w:rStyle w:val="Hyperlink"/>
          </w:rPr>
          <w:t xml:space="preserve">[tab:bigearth_cases]</w:t>
        </w:r>
      </w:hyperlink>
      <w:r>
        <w:t xml:space="preserve">) span seven task patterns: single-district breakdown, cross-indicator synthesis (Portuguese land cover with Spanish CO</w:t>
      </w:r>
      <m:oMath>
        <m:sSub>
          <m:e>
            <m:r>
              <m:t>​</m:t>
            </m:r>
          </m:e>
          <m:sub>
            <m:r>
              <m:t>2</m:t>
            </m:r>
          </m:sub>
        </m:sSub>
      </m:oMath>
      <w:r>
        <w:t xml:space="preserve">/erosion), multi-turn recall, chart generation, legend and layer discovery, temporal context, and two-district comparison. Unlike the CO</w:t>
      </w:r>
      <m:oMath>
        <m:sSub>
          <m:e>
            <m:r>
              <m:t>​</m:t>
            </m:r>
          </m:e>
          <m:sub>
            <m:r>
              <m:t>2</m:t>
            </m:r>
          </m:sub>
        </m:sSub>
      </m:oMath>
      <w:r>
        <w:t xml:space="preserve"> </w:t>
      </w:r>
      <w:r>
        <w:t xml:space="preserve">and erosion indicators where ground truth depends on live raster geometry, BigEarthNet cases have fixed numeric ground truth derived from pre-computed district-level statistics, enabling deterministic scoring.</w:t>
      </w:r>
    </w:p>
    <w:p>
      <w:pPr>
        <w:pStyle w:val="BodyText"/>
      </w:pPr>
      <w:r>
        <w:t xml:space="preserve">While Table </w:t>
      </w:r>
      <w:hyperlink w:anchor="tab:bigearth_cases">
        <w:r>
          <w:rPr>
            <w:rStyle w:val="Hyperlink"/>
          </w:rPr>
          <w:t xml:space="preserve">[tab:bigearth_cases]</w:t>
        </w:r>
      </w:hyperlink>
      <w:r>
        <w:t xml:space="preserve"> </w:t>
      </w:r>
      <w:r>
        <w:t xml:space="preserve">lists the 20 purpose-built BigEarthNet cases, Portuguese land cover data also appears in 4 additional cases across other categories (tool selection, interpretation, error recovery), yielding 24 BigEarthNet-related cases in total. Aggregated across seeds,</w:t>
      </w:r>
      <w:r>
        <w:t xml:space="preserve"> </w:t>
      </w:r>
      <w:r>
        <w:rPr>
          <w:b/>
          <w:bCs/>
        </w:rPr>
        <w:t xml:space="preserve">Claude Sonnet 4</w:t>
      </w:r>
      <w:r>
        <w:t xml:space="preserve"> </w:t>
      </w:r>
      <w:r>
        <w:t xml:space="preserve">achieves the highest mean accuracy on this subset (100% on the dedicated habitat-analysis cases and 94% on cross-indicator cases that combine Portuguese land cover with Spanish indicators), followed by</w:t>
      </w:r>
      <w:r>
        <w:t xml:space="preserve"> </w:t>
      </w:r>
      <w:r>
        <w:rPr>
          <w:b/>
          <w:bCs/>
        </w:rPr>
        <w:t xml:space="preserve">GLM-5</w:t>
      </w:r>
      <w:r>
        <w:t xml:space="preserve"> </w:t>
      </w:r>
      <w:r>
        <w:t xml:space="preserve">(habitat 81%, cross-indicator 88%) and</w:t>
      </w:r>
      <w:r>
        <w:t xml:space="preserve"> </w:t>
      </w:r>
      <w:r>
        <w:rPr>
          <w:b/>
          <w:bCs/>
        </w:rPr>
        <w:t xml:space="preserve">DeepSeek V3.2</w:t>
      </w:r>
      <w:r>
        <w:t xml:space="preserve"> </w:t>
      </w:r>
      <w:r>
        <w:t xml:space="preserve">(habitat 71%, cross-indicator 83%). Claude’s standout performance on the BigEarthNet cases—consistent with its top position on the overall capability leaderboard—suggests that its instruction-following and JSON-handling reliability are particularly well-suited to the pre-computed district-level indicator workflow. The BigEarthNet subset also illustrates a broader point: adding a third indicator and a second country required no engine changes, validating the framework’s domain-and-geography-agnostic claim.</w:t>
      </w:r>
    </w:p>
    <w:p>
      <w:pPr>
        <w:pStyle w:val="BodyText"/>
      </w:pPr>
      <w:r>
        <w:t xml:space="preserve">The inclusion of BigEarthNet V2 as a queryable layer rather than merely a validation dataset transforms the benchmark’s geographic scope from Spain-only to cross-country (Spain + Portugal), and its indicator count from two to three. This validates the claim that the framework generalises to new data sources: adding a new indicator required only a JSON statistics file, a prompt update, and new benchmark cases—no changes to the scoring engine or evaluation protocol.</w:t>
      </w:r>
    </w:p>
    <w:bookmarkEnd w:id="74"/>
    <w:bookmarkStart w:id="75" w:name="limitations"/>
    <w:p>
      <w:pPr>
        <w:pStyle w:val="Heading2"/>
      </w:pPr>
      <w:r>
        <w:t xml:space="preserve">Limitations</w:t>
      </w:r>
    </w:p>
    <w:p>
      <w:pPr>
        <w:pStyle w:val="FirstParagraph"/>
      </w:pPr>
      <w:r>
        <w:rPr>
          <w:b/>
          <w:bCs/>
        </w:rPr>
        <w:t xml:space="preserve">Evaluation strictness</w:t>
      </w:r>
      <w:r>
        <w:t xml:space="preserve">: binary pass/fail may understate capability (Section </w:t>
      </w:r>
      <w:hyperlink w:anchor="sec:scoring">
        <w:r>
          <w:rPr>
            <w:rStyle w:val="Hyperlink"/>
          </w:rPr>
          <w:t xml:space="preserve">3.3</w:t>
        </w:r>
      </w:hyperlink>
      <w:r>
        <w:t xml:space="preserve"> </w:t>
      </w:r>
      <w:r>
        <w:t xml:space="preserve">describes the partial-credit metrics that address this).</w:t>
      </w:r>
      <w:r>
        <w:t xml:space="preserve"> </w:t>
      </w:r>
      <w:r>
        <w:rPr>
          <w:b/>
          <w:bCs/>
        </w:rPr>
        <w:t xml:space="preserve">Architecture scope</w:t>
      </w:r>
      <w:r>
        <w:t xml:space="preserve">: every system evaluated is a single-agent ReAct loop; multi-agent decompositions (Planner-Worker, Squad architectures) are known to deliver large gains on adjacent benchmarks </w:t>
      </w:r>
      <w:r>
        <w:t xml:space="preserve">(Luo et al. 2026; Lee et al. 2025)</w:t>
      </w:r>
      <w:r>
        <w:t xml:space="preserve"> </w:t>
      </w:r>
      <w:r>
        <w:t xml:space="preserve">and would be a natural extension.</w:t>
      </w:r>
    </w:p>
    <w:bookmarkEnd w:id="75"/>
    <w:bookmarkEnd w:id="76"/>
    <w:bookmarkStart w:id="79" w:name="sec:conclusion"/>
    <w:p>
      <w:pPr>
        <w:pStyle w:val="Heading1"/>
      </w:pPr>
      <w:r>
        <w:t xml:space="preserve">Conclusion</w:t>
      </w:r>
    </w:p>
    <w:p>
      <w:pPr>
        <w:pStyle w:val="FirstParagraph"/>
      </w:pPr>
      <w:r>
        <w:t xml:space="preserve">We introduce GeoNatureAgent Benchmark, a benchmark for evaluating AI agents on environmental geospatial analysis through structured tool calling against an open, self-hostable API. The benchmark spans three indicators across Spain and Portugal, demonstrating domain and geographic extensibility. Evaluating seven LLMs on 93 tasks across 18 categories with twelve tools, under three temperature-1.0 seeds per model and reporting capability and per-case cost as orthogonal axes:</w:t>
      </w:r>
    </w:p>
    <w:p>
      <w:pPr>
        <w:numPr>
          <w:ilvl w:val="0"/>
          <w:numId w:val="1003"/>
        </w:numPr>
      </w:pPr>
      <w:r>
        <w:rPr>
          <w:b/>
          <w:bCs/>
        </w:rPr>
        <w:t xml:space="preserve">Environmental geospatial tool orchestration remains open.</w:t>
      </w:r>
      <w:r>
        <w:t xml:space="preserve"> </w:t>
      </w:r>
      <w:r>
        <w:t xml:space="preserve">The capability leader (Claude Sonnet 4) achieves</w:t>
      </w:r>
      <w:r>
        <w:t xml:space="preserve"> </w:t>
      </w:r>
      <m:oMath>
        <m:r>
          <m:t>60.8</m:t>
        </m:r>
        <m:r>
          <m:rPr>
            <m:sty m:val="p"/>
          </m:rPr>
          <m:t>%</m:t>
        </m:r>
        <m:r>
          <m:rPr>
            <m:sty m:val="p"/>
          </m:rPr>
          <m:t>±</m:t>
        </m:r>
        <m:r>
          <m:t>0.8</m:t>
        </m:r>
        <m:r>
          <m:rPr>
            <m:sty m:val="p"/>
          </m:rPr>
          <m:t>%</m:t>
        </m:r>
      </m:oMath>
      <w:r>
        <w:t xml:space="preserve">, well below the 85–97% reported on general GIS benchmarks; only two models exceed 55% and none reaches 65%.</w:t>
      </w:r>
    </w:p>
    <w:p>
      <w:pPr>
        <w:numPr>
          <w:ilvl w:val="0"/>
          <w:numId w:val="1003"/>
        </w:numPr>
      </w:pPr>
      <w:r>
        <w:rPr>
          <w:b/>
          <w:bCs/>
        </w:rPr>
        <w:t xml:space="preserve">Open-weight models occupy the cost–accuracy Pareto frontier.</w:t>
      </w:r>
      <w:r>
        <w:t xml:space="preserve"> </w:t>
      </w:r>
      <w:r>
        <w:t xml:space="preserve">Three of the four frontier models (Llama 4 Scout, Qwen3-235B, DeepSeek V3.2) are open-weight; closed-source Gemini 2.5 Pro and the larger open-weight GPT-OSS-120B are dominated.</w:t>
      </w:r>
    </w:p>
    <w:p>
      <w:pPr>
        <w:numPr>
          <w:ilvl w:val="0"/>
          <w:numId w:val="1003"/>
        </w:numPr>
      </w:pPr>
      <w:r>
        <w:rPr>
          <w:b/>
          <w:bCs/>
        </w:rPr>
        <w:t xml:space="preserve">The capability–cost trade-off is steep.</w:t>
      </w:r>
      <w:r>
        <w:t xml:space="preserve"> </w:t>
      </w:r>
      <w:r>
        <w:t xml:space="preserve">DeepSeek V3.2 delivers</w:t>
      </w:r>
      <w:r>
        <w:t xml:space="preserve"> </w:t>
      </w:r>
      <m:oMath>
        <m:r>
          <m:t>93</m:t>
        </m:r>
        <m:r>
          <m:rPr>
            <m:sty m:val="p"/>
          </m:rPr>
          <m:t>%</m:t>
        </m:r>
      </m:oMath>
      <w:r>
        <w:t xml:space="preserve"> </w:t>
      </w:r>
      <w:r>
        <w:t xml:space="preserve">of Claude’s capability (</w:t>
      </w:r>
      <m:oMath>
        <m:r>
          <m:t>56.3</m:t>
        </m:r>
        <m:r>
          <m:rPr>
            <m:sty m:val="p"/>
          </m:rPr>
          <m:t>%</m:t>
        </m:r>
      </m:oMath>
      <w:r>
        <w:t xml:space="preserve"> </w:t>
      </w:r>
      <w:r>
        <w:t xml:space="preserve">vs. </w:t>
      </w:r>
      <m:oMath>
        <m:r>
          <m:t>60.8</m:t>
        </m:r>
        <m:r>
          <m:rPr>
            <m:sty m:val="p"/>
          </m:rPr>
          <m:t>%</m:t>
        </m:r>
      </m:oMath>
      <w:r>
        <w:t xml:space="preserve">) at</w:t>
      </w:r>
      <w:r>
        <w:t xml:space="preserve"> </w:t>
      </w:r>
      <m:oMath>
        <m:r>
          <m:t>11.6</m:t>
        </m:r>
        <m:r>
          <m:rPr>
            <m:sty m:val="p"/>
          </m:rPr>
          <m:t>×</m:t>
        </m:r>
      </m:oMath>
      <w:r>
        <w:t xml:space="preserve"> </w:t>
      </w:r>
      <w:r>
        <w:t xml:space="preserve">lower per-case cost, making it the strongest single-model recommendation for cost-sensitive production deployment.</w:t>
      </w:r>
    </w:p>
    <w:p>
      <w:pPr>
        <w:numPr>
          <w:ilvl w:val="0"/>
          <w:numId w:val="1003"/>
        </w:numPr>
      </w:pPr>
      <w:r>
        <w:rPr>
          <w:b/>
          <w:bCs/>
        </w:rPr>
        <w:t xml:space="preserve">Systematic failures persist.</w:t>
      </w:r>
      <w:r>
        <w:t xml:space="preserve"> </w:t>
      </w:r>
      <w:r>
        <w:t xml:space="preserve">Every model scores 0% on close-value comparison; tool-selection variance remains the dominant inter-model spread; parameter scale alone does not predict capability.</w:t>
      </w:r>
    </w:p>
    <w:p>
      <w:pPr>
        <w:pStyle w:val="FirstParagraph"/>
      </w:pPr>
      <w:r>
        <w:rPr>
          <w:b/>
          <w:bCs/>
        </w:rPr>
        <w:t xml:space="preserve">Future work</w:t>
      </w:r>
      <w:r>
        <w:t xml:space="preserve">: expanding to additional countries and indicators (NDVI, precipitation, biodiversity indices); prompt ablation (zero-shot, CoT, few-shot); multi-agent architecture comparison following the Planner-Worker paradigm of GeoJSON Agents </w:t>
      </w:r>
      <w:r>
        <w:t xml:space="preserve">(Luo et al. 2026)</w:t>
      </w:r>
      <w:r>
        <w:t xml:space="preserve">; and dedicated mitigation strategies for the universally-unsolved comparison category.</w:t>
      </w:r>
    </w:p>
    <w:p>
      <w:pPr>
        <w:pStyle w:val="BodyText"/>
      </w:pPr>
      <w:r>
        <w:t xml:space="preserve">GeoNatureAgent Benchmark, evaluation code, and the full MLOps pipeline are publicly available.</w:t>
      </w:r>
      <w:r>
        <w:rPr>
          <w:rStyle w:val="FootnoteReference"/>
        </w:rPr>
        <w:footnoteReference w:id="77"/>
      </w:r>
    </w:p>
    <w:bookmarkEnd w:id="79"/>
    <w:bookmarkStart w:id="135" w:name="acknowledgments"/>
    <w:p>
      <w:pPr>
        <w:pStyle w:val="Heading1"/>
      </w:pPr>
      <w:r>
        <w:t xml:space="preserve">Acknowledgments</w:t>
      </w:r>
    </w:p>
    <w:p>
      <w:pPr>
        <w:pStyle w:val="FirstParagraph"/>
      </w:pPr>
      <w:r>
        <w:t xml:space="preserve">We thank Darwin Geospatial for infrastructure support for this research and for open-sourcing the code and experiments. We are grateful to Guillermo Perez for his participation as a Darwin Geospatial collaborator on this work.</w:t>
      </w:r>
    </w:p>
    <w:bookmarkStart w:id="134" w:name="refs"/>
    <w:bookmarkStart w:id="81" w:name="ref-akinboyewa2024giscopilot"/>
    <w:p>
      <w:pPr>
        <w:pStyle w:val="Bibliography"/>
      </w:pPr>
      <w:r>
        <w:t xml:space="preserve">Akinboyewa, Temitope, Zhenlong Li, Huan Ning, and M. Naser Lessani. 2025.</w:t>
      </w:r>
      <w:r>
        <w:t xml:space="preserve"> </w:t>
      </w:r>
      <w:r>
        <w:t xml:space="preserve">“</w:t>
      </w:r>
      <w:r>
        <w:t xml:space="preserve">GIS</w:t>
      </w:r>
      <w:r>
        <w:t xml:space="preserve"> </w:t>
      </w:r>
      <w:r>
        <w:t xml:space="preserve">Copilot: Towards an Autonomous</w:t>
      </w:r>
      <w:r>
        <w:t xml:space="preserve"> </w:t>
      </w:r>
      <w:r>
        <w:t xml:space="preserve">GIS</w:t>
      </w:r>
      <w:r>
        <w:t xml:space="preserve"> </w:t>
      </w:r>
      <w:r>
        <w:t xml:space="preserve">Agent for Spatial Analysis.”</w:t>
      </w:r>
      <w:r>
        <w:t xml:space="preserve"> </w:t>
      </w:r>
      <w:r>
        <w:rPr>
          <w:i/>
          <w:iCs/>
        </w:rPr>
        <w:t xml:space="preserve">International Journal of Digital Earth</w:t>
      </w:r>
      <w:r>
        <w:t xml:space="preserve"> </w:t>
      </w:r>
      <w:r>
        <w:t xml:space="preserve">18 (1): 2497489.</w:t>
      </w:r>
      <w:r>
        <w:t xml:space="preserve"> </w:t>
      </w:r>
      <w:hyperlink r:id="rId80">
        <w:r>
          <w:rPr>
            <w:rStyle w:val="Hyperlink"/>
          </w:rPr>
          <w:t xml:space="preserve">https://doi.org/10.1080/17538947.2025.2497489</w:t>
        </w:r>
      </w:hyperlink>
      <w:r>
        <w:t xml:space="preserve">.</w:t>
      </w:r>
    </w:p>
    <w:bookmarkEnd w:id="81"/>
    <w:bookmarkStart w:id="83" w:name="ref-arnold2025mapqa"/>
    <w:p>
      <w:pPr>
        <w:pStyle w:val="Bibliography"/>
      </w:pPr>
      <w:r>
        <w:t xml:space="preserve">Arnold, Christian Michael, Andrew Alini, Jonathan Wang, Pieter M. Feenstra, Conner Arnold, Jan DeWitt, Natalie C. Ritsema, et al. 2026.</w:t>
      </w:r>
      <w:r>
        <w:t xml:space="preserve"> </w:t>
      </w:r>
      <w:r>
        <w:t xml:space="preserve">“</w:t>
      </w:r>
      <w:r>
        <w:t xml:space="preserve">MapQA</w:t>
      </w:r>
      <w:r>
        <w:t xml:space="preserve">: A Map-Question-Answering Benchmark for Visual Language Model Reasoning.”</w:t>
      </w:r>
      <w:r>
        <w:t xml:space="preserve"> </w:t>
      </w:r>
      <w:r>
        <w:rPr>
          <w:i/>
          <w:iCs/>
        </w:rPr>
        <w:t xml:space="preserve">Submitted to ICLR 2026</w:t>
      </w:r>
      <w:r>
        <w:t xml:space="preserve">.</w:t>
      </w:r>
      <w:r>
        <w:t xml:space="preserve"> </w:t>
      </w:r>
      <w:hyperlink r:id="rId82">
        <w:r>
          <w:rPr>
            <w:rStyle w:val="Hyperlink"/>
          </w:rPr>
          <w:t xml:space="preserve">https://openreview.net/forum?id=dOISCbmkmG</w:t>
        </w:r>
      </w:hyperlink>
      <w:r>
        <w:t xml:space="preserve">.</w:t>
      </w:r>
    </w:p>
    <w:bookmarkEnd w:id="83"/>
    <w:bookmarkStart w:id="85" w:name="ref-clasen2024reben"/>
    <w:p>
      <w:pPr>
        <w:pStyle w:val="Bibliography"/>
      </w:pPr>
      <w:r>
        <w:t xml:space="preserve">Clasen, Kai Norman, Leonard Hackel, Tom Burgert, Gencer Sumbul, Begüm Demir, and Volker Markl. 2025.</w:t>
      </w:r>
      <w:r>
        <w:t xml:space="preserve"> </w:t>
      </w:r>
      <w:r>
        <w:t xml:space="preserve">“</w:t>
      </w:r>
      <w:r>
        <w:t xml:space="preserve">reBen</w:t>
      </w:r>
      <w:r>
        <w:t xml:space="preserve">: Refined</w:t>
      </w:r>
      <w:r>
        <w:t xml:space="preserve"> </w:t>
      </w:r>
      <w:r>
        <w:t xml:space="preserve">BigEarthNet</w:t>
      </w:r>
      <w:r>
        <w:t xml:space="preserve"> </w:t>
      </w:r>
      <w:r>
        <w:t xml:space="preserve">Dataset for Remote Sensing Image Analysis.”</w:t>
      </w:r>
      <w:r>
        <w:t xml:space="preserve"> </w:t>
      </w:r>
      <w:r>
        <w:t xml:space="preserve">In</w:t>
      </w:r>
      <w:r>
        <w:t xml:space="preserve"> </w:t>
      </w:r>
      <w:r>
        <w:rPr>
          <w:i/>
          <w:iCs/>
        </w:rPr>
        <w:t xml:space="preserve">IGARSS</w:t>
      </w:r>
      <w:r>
        <w:rPr>
          <w:i/>
          <w:iCs/>
        </w:rPr>
        <w:t xml:space="preserve"> </w:t>
      </w:r>
      <w:r>
        <w:rPr>
          <w:i/>
          <w:iCs/>
        </w:rPr>
        <w:t xml:space="preserve">2025 – 2025</w:t>
      </w:r>
      <w:r>
        <w:rPr>
          <w:i/>
          <w:iCs/>
        </w:rPr>
        <w:t xml:space="preserve"> </w:t>
      </w:r>
      <w:r>
        <w:rPr>
          <w:i/>
          <w:iCs/>
        </w:rPr>
        <w:t xml:space="preserve">IEEE</w:t>
      </w:r>
      <w:r>
        <w:rPr>
          <w:i/>
          <w:iCs/>
        </w:rPr>
        <w:t xml:space="preserve"> </w:t>
      </w:r>
      <w:r>
        <w:rPr>
          <w:i/>
          <w:iCs/>
        </w:rPr>
        <w:t xml:space="preserve">International Geoscience and Remote Sensing Symposium</w:t>
      </w:r>
      <w:r>
        <w:t xml:space="preserve">, 1264–68.</w:t>
      </w:r>
      <w:r>
        <w:t xml:space="preserve"> </w:t>
      </w:r>
      <w:hyperlink r:id="rId84">
        <w:r>
          <w:rPr>
            <w:rStyle w:val="Hyperlink"/>
          </w:rPr>
          <w:t xml:space="preserve">https://doi.org/10.1109/IGARSS55030.2025.11242834</w:t>
        </w:r>
      </w:hyperlink>
      <w:r>
        <w:t xml:space="preserve">.</w:t>
      </w:r>
    </w:p>
    <w:bookmarkEnd w:id="85"/>
    <w:bookmarkStart w:id="86" w:name="ref-dihan2025mapeval"/>
    <w:p>
      <w:pPr>
        <w:pStyle w:val="Bibliography"/>
      </w:pPr>
      <w:r>
        <w:t xml:space="preserve">Dihan, Mahir Labib, Md Tanvir Hassan, Md Tanvir Parvez, Md Hasebul Hasan, Md Almash Alam, Muhammad Aamir Cheema, Mohammed Eunus Ali, and Md Rizwan Parvez. 2025.</w:t>
      </w:r>
      <w:r>
        <w:t xml:space="preserve"> </w:t>
      </w:r>
      <w:r>
        <w:t xml:space="preserve">“</w:t>
      </w:r>
      <w:r>
        <w:t xml:space="preserve">MapEval</w:t>
      </w:r>
      <w:r>
        <w:t xml:space="preserve">: A Map-Based Evaluation of Geo-Spatial Reasoning in Foundation Models.”</w:t>
      </w:r>
      <w:r>
        <w:t xml:space="preserve"> </w:t>
      </w:r>
      <w:r>
        <w:t xml:space="preserve">In</w:t>
      </w:r>
      <w:r>
        <w:t xml:space="preserve"> </w:t>
      </w:r>
      <w:r>
        <w:rPr>
          <w:i/>
          <w:iCs/>
        </w:rPr>
        <w:t xml:space="preserve">Proceedings of the 42nd International Conference on Machine Learning</w:t>
      </w:r>
      <w:r>
        <w:t xml:space="preserve">. ICML’25. Vancouver, Canada: JMLR.org.</w:t>
      </w:r>
    </w:p>
    <w:bookmarkEnd w:id="86"/>
    <w:bookmarkStart w:id="88" w:name="ref-google2025earthai"/>
    <w:p>
      <w:pPr>
        <w:pStyle w:val="Bibliography"/>
      </w:pPr>
      <w:r>
        <w:t xml:space="preserve">Google Research. 2025.</w:t>
      </w:r>
      <w:r>
        <w:t xml:space="preserve"> </w:t>
      </w:r>
      <w:r>
        <w:t xml:space="preserve">“</w:t>
      </w:r>
      <w:r>
        <w:t xml:space="preserve">Google Earth AI</w:t>
      </w:r>
      <w:r>
        <w:t xml:space="preserve">: Unlocking Geospatial Insights with Foundation Models and Cross-Modal Reasoning.”</w:t>
      </w:r>
      <w:r>
        <w:t xml:space="preserve"> </w:t>
      </w:r>
      <w:r>
        <w:t xml:space="preserve">Google Research Blog.</w:t>
      </w:r>
      <w:r>
        <w:t xml:space="preserve"> </w:t>
      </w:r>
      <w:hyperlink r:id="rId87">
        <w:r>
          <w:rPr>
            <w:rStyle w:val="Hyperlink"/>
          </w:rPr>
          <w:t xml:space="preserve">https://research.google/blog/google-earth-ai-unlocking-geospatial-insights-with-foundation-models-and-cross-modal-reasoning/</w:t>
        </w:r>
      </w:hyperlink>
      <w:r>
        <w:t xml:space="preserve">.</w:t>
      </w:r>
    </w:p>
    <w:bookmarkEnd w:id="88"/>
    <w:bookmarkStart w:id="90" w:name="ref-huang2024enviroexam"/>
    <w:p>
      <w:pPr>
        <w:pStyle w:val="Bibliography"/>
      </w:pPr>
      <w:r>
        <w:t xml:space="preserve">Huang, Yu, Liang Guo, Wanqian Guo, Zhe Tao, Yang Lv, Zhihao Sun, and Dongfang Zhao. 2024.</w:t>
      </w:r>
      <w:r>
        <w:t xml:space="preserve"> </w:t>
      </w:r>
      <w:r>
        <w:t xml:space="preserve">“</w:t>
      </w:r>
      <w:r>
        <w:t xml:space="preserve">EnviroExam</w:t>
      </w:r>
      <w:r>
        <w:t xml:space="preserve">: Benchmarking Environmental Science Knowledge of Large Language Models.”</w:t>
      </w:r>
      <w:r>
        <w:t xml:space="preserve"> </w:t>
      </w:r>
      <w:hyperlink r:id="rId89">
        <w:r>
          <w:rPr>
            <w:rStyle w:val="Hyperlink"/>
          </w:rPr>
          <w:t xml:space="preserve">https://doi.org/10.48550/arXiv.2405.11265</w:t>
        </w:r>
      </w:hyperlink>
      <w:r>
        <w:t xml:space="preserve">.</w:t>
      </w:r>
    </w:p>
    <w:bookmarkEnd w:id="90"/>
    <w:bookmarkStart w:id="92" w:name="ref-kao2025univearth"/>
    <w:p>
      <w:pPr>
        <w:pStyle w:val="Bibliography"/>
      </w:pPr>
      <w:r>
        <w:t xml:space="preserve">Kao, Chia Hsiang, Wenting Zhao, Shreelekha Revankar, Samuel Speas, Snehal Bhagat, Rajeev Datta, Cheng Perng Phoo, et al. 2025.</w:t>
      </w:r>
      <w:r>
        <w:t xml:space="preserve"> </w:t>
      </w:r>
      <w:r>
        <w:t xml:space="preserve">“Towards</w:t>
      </w:r>
      <w:r>
        <w:t xml:space="preserve"> </w:t>
      </w:r>
      <w:r>
        <w:t xml:space="preserve">LLM</w:t>
      </w:r>
      <w:r>
        <w:t xml:space="preserve"> </w:t>
      </w:r>
      <w:r>
        <w:t xml:space="preserve">Agents for Earth Observation.”</w:t>
      </w:r>
      <w:r>
        <w:t xml:space="preserve"> </w:t>
      </w:r>
      <w:hyperlink r:id="rId91">
        <w:r>
          <w:rPr>
            <w:rStyle w:val="Hyperlink"/>
          </w:rPr>
          <w:t xml:space="preserve">https://doi.org/10.48550/arXiv.2504.12110</w:t>
        </w:r>
      </w:hyperlink>
      <w:r>
        <w:t xml:space="preserve">.</w:t>
      </w:r>
    </w:p>
    <w:bookmarkEnd w:id="92"/>
    <w:bookmarkStart w:id="94" w:name="ref-spain2025rd214"/>
    <w:p>
      <w:pPr>
        <w:pStyle w:val="Bibliography"/>
      </w:pPr>
      <w:r>
        <w:t xml:space="preserve">Kingdom of Spain. 2025.</w:t>
      </w:r>
      <w:r>
        <w:t xml:space="preserve"> </w:t>
      </w:r>
      <w:r>
        <w:t xml:space="preserve">“Real Decreto 214/2025 on the Regulation of the Carbon Footprint Register.”</w:t>
      </w:r>
      <w:r>
        <w:t xml:space="preserve"> </w:t>
      </w:r>
      <w:r>
        <w:t xml:space="preserve">Bolet</w:t>
      </w:r>
      <w:r>
        <w:t xml:space="preserve">í</w:t>
      </w:r>
      <w:r>
        <w:t xml:space="preserve">n Oficial del Estado.</w:t>
      </w:r>
      <w:r>
        <w:t xml:space="preserve"> </w:t>
      </w:r>
      <w:hyperlink r:id="rId93">
        <w:r>
          <w:rPr>
            <w:rStyle w:val="Hyperlink"/>
          </w:rPr>
          <w:t xml:space="preserve">https://www.boe.es/buscar/doc.php?id=BOE-A-2025-7439</w:t>
        </w:r>
      </w:hyperlink>
      <w:r>
        <w:t xml:space="preserve">.</w:t>
      </w:r>
    </w:p>
    <w:bookmarkEnd w:id="94"/>
    <w:bookmarkStart w:id="96" w:name="ref-krechetova2025geobenchx"/>
    <w:p>
      <w:pPr>
        <w:pStyle w:val="Bibliography"/>
      </w:pPr>
      <w:r>
        <w:t xml:space="preserve">Krechetova, Varvara, and Denis Kochedykov. 2025.</w:t>
      </w:r>
      <w:r>
        <w:t xml:space="preserve"> </w:t>
      </w:r>
      <w:r>
        <w:t xml:space="preserve">“</w:t>
      </w:r>
      <w:r>
        <w:t xml:space="preserve">GeoBenchX</w:t>
      </w:r>
      <w:r>
        <w:t xml:space="preserve">: Benchmarking</w:t>
      </w:r>
      <w:r>
        <w:t xml:space="preserve"> </w:t>
      </w:r>
      <w:r>
        <w:t xml:space="preserve">LLMs</w:t>
      </w:r>
      <w:r>
        <w:t xml:space="preserve"> </w:t>
      </w:r>
      <w:r>
        <w:t xml:space="preserve">in Agent Solving Multistep Geospatial Tasks.”</w:t>
      </w:r>
      <w:r>
        <w:t xml:space="preserve"> </w:t>
      </w:r>
      <w:r>
        <w:t xml:space="preserve">In</w:t>
      </w:r>
      <w:r>
        <w:t xml:space="preserve"> </w:t>
      </w:r>
      <w:r>
        <w:rPr>
          <w:i/>
          <w:iCs/>
        </w:rPr>
        <w:t xml:space="preserve">Proceedings of the 1st ACM SIGSPATIAL International Workshop on Generative and Agentic AI for Multi-Modality Space-Time Intelligence</w:t>
      </w:r>
      <w:r>
        <w:t xml:space="preserve">, 27–35. GeoGenAgent ’25. New York, NY, USA: Association for Computing Machinery.</w:t>
      </w:r>
      <w:r>
        <w:t xml:space="preserve"> </w:t>
      </w:r>
      <w:hyperlink r:id="rId95">
        <w:r>
          <w:rPr>
            <w:rStyle w:val="Hyperlink"/>
          </w:rPr>
          <w:t xml:space="preserve">https://doi.org/10.1145/3764915.3770721</w:t>
        </w:r>
      </w:hyperlink>
      <w:r>
        <w:t xml:space="preserve">.</w:t>
      </w:r>
    </w:p>
    <w:bookmarkEnd w:id="96"/>
    <w:bookmarkStart w:id="97" w:name="ref-lacoste2023geobench"/>
    <w:p>
      <w:pPr>
        <w:pStyle w:val="Bibliography"/>
      </w:pPr>
      <w:r>
        <w:t xml:space="preserve">Lacoste, Alexandre, Nils Lehmann, Pau Rodriguez, Evan David Sherwin, Hannah Kerner, Björn Lütjens, Jeremy Irvin, et al. 2023.</w:t>
      </w:r>
      <w:r>
        <w:t xml:space="preserve"> </w:t>
      </w:r>
      <w:r>
        <w:t xml:space="preserve">“</w:t>
      </w:r>
      <w:r>
        <w:t xml:space="preserve">GEO-Bench</w:t>
      </w:r>
      <w:r>
        <w:t xml:space="preserve">: Toward Foundation Models for Earth Monitoring.”</w:t>
      </w:r>
      <w:r>
        <w:t xml:space="preserve"> </w:t>
      </w:r>
      <w:r>
        <w:t xml:space="preserve">In</w:t>
      </w:r>
      <w:r>
        <w:t xml:space="preserve"> </w:t>
      </w:r>
      <w:r>
        <w:rPr>
          <w:i/>
          <w:iCs/>
        </w:rPr>
        <w:t xml:space="preserve">Proceedings of the 37th International Conference on Neural Information Processing Systems</w:t>
      </w:r>
      <w:r>
        <w:t xml:space="preserve">. NIPS ’23. Red Hook, NY, USA: Curran Associates Inc.</w:t>
      </w:r>
    </w:p>
    <w:bookmarkEnd w:id="97"/>
    <w:bookmarkStart w:id="99" w:name="ref-lee2025geollmsquad"/>
    <w:p>
      <w:pPr>
        <w:pStyle w:val="Bibliography"/>
      </w:pPr>
      <w:r>
        <w:t xml:space="preserve">Lee, Chaehong, Varatheepan Paramanayakam, Andreas Karatzas, Yanan Jian, Michael Fore, Heming Liao, Fuxun Yu, Ruopu Li, Iraklis Anagnostopoulos, and Dimitrios Stamoulis. 2025.</w:t>
      </w:r>
      <w:r>
        <w:t xml:space="preserve"> </w:t>
      </w:r>
      <w:r>
        <w:t xml:space="preserve">“Multi-Agent Geospatial Copilots for Remote Sensing Workflows.”</w:t>
      </w:r>
      <w:r>
        <w:t xml:space="preserve"> </w:t>
      </w:r>
      <w:r>
        <w:t xml:space="preserve">In</w:t>
      </w:r>
      <w:r>
        <w:t xml:space="preserve"> </w:t>
      </w:r>
      <w:r>
        <w:rPr>
          <w:i/>
          <w:iCs/>
        </w:rPr>
        <w:t xml:space="preserve">IGARSS</w:t>
      </w:r>
      <w:r>
        <w:rPr>
          <w:i/>
          <w:iCs/>
        </w:rPr>
        <w:t xml:space="preserve"> </w:t>
      </w:r>
      <w:r>
        <w:rPr>
          <w:i/>
          <w:iCs/>
        </w:rPr>
        <w:t xml:space="preserve">2025 – 2025</w:t>
      </w:r>
      <w:r>
        <w:rPr>
          <w:i/>
          <w:iCs/>
        </w:rPr>
        <w:t xml:space="preserve"> </w:t>
      </w:r>
      <w:r>
        <w:rPr>
          <w:i/>
          <w:iCs/>
        </w:rPr>
        <w:t xml:space="preserve">IEEE</w:t>
      </w:r>
      <w:r>
        <w:rPr>
          <w:i/>
          <w:iCs/>
        </w:rPr>
        <w:t xml:space="preserve"> </w:t>
      </w:r>
      <w:r>
        <w:rPr>
          <w:i/>
          <w:iCs/>
        </w:rPr>
        <w:t xml:space="preserve">International Geoscience and Remote Sensing Symposium</w:t>
      </w:r>
      <w:r>
        <w:t xml:space="preserve">, 1084–89.</w:t>
      </w:r>
      <w:r>
        <w:t xml:space="preserve"> </w:t>
      </w:r>
      <w:hyperlink r:id="rId98">
        <w:r>
          <w:rPr>
            <w:rStyle w:val="Hyperlink"/>
          </w:rPr>
          <w:t xml:space="preserve">https://doi.org/10.1109/IGARSS55030.2025.11243915</w:t>
        </w:r>
      </w:hyperlink>
      <w:r>
        <w:t xml:space="preserve">.</w:t>
      </w:r>
    </w:p>
    <w:bookmarkEnd w:id="99"/>
    <w:bookmarkStart w:id="101" w:name="ref-li2023llmgeo"/>
    <w:p>
      <w:pPr>
        <w:pStyle w:val="Bibliography"/>
      </w:pPr>
      <w:r>
        <w:t xml:space="preserve">Li, Zhenlong, and Huan Ning. 2023.</w:t>
      </w:r>
      <w:r>
        <w:t xml:space="preserve"> </w:t>
      </w:r>
      <w:r>
        <w:t xml:space="preserve">“Autonomous</w:t>
      </w:r>
      <w:r>
        <w:t xml:space="preserve"> </w:t>
      </w:r>
      <w:r>
        <w:t xml:space="preserve">GIS</w:t>
      </w:r>
      <w:r>
        <w:t xml:space="preserve">: The Next-Generation</w:t>
      </w:r>
      <w:r>
        <w:t xml:space="preserve"> </w:t>
      </w:r>
      <w:r>
        <w:t xml:space="preserve">AI</w:t>
      </w:r>
      <w:r>
        <w:t xml:space="preserve">-Powered</w:t>
      </w:r>
      <w:r>
        <w:t xml:space="preserve"> </w:t>
      </w:r>
      <w:r>
        <w:t xml:space="preserve">GIS</w:t>
      </w:r>
      <w:r>
        <w:t xml:space="preserve">.”</w:t>
      </w:r>
      <w:r>
        <w:t xml:space="preserve"> </w:t>
      </w:r>
      <w:r>
        <w:rPr>
          <w:i/>
          <w:iCs/>
        </w:rPr>
        <w:t xml:space="preserve">International Journal of Digital Earth</w:t>
      </w:r>
      <w:r>
        <w:t xml:space="preserve"> </w:t>
      </w:r>
      <w:r>
        <w:t xml:space="preserve">16 (2): 4668–86.</w:t>
      </w:r>
      <w:r>
        <w:t xml:space="preserve"> </w:t>
      </w:r>
      <w:hyperlink r:id="rId100">
        <w:r>
          <w:rPr>
            <w:rStyle w:val="Hyperlink"/>
          </w:rPr>
          <w:t xml:space="preserve">https://doi.org/10.1080/17538947.2023.2278895</w:t>
        </w:r>
      </w:hyperlink>
      <w:r>
        <w:t xml:space="preserve">.</w:t>
      </w:r>
    </w:p>
    <w:bookmarkEnd w:id="101"/>
    <w:bookmarkStart w:id="103" w:name="ref-liang2023helm"/>
    <w:p>
      <w:pPr>
        <w:pStyle w:val="Bibliography"/>
      </w:pPr>
      <w:r>
        <w:t xml:space="preserve">Liang, Percy, Rishi Bommasani, Tony Lee, Dimitris Tsipras, Dilara Soylu, Michihiro Yasunaga, Yian Zhang, et al. 2023.</w:t>
      </w:r>
      <w:r>
        <w:t xml:space="preserve"> </w:t>
      </w:r>
      <w:r>
        <w:t xml:space="preserve">“Holistic Evaluation of Language Models.”</w:t>
      </w:r>
      <w:r>
        <w:t xml:space="preserve"> </w:t>
      </w:r>
      <w:r>
        <w:rPr>
          <w:i/>
          <w:iCs/>
        </w:rPr>
        <w:t xml:space="preserve">Transactions on Machine Learning Research</w:t>
      </w:r>
      <w:r>
        <w:t xml:space="preserve">.</w:t>
      </w:r>
      <w:r>
        <w:t xml:space="preserve"> </w:t>
      </w:r>
      <w:hyperlink r:id="rId102">
        <w:r>
          <w:rPr>
            <w:rStyle w:val="Hyperlink"/>
          </w:rPr>
          <w:t xml:space="preserve">https://openreview.net/forum?id=iO4LZibEqW</w:t>
        </w:r>
      </w:hyperlink>
      <w:r>
        <w:t xml:space="preserve">.</w:t>
      </w:r>
    </w:p>
    <w:bookmarkEnd w:id="103"/>
    <w:bookmarkStart w:id="105" w:name="ref-luo2025geojsonagents"/>
    <w:p>
      <w:pPr>
        <w:pStyle w:val="Bibliography"/>
      </w:pPr>
      <w:r>
        <w:t xml:space="preserve">Luo, Qianqian, Qingming Lin, Liuchang Xu, Sensen Wu, Ruichen Mao, Chao Wang, Hailin Feng, Bo Huang, and Zhenhong Du. 2026.</w:t>
      </w:r>
      <w:r>
        <w:t xml:space="preserve"> </w:t>
      </w:r>
      <w:r>
        <w:t xml:space="preserve">“</w:t>
      </w:r>
      <w:r>
        <w:t xml:space="preserve">GeoJSON</w:t>
      </w:r>
      <w:r>
        <w:t xml:space="preserve"> </w:t>
      </w:r>
      <w:r>
        <w:t xml:space="preserve">Agents: A Multi-Agent</w:t>
      </w:r>
      <w:r>
        <w:t xml:space="preserve"> </w:t>
      </w:r>
      <w:r>
        <w:t xml:space="preserve">LLM</w:t>
      </w:r>
      <w:r>
        <w:t xml:space="preserve"> </w:t>
      </w:r>
      <w:r>
        <w:t xml:space="preserve">Architecture for Geospatial Analysis—Function Calling Vs. Code Generation.”</w:t>
      </w:r>
      <w:r>
        <w:t xml:space="preserve"> </w:t>
      </w:r>
      <w:r>
        <w:rPr>
          <w:i/>
          <w:iCs/>
        </w:rPr>
        <w:t xml:space="preserve">Big Earth Data</w:t>
      </w:r>
      <w:r>
        <w:t xml:space="preserve"> </w:t>
      </w:r>
      <w:r>
        <w:t xml:space="preserve">0 (0): 1–55.</w:t>
      </w:r>
      <w:r>
        <w:t xml:space="preserve"> </w:t>
      </w:r>
      <w:hyperlink r:id="rId104">
        <w:r>
          <w:rPr>
            <w:rStyle w:val="Hyperlink"/>
          </w:rPr>
          <w:t xml:space="preserve">https://doi.org/10.1080/20964471.2026.2615511</w:t>
        </w:r>
      </w:hyperlink>
      <w:r>
        <w:t xml:space="preserve">.</w:t>
      </w:r>
    </w:p>
    <w:bookmarkEnd w:id="105"/>
    <w:bookmarkStart w:id="107" w:name="ref-marsocci2024pangaea"/>
    <w:p>
      <w:pPr>
        <w:pStyle w:val="Bibliography"/>
      </w:pPr>
      <w:r>
        <w:t xml:space="preserve">Marsocci, Valerio, Yuru Jia, Georges Le Bellier, David Kerekes, Liang Zeng, Sebastian Hafner, Sebastian Gerard, et al. 2025.</w:t>
      </w:r>
      <w:r>
        <w:t xml:space="preserve"> </w:t>
      </w:r>
      <w:r>
        <w:t xml:space="preserve">“</w:t>
      </w:r>
      <w:r>
        <w:t xml:space="preserve">PANGAEA</w:t>
      </w:r>
      <w:r>
        <w:t xml:space="preserve">: A Global and Inclusive Benchmark for Geospatial Foundation Models.”</w:t>
      </w:r>
      <w:r>
        <w:t xml:space="preserve"> </w:t>
      </w:r>
      <w:hyperlink r:id="rId106">
        <w:r>
          <w:rPr>
            <w:rStyle w:val="Hyperlink"/>
          </w:rPr>
          <w:t xml:space="preserve">https://doi.org/10.48550/arXiv.2412.04204</w:t>
        </w:r>
      </w:hyperlink>
      <w:r>
        <w:t xml:space="preserve">.</w:t>
      </w:r>
    </w:p>
    <w:bookmarkEnd w:id="107"/>
    <w:bookmarkStart w:id="109" w:name="ref-mialon2023gaia"/>
    <w:p>
      <w:pPr>
        <w:pStyle w:val="Bibliography"/>
      </w:pPr>
      <w:r>
        <w:t xml:space="preserve">Mialon, Grégoire, Clémentine Fourrier, Thomas Wolf, Yann LeCun, and Thomas Scialom. 2024.</w:t>
      </w:r>
      <w:r>
        <w:t xml:space="preserve"> </w:t>
      </w:r>
      <w:r>
        <w:t xml:space="preserve">“</w:t>
      </w:r>
      <w:r>
        <w:t xml:space="preserve">GAIA</w:t>
      </w:r>
      <w:r>
        <w:t xml:space="preserve">: A Benchmark for General</w:t>
      </w:r>
      <w:r>
        <w:t xml:space="preserve"> </w:t>
      </w:r>
      <w:r>
        <w:t xml:space="preserve">AI</w:t>
      </w:r>
      <w:r>
        <w:t xml:space="preserve"> </w:t>
      </w:r>
      <w:r>
        <w:t xml:space="preserve">Assistants.”</w:t>
      </w:r>
      <w:r>
        <w:t xml:space="preserve"> </w:t>
      </w:r>
      <w:r>
        <w:t xml:space="preserve">In</w:t>
      </w:r>
      <w:r>
        <w:t xml:space="preserve"> </w:t>
      </w:r>
      <w:r>
        <w:rPr>
          <w:i/>
          <w:iCs/>
        </w:rPr>
        <w:t xml:space="preserve">The Twelfth International Conference on Learning Representations (ICLR)</w:t>
      </w:r>
      <w:r>
        <w:t xml:space="preserve">.</w:t>
      </w:r>
      <w:r>
        <w:t xml:space="preserve"> </w:t>
      </w:r>
      <w:hyperlink r:id="rId108">
        <w:r>
          <w:rPr>
            <w:rStyle w:val="Hyperlink"/>
          </w:rPr>
          <w:t xml:space="preserve">https://openreview.net/forum?id=fibxvahvs3</w:t>
        </w:r>
      </w:hyperlink>
      <w:r>
        <w:t xml:space="preserve">.</w:t>
      </w:r>
    </w:p>
    <w:bookmarkEnd w:id="109"/>
    <w:bookmarkStart w:id="111" w:name="ref-pan2025mcpairquality"/>
    <w:p>
      <w:pPr>
        <w:pStyle w:val="Bibliography"/>
      </w:pPr>
      <w:r>
        <w:t xml:space="preserve">Pan, Yu-Erh, and Ayesha Siddika Nipu. 2025.</w:t>
      </w:r>
      <w:r>
        <w:t xml:space="preserve"> </w:t>
      </w:r>
      <w:r>
        <w:t xml:space="preserve">“</w:t>
      </w:r>
      <w:r>
        <w:t xml:space="preserve">LLM</w:t>
      </w:r>
      <w:r>
        <w:t xml:space="preserve">-Enhanced Air Quality Monitoring Interface via Model Context Protocol.”</w:t>
      </w:r>
      <w:r>
        <w:t xml:space="preserve"> </w:t>
      </w:r>
      <w:r>
        <w:t xml:space="preserve">In</w:t>
      </w:r>
      <w:r>
        <w:t xml:space="preserve"> </w:t>
      </w:r>
      <w:r>
        <w:rPr>
          <w:i/>
          <w:iCs/>
        </w:rPr>
        <w:t xml:space="preserve">2025 7th International Symposium on Advanced Electrical and Communication Technologies</w:t>
      </w:r>
      <w:r>
        <w:t xml:space="preserve">, 1–6. ISAECT. IEEE.</w:t>
      </w:r>
      <w:r>
        <w:t xml:space="preserve"> </w:t>
      </w:r>
      <w:hyperlink r:id="rId110">
        <w:r>
          <w:rPr>
            <w:rStyle w:val="Hyperlink"/>
          </w:rPr>
          <w:t xml:space="preserve">https://doi.org/10.1109/ISAECT68904.2025.11318775</w:t>
        </w:r>
      </w:hyperlink>
      <w:r>
        <w:t xml:space="preserve">.</w:t>
      </w:r>
    </w:p>
    <w:bookmarkEnd w:id="111"/>
    <w:bookmarkStart w:id="113" w:name="ref-planet2025anthropic"/>
    <w:p>
      <w:pPr>
        <w:pStyle w:val="Bibliography"/>
      </w:pPr>
      <w:r>
        <w:t xml:space="preserve">Planet Labs, and Anthropic. 2025.</w:t>
      </w:r>
      <w:r>
        <w:t xml:space="preserve"> </w:t>
      </w:r>
      <w:r>
        <w:t xml:space="preserve">“Planet and Anthropic Partner to Use Claude’s Advanced</w:t>
      </w:r>
      <w:r>
        <w:t xml:space="preserve"> </w:t>
      </w:r>
      <w:r>
        <w:t xml:space="preserve">AI</w:t>
      </w:r>
      <w:r>
        <w:t xml:space="preserve"> </w:t>
      </w:r>
      <w:r>
        <w:t xml:space="preserve">Capabilities to Turn Geospatial Satellite Imagery into Actionable Insights.”</w:t>
      </w:r>
      <w:r>
        <w:t xml:space="preserve"> </w:t>
      </w:r>
      <w:r>
        <w:t xml:space="preserve">BusinessWire.</w:t>
      </w:r>
      <w:r>
        <w:t xml:space="preserve"> </w:t>
      </w:r>
      <w:hyperlink r:id="rId112">
        <w:r>
          <w:rPr>
            <w:rStyle w:val="Hyperlink"/>
          </w:rPr>
          <w:t xml:space="preserve">https://www.businesswire.com/news/home/20250306606139/en/Planet-and-Anthropic-Partner-to-Use-Claudes-Advanced-AI-Capabilities-to-Turn-Geospatial-Satellite-Imagery-into-Actionable-Insights</w:t>
        </w:r>
      </w:hyperlink>
      <w:r>
        <w:t xml:space="preserve">.</w:t>
      </w:r>
    </w:p>
    <w:bookmarkEnd w:id="113"/>
    <w:bookmarkStart w:id="115" w:name="ref-shabbir2025thinkgeo"/>
    <w:p>
      <w:pPr>
        <w:pStyle w:val="Bibliography"/>
      </w:pPr>
      <w:r>
        <w:t xml:space="preserve">Shabbir, Akashah, Muhammad Akhtar Munir, Akshay Dudhane, Muhammad Umer Sheikh, Muhammad Haris Khan, Paolo Fraccaro, Juan Bernabe Moreno, Fahad Shahbaz Khan, and Salman Khan. 2026.</w:t>
      </w:r>
      <w:r>
        <w:t xml:space="preserve"> </w:t>
      </w:r>
      <w:r>
        <w:t xml:space="preserve">“</w:t>
      </w:r>
      <w:r>
        <w:t xml:space="preserve">ThinkGeo</w:t>
      </w:r>
      <w:r>
        <w:t xml:space="preserve">: Evaluating Tool-Augmented Agents for Remote Sensing Tasks.”</w:t>
      </w:r>
      <w:r>
        <w:t xml:space="preserve"> </w:t>
      </w:r>
      <w:hyperlink r:id="rId114">
        <w:r>
          <w:rPr>
            <w:rStyle w:val="Hyperlink"/>
          </w:rPr>
          <w:t xml:space="preserve">https://doi.org/10.48550/arXiv.2505.23752</w:t>
        </w:r>
      </w:hyperlink>
      <w:r>
        <w:t xml:space="preserve">.</w:t>
      </w:r>
    </w:p>
    <w:bookmarkEnd w:id="115"/>
    <w:bookmarkStart w:id="117" w:name="ref-simumba2025geobench2"/>
    <w:p>
      <w:pPr>
        <w:pStyle w:val="Bibliography"/>
      </w:pPr>
      <w:r>
        <w:t xml:space="preserve">Simumba, Naomi, Nils Lehmann, Paolo Fraccaro, Hamed Alemohammad, Geeth De Mel, Salman Khan, Manil Maskey, et al. 2026.</w:t>
      </w:r>
      <w:r>
        <w:t xml:space="preserve"> </w:t>
      </w:r>
      <w:r>
        <w:t xml:space="preserve">“</w:t>
      </w:r>
      <w:r>
        <w:t xml:space="preserve">GEO-Bench-2</w:t>
      </w:r>
      <w:r>
        <w:t xml:space="preserve">: From Performance to Capability, Rethinking Evaluation in Geospatial</w:t>
      </w:r>
      <w:r>
        <w:t xml:space="preserve"> </w:t>
      </w:r>
      <w:r>
        <w:t xml:space="preserve">AI</w:t>
      </w:r>
      <w:r>
        <w:t xml:space="preserve">.”</w:t>
      </w:r>
      <w:r>
        <w:t xml:space="preserve"> </w:t>
      </w:r>
      <w:hyperlink r:id="rId116">
        <w:r>
          <w:rPr>
            <w:rStyle w:val="Hyperlink"/>
          </w:rPr>
          <w:t xml:space="preserve">https://doi.org/10.48550/arXiv.2511.15658</w:t>
        </w:r>
      </w:hyperlink>
      <w:r>
        <w:t xml:space="preserve">.</w:t>
      </w:r>
    </w:p>
    <w:bookmarkEnd w:id="117"/>
    <w:bookmarkStart w:id="119" w:name="ref-stamoulis2025geoolm"/>
    <w:p>
      <w:pPr>
        <w:pStyle w:val="Bibliography"/>
      </w:pPr>
      <w:r>
        <w:t xml:space="preserve">Stamoulis, Dimitrios, and Diana Marculescu. 2025.</w:t>
      </w:r>
      <w:r>
        <w:t xml:space="preserve"> </w:t>
      </w:r>
      <w:r>
        <w:t xml:space="preserve">“</w:t>
      </w:r>
      <w:r>
        <w:t xml:space="preserve">Geo-OLM</w:t>
      </w:r>
      <w:r>
        <w:t xml:space="preserve">: Enabling Sustainable Earth Observation Studies with Cost-Efficient Open Language Models and State-Driven Workflows.”</w:t>
      </w:r>
      <w:r>
        <w:t xml:space="preserve"> </w:t>
      </w:r>
      <w:r>
        <w:t xml:space="preserve">In</w:t>
      </w:r>
      <w:r>
        <w:t xml:space="preserve"> </w:t>
      </w:r>
      <w:r>
        <w:rPr>
          <w:i/>
          <w:iCs/>
        </w:rPr>
        <w:t xml:space="preserve">Proceedings of the 2025 ACM SIGCAS/SIGCHI Conference on Computing and Sustainable Societies</w:t>
      </w:r>
      <w:r>
        <w:t xml:space="preserve">, 608–19. COMPASS ’25. New York, NY, USA: Association for Computing Machinery.</w:t>
      </w:r>
      <w:r>
        <w:t xml:space="preserve"> </w:t>
      </w:r>
      <w:hyperlink r:id="rId118">
        <w:r>
          <w:rPr>
            <w:rStyle w:val="Hyperlink"/>
          </w:rPr>
          <w:t xml:space="preserve">https://doi.org/10.1145/3715335.3735494</w:t>
        </w:r>
      </w:hyperlink>
      <w:r>
        <w:t xml:space="preserve">.</w:t>
      </w:r>
    </w:p>
    <w:bookmarkEnd w:id="119"/>
    <w:bookmarkStart w:id="121" w:name="ref-szwarcman2024prithvi"/>
    <w:p>
      <w:pPr>
        <w:pStyle w:val="Bibliography"/>
      </w:pPr>
      <w:r>
        <w:t xml:space="preserve">Szwarcman, Daniela, Sujit Roy, Paolo Fraccaro, Thorsteinn Elí Gíslason, Benedikt Blumenstiel, Rinki Ghosal, Pedro Henrique de Oliveira, et al. 2026.</w:t>
      </w:r>
      <w:r>
        <w:t xml:space="preserve"> </w:t>
      </w:r>
      <w:r>
        <w:t xml:space="preserve">“</w:t>
      </w:r>
      <w:r>
        <w:t xml:space="preserve">Prithvi-EO-2.0</w:t>
      </w:r>
      <w:r>
        <w:t xml:space="preserve">: A Versatile Multitemporal Foundation Model for Earth Observation Applications.”</w:t>
      </w:r>
      <w:r>
        <w:t xml:space="preserve"> </w:t>
      </w:r>
      <w:r>
        <w:rPr>
          <w:i/>
          <w:iCs/>
        </w:rPr>
        <w:t xml:space="preserve">IEEE Transactions on Geoscience and Remote Sensing</w:t>
      </w:r>
      <w:r>
        <w:t xml:space="preserve"> </w:t>
      </w:r>
      <w:r>
        <w:t xml:space="preserve">64: 1–20.</w:t>
      </w:r>
      <w:r>
        <w:t xml:space="preserve"> </w:t>
      </w:r>
      <w:hyperlink r:id="rId120">
        <w:r>
          <w:rPr>
            <w:rStyle w:val="Hyperlink"/>
          </w:rPr>
          <w:t xml:space="preserve">https://doi.org/10.1109/TGRS.2025.3642610</w:t>
        </w:r>
      </w:hyperlink>
      <w:r>
        <w:t xml:space="preserve">.</w:t>
      </w:r>
    </w:p>
    <w:bookmarkEnd w:id="121"/>
    <w:bookmarkStart w:id="123" w:name="ref-truong2026gpsbench"/>
    <w:p>
      <w:pPr>
        <w:pStyle w:val="Bibliography"/>
      </w:pPr>
      <w:r>
        <w:t xml:space="preserve">Truong, Thinh Hung, Jey Han Lau, and Jianzhong Qi. 2026.</w:t>
      </w:r>
      <w:r>
        <w:t xml:space="preserve"> </w:t>
      </w:r>
      <w:r>
        <w:t xml:space="preserve">“</w:t>
      </w:r>
      <w:r>
        <w:t xml:space="preserve">GPSBench</w:t>
      </w:r>
      <w:r>
        <w:t xml:space="preserve">: Do Large Language Models Understand</w:t>
      </w:r>
      <w:r>
        <w:t xml:space="preserve"> </w:t>
      </w:r>
      <w:r>
        <w:t xml:space="preserve">GPS</w:t>
      </w:r>
      <w:r>
        <w:t xml:space="preserve"> </w:t>
      </w:r>
      <w:r>
        <w:t xml:space="preserve">Coordinates?”</w:t>
      </w:r>
      <w:r>
        <w:t xml:space="preserve"> </w:t>
      </w:r>
      <w:hyperlink r:id="rId122">
        <w:r>
          <w:rPr>
            <w:rStyle w:val="Hyperlink"/>
          </w:rPr>
          <w:t xml:space="preserve">https://doi.org/10.48550/arXiv.2602.16105</w:t>
        </w:r>
      </w:hyperlink>
      <w:r>
        <w:t xml:space="preserve">.</w:t>
      </w:r>
    </w:p>
    <w:bookmarkEnd w:id="123"/>
    <w:bookmarkStart w:id="125" w:name="ref-wasi2026spatialab"/>
    <w:p>
      <w:pPr>
        <w:pStyle w:val="Bibliography"/>
      </w:pPr>
      <w:r>
        <w:t xml:space="preserve">Wasi, Azmine Toushik, Wahid Faisal, Abdur Rahman, Mahfuz Ahmed Anik, Munem Shahriar, Mohsin Mahmud Topu, Sadia Tasnim Meem, et al. 2026.</w:t>
      </w:r>
      <w:r>
        <w:t xml:space="preserve"> </w:t>
      </w:r>
      <w:r>
        <w:t xml:space="preserve">“</w:t>
      </w:r>
      <w:r>
        <w:t xml:space="preserve">SpatiaLab</w:t>
      </w:r>
      <w:r>
        <w:t xml:space="preserve">: Can Vision-Language Models Perform Spatial Reasoning in the Wild?”</w:t>
      </w:r>
      <w:r>
        <w:t xml:space="preserve"> </w:t>
      </w:r>
      <w:hyperlink r:id="rId124">
        <w:r>
          <w:rPr>
            <w:rStyle w:val="Hyperlink"/>
          </w:rPr>
          <w:t xml:space="preserve">https://doi.org/10.48550/arXiv.2602.03916</w:t>
        </w:r>
      </w:hyperlink>
      <w:r>
        <w:t xml:space="preserve">.</w:t>
      </w:r>
    </w:p>
    <w:bookmarkEnd w:id="125"/>
    <w:bookmarkStart w:id="127" w:name="ref-yao2023react"/>
    <w:p>
      <w:pPr>
        <w:pStyle w:val="Bibliography"/>
      </w:pPr>
      <w:r>
        <w:t xml:space="preserve">Yao, Shunyu, Jeffrey Zhao, Dian Yu, Nan Du, Izhak Shafran, Karthik Narasimhan, and Yuan Cao. 2023.</w:t>
      </w:r>
      <w:r>
        <w:t xml:space="preserve"> </w:t>
      </w:r>
      <w:r>
        <w:t xml:space="preserve">“</w:t>
      </w:r>
      <w:r>
        <w:t xml:space="preserve">ReAct</w:t>
      </w:r>
      <w:r>
        <w:t xml:space="preserve">: Synergizing Reasoning and Acting in Language Models.”</w:t>
      </w:r>
      <w:r>
        <w:t xml:space="preserve"> </w:t>
      </w:r>
      <w:r>
        <w:t xml:space="preserve">In</w:t>
      </w:r>
      <w:r>
        <w:t xml:space="preserve"> </w:t>
      </w:r>
      <w:r>
        <w:rPr>
          <w:i/>
          <w:iCs/>
        </w:rPr>
        <w:t xml:space="preserve">Proceedings of the 11th International Conference on Learning Representations, ICLR 2023</w:t>
      </w:r>
      <w:r>
        <w:t xml:space="preserve">.</w:t>
      </w:r>
      <w:r>
        <w:t xml:space="preserve"> </w:t>
      </w:r>
      <w:hyperlink r:id="rId126">
        <w:r>
          <w:rPr>
            <w:rStyle w:val="Hyperlink"/>
          </w:rPr>
          <w:t xml:space="preserve">https://doi.org/10.48550/arXiv.2210.03629</w:t>
        </w:r>
      </w:hyperlink>
      <w:r>
        <w:t xml:space="preserve">.</w:t>
      </w:r>
    </w:p>
    <w:bookmarkEnd w:id="127"/>
    <w:bookmarkStart w:id="129" w:name="ref-zhang2024gtchain"/>
    <w:p>
      <w:pPr>
        <w:pStyle w:val="Bibliography"/>
      </w:pPr>
      <w:r>
        <w:t xml:space="preserve">Zhang, Yifan, Jingxuan Li, Zhiyun Wang, Zhengting He, Qingfeng Guan, Jianfeng Lin, and Wenhao Yu. 2025.</w:t>
      </w:r>
      <w:r>
        <w:t xml:space="preserve"> </w:t>
      </w:r>
      <w:r>
        <w:t xml:space="preserve">“Geospatial Large Language Model Trained with a Simulated Environment for Generating Tool-Use Chains Autonomously.”</w:t>
      </w:r>
      <w:r>
        <w:t xml:space="preserve"> </w:t>
      </w:r>
      <w:r>
        <w:rPr>
          <w:i/>
          <w:iCs/>
        </w:rPr>
        <w:t xml:space="preserve">International Journal of Applied Earth Observation and Geoinformation</w:t>
      </w:r>
      <w:r>
        <w:t xml:space="preserve"> </w:t>
      </w:r>
      <w:r>
        <w:t xml:space="preserve">136: 104312.</w:t>
      </w:r>
      <w:r>
        <w:t xml:space="preserve"> </w:t>
      </w:r>
      <w:hyperlink r:id="rId128">
        <w:r>
          <w:rPr>
            <w:rStyle w:val="Hyperlink"/>
          </w:rPr>
          <w:t xml:space="preserve">https://doi.org/10.1016/j.jag.2024.104312</w:t>
        </w:r>
      </w:hyperlink>
      <w:r>
        <w:t xml:space="preserve">.</w:t>
      </w:r>
    </w:p>
    <w:bookmarkEnd w:id="129"/>
    <w:bookmarkStart w:id="131" w:name="ref-zhang2023geogpt"/>
    <w:p>
      <w:pPr>
        <w:pStyle w:val="Bibliography"/>
      </w:pPr>
      <w:r>
        <w:t xml:space="preserve">Zhang, Yifan, Cheng Wei, Zhengting He, and Wenhao Yu. 2024.</w:t>
      </w:r>
      <w:r>
        <w:t xml:space="preserve"> </w:t>
      </w:r>
      <w:r>
        <w:t xml:space="preserve">“</w:t>
      </w:r>
      <w:r>
        <w:t xml:space="preserve">GeoGPT</w:t>
      </w:r>
      <w:r>
        <w:t xml:space="preserve">: An Assistant for Understanding and Processing Geospatial Tasks.”</w:t>
      </w:r>
      <w:r>
        <w:t xml:space="preserve"> </w:t>
      </w:r>
      <w:r>
        <w:rPr>
          <w:i/>
          <w:iCs/>
        </w:rPr>
        <w:t xml:space="preserve">International Journal of Applied Earth Observation and Geoinformation</w:t>
      </w:r>
      <w:r>
        <w:t xml:space="preserve"> </w:t>
      </w:r>
      <w:r>
        <w:t xml:space="preserve">131: 103976.</w:t>
      </w:r>
      <w:r>
        <w:t xml:space="preserve"> </w:t>
      </w:r>
      <w:hyperlink r:id="rId130">
        <w:r>
          <w:rPr>
            <w:rStyle w:val="Hyperlink"/>
          </w:rPr>
          <w:t xml:space="preserve">https://doi.org/10.1016/j.jag.2024.103976</w:t>
        </w:r>
      </w:hyperlink>
      <w:r>
        <w:t xml:space="preserve">.</w:t>
      </w:r>
    </w:p>
    <w:bookmarkEnd w:id="131"/>
    <w:bookmarkStart w:id="133" w:name="ref-zhang2025envgpt"/>
    <w:p>
      <w:pPr>
        <w:pStyle w:val="Bibliography"/>
      </w:pPr>
      <w:r>
        <w:t xml:space="preserve">Zhang, Yuanxin, Sijie Lin, Yaxin Xiong, Nan Li, Lijin Zhong, Longzhen Ding, and Qing Hu. 2025.</w:t>
      </w:r>
      <w:r>
        <w:t xml:space="preserve"> </w:t>
      </w:r>
      <w:r>
        <w:t xml:space="preserve">“Fine-Tuning Large Language Models for Interdisciplinary Environmental Challenges.”</w:t>
      </w:r>
      <w:r>
        <w:t xml:space="preserve"> </w:t>
      </w:r>
      <w:r>
        <w:rPr>
          <w:i/>
          <w:iCs/>
        </w:rPr>
        <w:t xml:space="preserve">Environmental Science and Ecotechnology</w:t>
      </w:r>
      <w:r>
        <w:t xml:space="preserve"> </w:t>
      </w:r>
      <w:r>
        <w:t xml:space="preserve">27: 100608.</w:t>
      </w:r>
      <w:r>
        <w:t xml:space="preserve"> </w:t>
      </w:r>
      <w:hyperlink r:id="rId132">
        <w:r>
          <w:rPr>
            <w:rStyle w:val="Hyperlink"/>
          </w:rPr>
          <w:t xml:space="preserve">https://doi.org/10.1016/j.ese.2025.100608</w:t>
        </w:r>
      </w:hyperlink>
      <w:r>
        <w:t xml:space="preserve">.</w:t>
      </w:r>
    </w:p>
    <w:bookmarkEnd w:id="133"/>
    <w:bookmarkEnd w:id="134"/>
    <w:bookmarkEnd w:id="13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77">
    <w:p>
      <w:pPr>
        <w:pStyle w:val="FootnoteText"/>
      </w:pPr>
      <w:r>
        <w:rPr>
          <w:rStyle w:val="FootnoteReference"/>
        </w:rPr>
        <w:footnoteRef/>
      </w:r>
      <w:r>
        <w:t xml:space="preserve"> </w:t>
      </w:r>
      <w:hyperlink r:id="rId78">
        <w:r>
          <w:rPr>
            <w:rStyle w:val="Hyperlink"/>
          </w:rPr>
          <w:t xml:space="preserve">https://github.com/gabrielireland/GeoNatureAgent_Benchmark</w:t>
        </w:r>
      </w:hyperlink>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1" Target="media/rId41.pdf" /><Relationship Type="http://schemas.openxmlformats.org/officeDocument/2006/relationships/image" Id="rId50" Target="media/rId50.pdf" /><Relationship Type="http://schemas.openxmlformats.org/officeDocument/2006/relationships/image" Id="rId45" Target="media/rId45.pdf" /><Relationship Type="http://schemas.openxmlformats.org/officeDocument/2006/relationships/image" Id="rId66" Target="media/rId66.pdf" /><Relationship Type="http://schemas.openxmlformats.org/officeDocument/2006/relationships/image" Id="rId59" Target="media/rId59.pdf" /><Relationship Type="http://schemas.openxmlformats.org/officeDocument/2006/relationships/image" Id="rId27" Target="media/rId27.pdf" /><Relationship Type="http://schemas.openxmlformats.org/officeDocument/2006/relationships/image" Id="rId54" Target="media/rId54.pdf" /><Relationship Type="http://schemas.openxmlformats.org/officeDocument/2006/relationships/image" Id="rId33" Target="media/rId33.pdf" /><Relationship Type="http://schemas.openxmlformats.org/officeDocument/2006/relationships/hyperlink" Id="rId132" Target="https://doi.org/10.1016/j.ese.2025.100608" TargetMode="External" /><Relationship Type="http://schemas.openxmlformats.org/officeDocument/2006/relationships/hyperlink" Id="rId130" Target="https://doi.org/10.1016/j.jag.2024.103976" TargetMode="External" /><Relationship Type="http://schemas.openxmlformats.org/officeDocument/2006/relationships/hyperlink" Id="rId128" Target="https://doi.org/10.1016/j.jag.2024.104312" TargetMode="External" /><Relationship Type="http://schemas.openxmlformats.org/officeDocument/2006/relationships/hyperlink" Id="rId100" Target="https://doi.org/10.1080/17538947.2023.2278895" TargetMode="External" /><Relationship Type="http://schemas.openxmlformats.org/officeDocument/2006/relationships/hyperlink" Id="rId80" Target="https://doi.org/10.1080/17538947.2025.2497489" TargetMode="External" /><Relationship Type="http://schemas.openxmlformats.org/officeDocument/2006/relationships/hyperlink" Id="rId104" Target="https://doi.org/10.1080/20964471.2026.2615511" TargetMode="External" /><Relationship Type="http://schemas.openxmlformats.org/officeDocument/2006/relationships/hyperlink" Id="rId84" Target="https://doi.org/10.1109/IGARSS55030.2025.11242834" TargetMode="External" /><Relationship Type="http://schemas.openxmlformats.org/officeDocument/2006/relationships/hyperlink" Id="rId98" Target="https://doi.org/10.1109/IGARSS55030.2025.11243915" TargetMode="External" /><Relationship Type="http://schemas.openxmlformats.org/officeDocument/2006/relationships/hyperlink" Id="rId110" Target="https://doi.org/10.1109/ISAECT68904.2025.11318775" TargetMode="External" /><Relationship Type="http://schemas.openxmlformats.org/officeDocument/2006/relationships/hyperlink" Id="rId120" Target="https://doi.org/10.1109/TGRS.2025.3642610" TargetMode="External" /><Relationship Type="http://schemas.openxmlformats.org/officeDocument/2006/relationships/hyperlink" Id="rId118" Target="https://doi.org/10.1145/3715335.3735494" TargetMode="External" /><Relationship Type="http://schemas.openxmlformats.org/officeDocument/2006/relationships/hyperlink" Id="rId95" Target="https://doi.org/10.1145/3764915.3770721" TargetMode="External" /><Relationship Type="http://schemas.openxmlformats.org/officeDocument/2006/relationships/hyperlink" Id="rId126" Target="https://doi.org/10.48550/arXiv.2210.03629" TargetMode="External" /><Relationship Type="http://schemas.openxmlformats.org/officeDocument/2006/relationships/hyperlink" Id="rId89" Target="https://doi.org/10.48550/arXiv.2405.11265" TargetMode="External" /><Relationship Type="http://schemas.openxmlformats.org/officeDocument/2006/relationships/hyperlink" Id="rId106" Target="https://doi.org/10.48550/arXiv.2412.04204" TargetMode="External" /><Relationship Type="http://schemas.openxmlformats.org/officeDocument/2006/relationships/hyperlink" Id="rId91" Target="https://doi.org/10.48550/arXiv.2504.12110" TargetMode="External" /><Relationship Type="http://schemas.openxmlformats.org/officeDocument/2006/relationships/hyperlink" Id="rId114" Target="https://doi.org/10.48550/arXiv.2505.23752" TargetMode="External" /><Relationship Type="http://schemas.openxmlformats.org/officeDocument/2006/relationships/hyperlink" Id="rId116" Target="https://doi.org/10.48550/arXiv.2511.15658" TargetMode="External" /><Relationship Type="http://schemas.openxmlformats.org/officeDocument/2006/relationships/hyperlink" Id="rId124" Target="https://doi.org/10.48550/arXiv.2602.03916" TargetMode="External" /><Relationship Type="http://schemas.openxmlformats.org/officeDocument/2006/relationships/hyperlink" Id="rId122" Target="https://doi.org/10.48550/arXiv.2602.16105" TargetMode="External" /><Relationship Type="http://schemas.openxmlformats.org/officeDocument/2006/relationships/hyperlink" Id="rId78" Target="https://github.com/gabrielireland/GeoNatureAgent_Benchmark" TargetMode="External" /><Relationship Type="http://schemas.openxmlformats.org/officeDocument/2006/relationships/hyperlink" Id="rId82" Target="https://openreview.net/forum?id=dOISCbmkmG" TargetMode="External" /><Relationship Type="http://schemas.openxmlformats.org/officeDocument/2006/relationships/hyperlink" Id="rId108" Target="https://openreview.net/forum?id=fibxvahvs3" TargetMode="External" /><Relationship Type="http://schemas.openxmlformats.org/officeDocument/2006/relationships/hyperlink" Id="rId102" Target="https://openreview.net/forum?id=iO4LZibEqW" TargetMode="External" /><Relationship Type="http://schemas.openxmlformats.org/officeDocument/2006/relationships/hyperlink" Id="rId87" Target="https://research.google/blog/google-earth-ai-unlocking-geospatial-insights-with-foundation-models-and-cross-modal-reasoning/" TargetMode="External" /><Relationship Type="http://schemas.openxmlformats.org/officeDocument/2006/relationships/hyperlink" Id="rId93" Target="https://www.boe.es/buscar/doc.php?id=BOE-A-2025-7439" TargetMode="External" /><Relationship Type="http://schemas.openxmlformats.org/officeDocument/2006/relationships/hyperlink" Id="rId112" Target="https://www.businesswire.com/news/home/20250306606139/en/Planet-and-Anthropic-Partner-to-Use-Claudes-Advanced-AI-Capabilities-to-Turn-Geospatial-Satellite-Imagery-into-Actionable-Insights" TargetMode="External" /></Relationships>
</file>

<file path=word/_rels/footnotes.xml.rels><?xml version="1.0" encoding="UTF-8"?><Relationships xmlns="http://schemas.openxmlformats.org/package/2006/relationships"><Relationship Type="http://schemas.openxmlformats.org/officeDocument/2006/relationships/hyperlink" Id="rId132" Target="https://doi.org/10.1016/j.ese.2025.100608" TargetMode="External" /><Relationship Type="http://schemas.openxmlformats.org/officeDocument/2006/relationships/hyperlink" Id="rId130" Target="https://doi.org/10.1016/j.jag.2024.103976" TargetMode="External" /><Relationship Type="http://schemas.openxmlformats.org/officeDocument/2006/relationships/hyperlink" Id="rId128" Target="https://doi.org/10.1016/j.jag.2024.104312" TargetMode="External" /><Relationship Type="http://schemas.openxmlformats.org/officeDocument/2006/relationships/hyperlink" Id="rId100" Target="https://doi.org/10.1080/17538947.2023.2278895" TargetMode="External" /><Relationship Type="http://schemas.openxmlformats.org/officeDocument/2006/relationships/hyperlink" Id="rId80" Target="https://doi.org/10.1080/17538947.2025.2497489" TargetMode="External" /><Relationship Type="http://schemas.openxmlformats.org/officeDocument/2006/relationships/hyperlink" Id="rId104" Target="https://doi.org/10.1080/20964471.2026.2615511" TargetMode="External" /><Relationship Type="http://schemas.openxmlformats.org/officeDocument/2006/relationships/hyperlink" Id="rId84" Target="https://doi.org/10.1109/IGARSS55030.2025.11242834" TargetMode="External" /><Relationship Type="http://schemas.openxmlformats.org/officeDocument/2006/relationships/hyperlink" Id="rId98" Target="https://doi.org/10.1109/IGARSS55030.2025.11243915" TargetMode="External" /><Relationship Type="http://schemas.openxmlformats.org/officeDocument/2006/relationships/hyperlink" Id="rId110" Target="https://doi.org/10.1109/ISAECT68904.2025.11318775" TargetMode="External" /><Relationship Type="http://schemas.openxmlformats.org/officeDocument/2006/relationships/hyperlink" Id="rId120" Target="https://doi.org/10.1109/TGRS.2025.3642610" TargetMode="External" /><Relationship Type="http://schemas.openxmlformats.org/officeDocument/2006/relationships/hyperlink" Id="rId118" Target="https://doi.org/10.1145/3715335.3735494" TargetMode="External" /><Relationship Type="http://schemas.openxmlformats.org/officeDocument/2006/relationships/hyperlink" Id="rId95" Target="https://doi.org/10.1145/3764915.3770721" TargetMode="External" /><Relationship Type="http://schemas.openxmlformats.org/officeDocument/2006/relationships/hyperlink" Id="rId126" Target="https://doi.org/10.48550/arXiv.2210.03629" TargetMode="External" /><Relationship Type="http://schemas.openxmlformats.org/officeDocument/2006/relationships/hyperlink" Id="rId89" Target="https://doi.org/10.48550/arXiv.2405.11265" TargetMode="External" /><Relationship Type="http://schemas.openxmlformats.org/officeDocument/2006/relationships/hyperlink" Id="rId106" Target="https://doi.org/10.48550/arXiv.2412.04204" TargetMode="External" /><Relationship Type="http://schemas.openxmlformats.org/officeDocument/2006/relationships/hyperlink" Id="rId91" Target="https://doi.org/10.48550/arXiv.2504.12110" TargetMode="External" /><Relationship Type="http://schemas.openxmlformats.org/officeDocument/2006/relationships/hyperlink" Id="rId114" Target="https://doi.org/10.48550/arXiv.2505.23752" TargetMode="External" /><Relationship Type="http://schemas.openxmlformats.org/officeDocument/2006/relationships/hyperlink" Id="rId116" Target="https://doi.org/10.48550/arXiv.2511.15658" TargetMode="External" /><Relationship Type="http://schemas.openxmlformats.org/officeDocument/2006/relationships/hyperlink" Id="rId124" Target="https://doi.org/10.48550/arXiv.2602.03916" TargetMode="External" /><Relationship Type="http://schemas.openxmlformats.org/officeDocument/2006/relationships/hyperlink" Id="rId122" Target="https://doi.org/10.48550/arXiv.2602.16105" TargetMode="External" /><Relationship Type="http://schemas.openxmlformats.org/officeDocument/2006/relationships/hyperlink" Id="rId78" Target="https://github.com/gabrielireland/GeoNatureAgent_Benchmark" TargetMode="External" /><Relationship Type="http://schemas.openxmlformats.org/officeDocument/2006/relationships/hyperlink" Id="rId82" Target="https://openreview.net/forum?id=dOISCbmkmG" TargetMode="External" /><Relationship Type="http://schemas.openxmlformats.org/officeDocument/2006/relationships/hyperlink" Id="rId108" Target="https://openreview.net/forum?id=fibxvahvs3" TargetMode="External" /><Relationship Type="http://schemas.openxmlformats.org/officeDocument/2006/relationships/hyperlink" Id="rId102" Target="https://openreview.net/forum?id=iO4LZibEqW" TargetMode="External" /><Relationship Type="http://schemas.openxmlformats.org/officeDocument/2006/relationships/hyperlink" Id="rId87" Target="https://research.google/blog/google-earth-ai-unlocking-geospatial-insights-with-foundation-models-and-cross-modal-reasoning/" TargetMode="External" /><Relationship Type="http://schemas.openxmlformats.org/officeDocument/2006/relationships/hyperlink" Id="rId93" Target="https://www.boe.es/buscar/doc.php?id=BOE-A-2025-7439" TargetMode="External" /><Relationship Type="http://schemas.openxmlformats.org/officeDocument/2006/relationships/hyperlink" Id="rId112" Target="https://www.businesswire.com/news/home/20250306606139/en/Planet-and-Anthropic-Partner-to-Use-Claudes-Advanced-AI-Capabilities-to-Turn-Geospatial-Satellite-Imagery-into-Actionable-Insigh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2026-05-16T04:05:11Z</dcterms:created>
  <dcterms:modified xsi:type="dcterms:W3CDTF">2026-05-16T04:05:11Z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graphy">
    <vt:lpwstr>paper/references.bib</vt:lpwstr>
  </property>
</Properties>
</file>