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fill="FB5A2D"/>
          </w:tcPr>
          <w:p>
            <w:pPr>
              <w:spacing w:before="1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KIT USUAL · EXECUÇÃO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44"/>
              </w:rPr>
              <w:t>Checklists de Implementação</w:t>
            </w:r>
          </w:p>
        </w:tc>
      </w:tr>
    </w:tbl>
    <w:p>
      <w:pPr>
        <w:spacing w:after="160"/>
      </w:pPr>
      <w:r>
        <w:rPr>
          <w:rFonts w:ascii="Calibri" w:hAnsi="Calibri"/>
          <w:i/>
          <w:color w:val="8C8C93"/>
          <w:sz w:val="22"/>
        </w:rPr>
        <w:t>Marque cada item conforme avança. Do zero ao previsível, sem pular etapa.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Checklist mestre · Do zero ao previsível</w:t>
      </w:r>
    </w:p>
    <w:p>
      <w:pPr>
        <w:spacing w:before="160" w:after="40"/>
      </w:pPr>
      <w:r>
        <w:rPr>
          <w:rFonts w:ascii="Calibri" w:hAnsi="Calibri"/>
          <w:b/>
          <w:color w:val="2E2E33"/>
          <w:sz w:val="24"/>
        </w:rPr>
        <w:t>Semanas 1-2 · Fundação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Escrever o ICP e o cliente mínimo ideal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Montar a esteira de produtos (escada de valor)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Preencher o Quadro de Produtos e Ofertas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Definir ancoragem, preço de tabela e promocional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Colocar o CRM no ar com os 3 pipelines</w:t>
      </w:r>
    </w:p>
    <w:p>
      <w:pPr>
        <w:spacing w:before="160" w:after="40"/>
      </w:pPr>
      <w:r>
        <w:rPr>
          <w:rFonts w:ascii="Calibri" w:hAnsi="Calibri"/>
          <w:b/>
          <w:color w:val="2E2E33"/>
          <w:sz w:val="24"/>
        </w:rPr>
        <w:t>Semanas 3-4 · Aquisição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Publicar o funil de VSL (página + vídeo + aplicação)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Estruturar o funil de Social Selling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Escrever os scripts de SDR e o playbook do closer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Configurar a cadência D1-D12 e os follow-ups</w:t>
      </w:r>
    </w:p>
    <w:p>
      <w:pPr>
        <w:spacing w:before="160" w:after="40"/>
      </w:pPr>
      <w:r>
        <w:rPr>
          <w:rFonts w:ascii="Calibri" w:hAnsi="Calibri"/>
          <w:b/>
          <w:color w:val="2E2E33"/>
          <w:sz w:val="24"/>
        </w:rPr>
        <w:t>Semanas 5-8 · Time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Rodar o funil de recrutamento (perfil + VSL da vaga)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Aplicar pré-treino que filtra (24-72h)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Entrevistar com role play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Contratar 1 SDR e 1 closer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Onboarding com calls gravadas</w:t>
      </w:r>
    </w:p>
    <w:p>
      <w:pPr>
        <w:spacing w:before="160" w:after="40"/>
      </w:pPr>
      <w:r>
        <w:rPr>
          <w:rFonts w:ascii="Calibri" w:hAnsi="Calibri"/>
          <w:b/>
          <w:color w:val="2E2E33"/>
          <w:sz w:val="24"/>
        </w:rPr>
        <w:t>Mês 3+ · Gestão &amp; escala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Instalar a rotina de métricas (Dashboard de KPIs)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Reunião semanal de números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Corrigir gargalos com a tabela de diagnóstico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Implementar IA no comercial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Dimensionar o time conforme a tração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Checklist · Funil de Diagnóstico com VSL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Página do funil no ar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Roteiro do vídeo escrito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Vídeo gravado e editado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Formulário de aplicação criado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Página de obrigado criada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Peças conectadas ao CRM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E-mails e WhatsApp configurados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5 criativos estáticos + 5 em vídeo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Público definido no Meta Ads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Planilha de gestão de anúncios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Checklist · Contratação &amp; Onboarding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Perfil do cargo definido (SDR/Closer)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Vaga publicada com VSL da vaga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Pré-treino enviado + questionário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Entrevista estruturada feita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Role play aplicado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Acesso a CRM e ferramentas liberado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Scripts e playbook entregues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Primeiras calls supervisionadas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Metas e plano de remuneração apresentados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Rotina diária (cole na parede do time)</w:t>
      </w:r>
    </w:p>
    <w:p>
      <w:pPr>
        <w:spacing w:before="160" w:after="40"/>
      </w:pPr>
      <w:r>
        <w:rPr>
          <w:rFonts w:ascii="Calibri" w:hAnsi="Calibri"/>
          <w:b/>
          <w:color w:val="2E2E33"/>
          <w:sz w:val="24"/>
        </w:rPr>
        <w:t>SDR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Responder novos leads em até 5 min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Executar a cadência do dia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Atualizar todos os cards no CRM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Registrar objeções encontradas</w:t>
      </w:r>
    </w:p>
    <w:p>
      <w:pPr>
        <w:spacing w:before="160" w:after="40"/>
      </w:pPr>
      <w:r>
        <w:rPr>
          <w:rFonts w:ascii="Calibri" w:hAnsi="Calibri"/>
          <w:b/>
          <w:color w:val="2E2E33"/>
          <w:sz w:val="24"/>
        </w:rPr>
        <w:t>Closer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Revisar os agendados do dia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Conduzir as calls com o playbook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Registrar resultado e mover cards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Enviar propostas em até 1 hora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C8C93"/>
        <w:sz w:val="16"/>
      </w:rPr>
      <w:t>USUAL DIGITAL   ·   Checklists de Implementação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E2E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