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46"/>
      </w:tblGrid>
      <w:tr>
        <w:tc>
          <w:tcPr>
            <w:tcW w:type="dxa" w:w="9746"/>
            <w:shd w:val="clear" w:fill="FB5A2D"/>
          </w:tcPr>
          <w:p>
            <w:pPr>
              <w:spacing w:before="1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USUAL KIT · SALES</w:t>
            </w:r>
          </w:p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44"/>
              </w:rPr>
              <w:t>Closer Playbook</w:t>
            </w:r>
          </w:p>
        </w:tc>
      </w:tr>
    </w:tbl>
    <w:p>
      <w:pPr>
        <w:spacing w:after="160"/>
      </w:pPr>
      <w:r>
        <w:rPr>
          <w:rFonts w:ascii="Calibri" w:hAnsi="Calibri"/>
          <w:i/>
          <w:color w:val="8C8C93"/>
          <w:sz w:val="22"/>
        </w:rPr>
        <w:t>The 5-step protocol, the SPIN question bank and the closing script.</w:t>
      </w:r>
    </w:p>
    <w:p>
      <w:pPr>
        <w:spacing w:before="240" w:after="80"/>
      </w:pPr>
      <w:r>
        <w:rPr>
          <w:rFonts w:ascii="Calibri" w:hAnsi="Calibri"/>
          <w:b/>
          <w:color w:val="E8430F"/>
          <w:sz w:val="30"/>
        </w:rPr>
        <w:t>Before the call: prep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Review what the SDR logged in the CRM (pain, context, decision-maker).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Set the call's goal: close in 1 meeting, or diagnose + close in 2.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Have the Product Board open. You're the one running the meeting.</w:t>
      </w:r>
    </w:p>
    <w:p>
      <w:pPr>
        <w:spacing w:before="240" w:after="80"/>
      </w:pPr>
      <w:r>
        <w:rPr>
          <w:rFonts w:ascii="Calibri" w:hAnsi="Calibri"/>
          <w:b/>
          <w:color w:val="E8430F"/>
          <w:sz w:val="30"/>
        </w:rPr>
        <w:t>The 5-step protocol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6E4E0"/>
          <w:left w:val="single" w:sz="4" w:space="0" w:color="E6E4E0"/>
          <w:bottom w:val="single" w:sz="4" w:space="0" w:color="E6E4E0"/>
          <w:right w:val="single" w:sz="4" w:space="0" w:color="E6E4E0"/>
          <w:insideH w:val="single" w:sz="4" w:space="0" w:color="E6E4E0"/>
          <w:insideV w:val="single" w:sz="4" w:space="0" w:color="E6E4E0"/>
        </w:tblBorders>
      </w:tblPr>
      <w:tblGrid>
        <w:gridCol w:w="3249"/>
        <w:gridCol w:w="3249"/>
        <w:gridCol w:w="3249"/>
      </w:tblGrid>
      <w:tr>
        <w:tc>
          <w:tcPr>
            <w:tcW w:type="dxa" w:w="1984"/>
            <w:shd w:val="clear" w:fill="2E2E33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Step</w:t>
            </w:r>
          </w:p>
        </w:tc>
        <w:tc>
          <w:tcPr>
            <w:tcW w:type="dxa" w:w="4535"/>
            <w:shd w:val="clear" w:fill="2E2E33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What to do</w:t>
            </w:r>
          </w:p>
        </w:tc>
        <w:tc>
          <w:tcPr>
            <w:tcW w:type="dxa" w:w="2551"/>
            <w:shd w:val="clear" w:fill="2E2E33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Mistake to avoid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b/>
                <w:color w:val="2E2E33"/>
                <w:sz w:val="19"/>
              </w:rPr>
              <w:t>1. Intro &amp; rapport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color w:val="2E2E33"/>
                <w:sz w:val="19"/>
              </w:rPr>
              <w:t>Ice-breaker, context and agree on the call agenda.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color w:val="2E2E33"/>
                <w:sz w:val="19"/>
              </w:rPr>
              <w:t>Jumping to the product without building connection.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b/>
                <w:color w:val="2E2E33"/>
                <w:sz w:val="19"/>
              </w:rPr>
              <w:t>2. Discovery (SPIN)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color w:val="2E2E33"/>
                <w:sz w:val="19"/>
              </w:rPr>
              <w:t>Ask a lot, listen more. Map the pain and its impact.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color w:val="2E2E33"/>
                <w:sz w:val="19"/>
              </w:rPr>
              <w:t>Talking more than the customer.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b/>
                <w:color w:val="2E2E33"/>
                <w:sz w:val="19"/>
              </w:rPr>
              <w:t>3. Presentation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color w:val="2E2E33"/>
                <w:sz w:val="19"/>
              </w:rPr>
              <w:t>Connect the solution only to the pains raised.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color w:val="2E2E33"/>
                <w:sz w:val="19"/>
              </w:rPr>
              <w:t>Presenting everything that exists.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b/>
                <w:color w:val="2E2E33"/>
                <w:sz w:val="19"/>
              </w:rPr>
              <w:t>4. Anchoring &amp; offer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color w:val="2E2E33"/>
                <w:sz w:val="19"/>
              </w:rPr>
              <w:t>Price sheet → promo → bonus, in the right order.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color w:val="2E2E33"/>
                <w:sz w:val="19"/>
              </w:rPr>
              <w:t>Discounting before creating value.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b/>
                <w:color w:val="2E2E33"/>
                <w:sz w:val="19"/>
              </w:rPr>
              <w:t>5. Closing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color w:val="2E2E33"/>
                <w:sz w:val="19"/>
              </w:rPr>
              <w:t>Lead to the decision and handle objections.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color w:val="2E2E33"/>
                <w:sz w:val="19"/>
              </w:rPr>
              <w:t>Ending without asking for the decision.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Calibri" w:hAnsi="Calibri"/>
          <w:b/>
          <w:color w:val="E8430F"/>
          <w:sz w:val="30"/>
        </w:rPr>
        <w:t>SPIN question bank</w:t>
      </w:r>
    </w:p>
    <w:p>
      <w:pPr>
        <w:spacing w:before="160" w:after="40"/>
      </w:pPr>
      <w:r>
        <w:rPr>
          <w:rFonts w:ascii="Calibri" w:hAnsi="Calibri"/>
          <w:b/>
          <w:color w:val="2E2E33"/>
          <w:sz w:val="24"/>
        </w:rPr>
        <w:t>Situation (context)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How does your [PROCESS/AREA] work today?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How many people are involved? What's the current volume?</w:t>
      </w:r>
    </w:p>
    <w:p>
      <w:pPr>
        <w:spacing w:before="160" w:after="40"/>
      </w:pPr>
      <w:r>
        <w:rPr>
          <w:rFonts w:ascii="Calibri" w:hAnsi="Calibri"/>
          <w:b/>
          <w:color w:val="2E2E33"/>
          <w:sz w:val="24"/>
        </w:rPr>
        <w:t>Problem (pain)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What's the biggest difficulty in this today?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What have you tried that didn't work?</w:t>
      </w:r>
    </w:p>
    <w:p>
      <w:pPr>
        <w:spacing w:before="160" w:after="40"/>
      </w:pPr>
      <w:r>
        <w:rPr>
          <w:rFonts w:ascii="Calibri" w:hAnsi="Calibri"/>
          <w:b/>
          <w:color w:val="2E2E33"/>
          <w:sz w:val="24"/>
        </w:rPr>
        <w:t>Implication (cost of not solving)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How much is this costing you per month, in money or time?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If it stays like this for 12 months, what happens?</w:t>
      </w:r>
    </w:p>
    <w:p>
      <w:pPr>
        <w:spacing w:before="160" w:after="40"/>
      </w:pPr>
      <w:r>
        <w:rPr>
          <w:rFonts w:ascii="Calibri" w:hAnsi="Calibri"/>
          <w:b/>
          <w:color w:val="2E2E33"/>
          <w:sz w:val="24"/>
        </w:rPr>
        <w:t>Need (value of the solution)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If you solved [PAIN], what would the impact on revenue be?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Why is solving this now important to you?</w:t>
      </w:r>
    </w:p>
    <w:p>
      <w:pPr>
        <w:spacing w:before="240" w:after="80"/>
      </w:pPr>
      <w:r>
        <w:rPr>
          <w:rFonts w:ascii="Calibri" w:hAnsi="Calibri"/>
          <w:b/>
          <w:color w:val="E8430F"/>
          <w:sz w:val="30"/>
        </w:rPr>
        <w:t>Offer presentation script</w:t>
      </w:r>
    </w:p>
    <w:p>
      <w:pPr>
        <w:spacing w:after="120"/>
      </w:pPr>
      <w:r>
        <w:rPr>
          <w:rFonts w:ascii="Calibri" w:hAnsi="Calibri"/>
          <w:b w:val="0"/>
          <w:color w:val="2E2E33"/>
          <w:sz w:val="21"/>
        </w:rPr>
        <w:t>1) Recap the pain in the customer's words. 2) Show the mechanism (how the solution solves it). 3) Present the list price (anchoring). 4) Reveal the promo condition + immediate-decision bonus. 5) Ask the closing question.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FB5A2D"/>
          <w:left w:val="single" w:sz="4" w:space="0" w:color="FB5A2D"/>
          <w:bottom w:val="single" w:sz="4" w:space="0" w:color="FB5A2D"/>
          <w:right w:val="single" w:sz="4" w:space="0" w:color="FB5A2D"/>
          <w:insideH w:val="single" w:sz="4" w:space="0" w:color="FB5A2D"/>
          <w:insideV w:val="single" w:sz="4" w:space="0" w:color="FB5A2D"/>
        </w:tblBorders>
      </w:tblPr>
      <w:tblGrid>
        <w:gridCol w:w="9746"/>
      </w:tblGrid>
      <w:tr>
        <w:tc>
          <w:tcPr>
            <w:tcW w:type="dxa" w:w="9746"/>
            <w:shd w:val="clear" w:fill="FFF1EA"/>
          </w:tcPr>
          <w:p>
            <w:r>
              <w:rPr>
                <w:rFonts w:ascii="Calibri" w:hAnsi="Calibri"/>
                <w:b/>
                <w:color w:val="E8430F"/>
                <w:sz w:val="18"/>
              </w:rPr>
              <w:t>CLOSING QUESTION</w:t>
            </w:r>
          </w:p>
          <w:p>
            <w:r>
              <w:rPr>
                <w:rFonts w:ascii="Calibri" w:hAnsi="Calibri"/>
                <w:color w:val="2E2E33"/>
                <w:sz w:val="20"/>
              </w:rPr>
              <w:t>“[NAME], from what we talked about, this solves exactly the [PAIN] you brought me. Does it make sense for us to start [TODAY/DATE]?”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Calibri" w:hAnsi="Calibri"/>
          <w:b/>
          <w:color w:val="E8430F"/>
          <w:sz w:val="30"/>
        </w:rPr>
        <w:t>Objection handling at close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6E4E0"/>
          <w:left w:val="single" w:sz="4" w:space="0" w:color="E6E4E0"/>
          <w:bottom w:val="single" w:sz="4" w:space="0" w:color="E6E4E0"/>
          <w:right w:val="single" w:sz="4" w:space="0" w:color="E6E4E0"/>
          <w:insideH w:val="single" w:sz="4" w:space="0" w:color="E6E4E0"/>
          <w:insideV w:val="single" w:sz="4" w:space="0" w:color="E6E4E0"/>
        </w:tblBorders>
      </w:tblPr>
      <w:tblGrid>
        <w:gridCol w:w="4873"/>
        <w:gridCol w:w="4873"/>
      </w:tblGrid>
      <w:tr>
        <w:tc>
          <w:tcPr>
            <w:tcW w:type="dxa" w:w="2268"/>
            <w:shd w:val="clear" w:fill="2E2E33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Objection</w:t>
            </w:r>
          </w:p>
        </w:tc>
        <w:tc>
          <w:tcPr>
            <w:tcW w:type="dxa" w:w="6803"/>
            <w:shd w:val="clear" w:fill="2E2E33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Path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2E2E33"/>
                <w:sz w:val="19"/>
              </w:rPr>
              <w:t>Price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E2E33"/>
                <w:sz w:val="19"/>
              </w:rPr>
              <w:t>Go back to value and the cost of not solving (implication). Only then offer the last condition.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2E2E33"/>
                <w:sz w:val="19"/>
              </w:rPr>
              <w:t>Timing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E2E33"/>
                <w:sz w:val="19"/>
              </w:rPr>
              <w:t>Show the cost of delaying. Offer to start with a light onboarding.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2E2E33"/>
                <w:sz w:val="19"/>
              </w:rPr>
              <w:t>Trust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E2E33"/>
                <w:sz w:val="19"/>
              </w:rPr>
              <w:t>Use social proof, guarantee and cases. Reduce perceived risk.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color w:val="2E2E33"/>
                <w:sz w:val="19"/>
              </w:rPr>
              <w:t>Decision-maker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color w:val="2E2E33"/>
                <w:sz w:val="19"/>
              </w:rPr>
              <w:t>Bring the decision-maker into the call. Don't negotiate halfway.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FB5A2D"/>
          <w:left w:val="single" w:sz="4" w:space="0" w:color="FB5A2D"/>
          <w:bottom w:val="single" w:sz="4" w:space="0" w:color="FB5A2D"/>
          <w:right w:val="single" w:sz="4" w:space="0" w:color="FB5A2D"/>
          <w:insideH w:val="single" w:sz="4" w:space="0" w:color="FB5A2D"/>
          <w:insideV w:val="single" w:sz="4" w:space="0" w:color="FB5A2D"/>
        </w:tblBorders>
      </w:tblPr>
      <w:tblGrid>
        <w:gridCol w:w="9746"/>
      </w:tblGrid>
      <w:tr>
        <w:tc>
          <w:tcPr>
            <w:tcW w:type="dxa" w:w="9746"/>
            <w:shd w:val="clear" w:fill="FFF1EA"/>
          </w:tcPr>
          <w:p>
            <w:r>
              <w:rPr>
                <w:rFonts w:ascii="Calibri" w:hAnsi="Calibri"/>
                <w:b/>
                <w:color w:val="E8430F"/>
                <w:sz w:val="18"/>
              </w:rPr>
              <w:t>GOLDEN RULE</w:t>
            </w:r>
          </w:p>
          <w:p>
            <w:r>
              <w:rPr>
                <w:rFonts w:ascii="Calibri" w:hAnsi="Calibri"/>
                <w:color w:val="2E2E33"/>
                <w:sz w:val="20"/>
              </w:rPr>
              <w:t>Keep your word: the promo condition and bonuses are valid on the call. If the customer doesn't close in time, they don't come back. This protects the value of your offer.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Calibri" w:hAnsi="Calibri"/>
          <w:b/>
          <w:color w:val="E8430F"/>
          <w:sz w:val="30"/>
        </w:rPr>
        <w:t>After the call (checklist)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Log the outcome and notes in the CRM.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Move the card to the correct pipeline stage.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Schedule the follow-up (if not closed) or the onboarding (if closed).</w:t>
      </w:r>
    </w:p>
    <w:p>
      <w:pPr>
        <w:spacing w:after="60"/>
        <w:ind w:left="170"/>
      </w:pPr>
      <w:r>
        <w:rPr>
          <w:rFonts w:ascii="Calibri" w:hAnsi="Calibri"/>
          <w:color w:val="2E2E33"/>
          <w:sz w:val="21"/>
        </w:rPr>
        <w:t>☐  Send the proposal/contract within 1 hour.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8C8C93"/>
        <w:sz w:val="16"/>
      </w:rPr>
      <w:t>USUAL DIGITAL   ·   Closer Playbook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E2E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