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46"/>
      </w:tblGrid>
      <w:tr>
        <w:tc>
          <w:tcPr>
            <w:tcW w:type="dxa" w:w="9746"/>
            <w:shd w:val="clear" w:fill="FB5A2D"/>
          </w:tcPr>
          <w:p>
            <w:pPr>
              <w:spacing w:before="1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KIT USUAL · CRM</w:t>
            </w:r>
          </w:p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44"/>
              </w:rPr>
              <w:t>Modelo de CRM: Pipelines &amp; Automações</w:t>
            </w:r>
          </w:p>
        </w:tc>
      </w:tr>
    </w:tbl>
    <w:p>
      <w:pPr>
        <w:spacing w:after="160"/>
      </w:pPr>
      <w:r>
        <w:rPr>
          <w:rFonts w:ascii="Calibri" w:hAnsi="Calibri"/>
          <w:i/>
          <w:color w:val="8C8C93"/>
          <w:sz w:val="22"/>
        </w:rPr>
        <w:t>Estrutura pronta para montar no seu CRM (Kommo, GoHighLevel, RD, HubSpot, Pipedrive...).</w:t>
      </w:r>
    </w:p>
    <w:p>
      <w:pPr>
        <w:spacing w:before="240" w:after="80"/>
      </w:pPr>
      <w:r>
        <w:rPr>
          <w:rFonts w:ascii="Calibri" w:hAnsi="Calibri"/>
          <w:b/>
          <w:color w:val="E8430F"/>
          <w:sz w:val="30"/>
        </w:rPr>
        <w:t>Configuração inicial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Crie perfis e permissões por papel: SDR, Closer, Gestor.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Personalize os campos de contato e oportunidade (veja abaixo).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Crie um pipeline separado para cada setor (pré-vendas, vendas, CS).</w:t>
      </w:r>
    </w:p>
    <w:p>
      <w:pPr>
        <w:spacing w:before="240" w:after="80"/>
      </w:pPr>
      <w:r>
        <w:rPr>
          <w:rFonts w:ascii="Calibri" w:hAnsi="Calibri"/>
          <w:b/>
          <w:color w:val="E8430F"/>
          <w:sz w:val="30"/>
        </w:rPr>
        <w:t>Pipeline 1 · Pré-vendas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Entrada de leads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Primeira interação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Follow-up 1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Follow-up 2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Follow-up 3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Agendamento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Reagendamento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Transferência p/ vendas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Sales farming (repescagem)</w:t>
      </w:r>
    </w:p>
    <w:p>
      <w:pPr>
        <w:spacing w:before="240" w:after="80"/>
      </w:pPr>
      <w:r>
        <w:rPr>
          <w:rFonts w:ascii="Calibri" w:hAnsi="Calibri"/>
          <w:b/>
          <w:color w:val="E8430F"/>
          <w:sz w:val="30"/>
        </w:rPr>
        <w:t>Pipeline 2 · Vendas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Agendado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No-show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Em negociação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Venda com sinal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Venda concluída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Perdido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Farming</w:t>
      </w:r>
    </w:p>
    <w:p>
      <w:pPr>
        <w:spacing w:before="240" w:after="80"/>
      </w:pPr>
      <w:r>
        <w:rPr>
          <w:rFonts w:ascii="Calibri" w:hAnsi="Calibri"/>
          <w:b/>
          <w:color w:val="E8430F"/>
          <w:sz w:val="30"/>
        </w:rPr>
        <w:t>Pipeline 3 · Sucesso do Cliente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Onboarding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Acompanhamento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Renovação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Upsell / Cross-sell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Fidelização / Indicação</w:t>
      </w:r>
    </w:p>
    <w:p>
      <w:pPr>
        <w:spacing w:before="240" w:after="80"/>
      </w:pPr>
      <w:r>
        <w:rPr>
          <w:rFonts w:ascii="Calibri" w:hAnsi="Calibri"/>
          <w:b/>
          <w:color w:val="E8430F"/>
          <w:sz w:val="30"/>
        </w:rPr>
        <w:t>Automações essenciais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6E4E0"/>
          <w:left w:val="single" w:sz="4" w:space="0" w:color="E6E4E0"/>
          <w:bottom w:val="single" w:sz="4" w:space="0" w:color="E6E4E0"/>
          <w:right w:val="single" w:sz="4" w:space="0" w:color="E6E4E0"/>
          <w:insideH w:val="single" w:sz="4" w:space="0" w:color="E6E4E0"/>
          <w:insideV w:val="single" w:sz="4" w:space="0" w:color="E6E4E0"/>
        </w:tblBorders>
      </w:tblPr>
      <w:tblGrid>
        <w:gridCol w:w="4873"/>
        <w:gridCol w:w="4873"/>
      </w:tblGrid>
      <w:tr>
        <w:tc>
          <w:tcPr>
            <w:tcW w:type="dxa" w:w="3118"/>
            <w:shd w:val="clear" w:fill="2E2E33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Gatilho</w:t>
            </w:r>
          </w:p>
        </w:tc>
        <w:tc>
          <w:tcPr>
            <w:tcW w:type="dxa" w:w="5953"/>
            <w:shd w:val="clear" w:fill="2E2E33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Ação automática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b/>
                <w:color w:val="2E2E33"/>
                <w:sz w:val="19"/>
              </w:rPr>
              <w:t>Novo lead entra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color w:val="2E2E33"/>
                <w:sz w:val="19"/>
              </w:rPr>
              <w:t>Notificar SDR + criar tarefa de contato em 5 min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b/>
                <w:color w:val="2E2E33"/>
                <w:sz w:val="19"/>
              </w:rPr>
              <w:t>Lead sem resposta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color w:val="2E2E33"/>
                <w:sz w:val="19"/>
              </w:rPr>
              <w:t>Disparar follow-up da cadência (D1-D12)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b/>
                <w:color w:val="2E2E33"/>
                <w:sz w:val="19"/>
              </w:rPr>
              <w:t>Reunião agendada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color w:val="2E2E33"/>
                <w:sz w:val="19"/>
              </w:rPr>
              <w:t>Enviar confirmação + lembrete 1 dia e 1 hora antes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b/>
                <w:color w:val="2E2E33"/>
                <w:sz w:val="19"/>
              </w:rPr>
              <w:t>Mudança de etapa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color w:val="2E2E33"/>
                <w:sz w:val="19"/>
              </w:rPr>
              <w:t>Mover card e criar a próxima tarefa automaticamente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b/>
                <w:color w:val="2E2E33"/>
                <w:sz w:val="19"/>
              </w:rPr>
              <w:t>Venda concluída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color w:val="2E2E33"/>
                <w:sz w:val="19"/>
              </w:rPr>
              <w:t>Criar card no pipeline de CS (onboarding)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b/>
                <w:color w:val="2E2E33"/>
                <w:sz w:val="19"/>
              </w:rPr>
              <w:t>Lead perdido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color w:val="2E2E33"/>
                <w:sz w:val="19"/>
              </w:rPr>
              <w:t>Enviar para Sales Farming com data de repescagem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Calibri" w:hAnsi="Calibri"/>
          <w:b/>
          <w:color w:val="E8430F"/>
          <w:sz w:val="30"/>
        </w:rPr>
        <w:t>Campos personalizados sugeridos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Origem do lead (funil, social selling, indicação, outbound)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ICP: sim / não (e motivo)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Faturamento / porte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Dor principal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Decisor (sim/não)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Produto de interesse</w:t>
      </w:r>
    </w:p>
    <w:p>
      <w:pPr>
        <w:spacing w:before="240" w:after="80"/>
      </w:pPr>
      <w:r>
        <w:rPr>
          <w:rFonts w:ascii="Calibri" w:hAnsi="Calibri"/>
          <w:b/>
          <w:color w:val="E8430F"/>
          <w:sz w:val="30"/>
        </w:rPr>
        <w:t>Rotina e adesão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Diária: SDR verifica novos leads, atualiza status e faz follow-ups.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Diária: Head revisa o CRM para achar atrasos e cards parados.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Semanal: revisão de pipeline e reunião de alinhamento.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FB5A2D"/>
          <w:left w:val="single" w:sz="4" w:space="0" w:color="FB5A2D"/>
          <w:bottom w:val="single" w:sz="4" w:space="0" w:color="FB5A2D"/>
          <w:right w:val="single" w:sz="4" w:space="0" w:color="FB5A2D"/>
          <w:insideH w:val="single" w:sz="4" w:space="0" w:color="FB5A2D"/>
          <w:insideV w:val="single" w:sz="4" w:space="0" w:color="FB5A2D"/>
        </w:tblBorders>
      </w:tblPr>
      <w:tblGrid>
        <w:gridCol w:w="9746"/>
      </w:tblGrid>
      <w:tr>
        <w:tc>
          <w:tcPr>
            <w:tcW w:type="dxa" w:w="9746"/>
            <w:shd w:val="clear" w:fill="FFF1EA"/>
          </w:tcPr>
          <w:p>
            <w:r>
              <w:rPr>
                <w:rFonts w:ascii="Calibri" w:hAnsi="Calibri"/>
                <w:b/>
                <w:color w:val="E8430F"/>
                <w:sz w:val="18"/>
              </w:rPr>
              <w:t>O QUE NÃO ESTÁ NO CRM, NÃO ACONTECEU</w:t>
            </w:r>
          </w:p>
          <w:p>
            <w:r>
              <w:rPr>
                <w:rFonts w:ascii="Calibri" w:hAnsi="Calibri"/>
                <w:color w:val="2E2E33"/>
                <w:sz w:val="20"/>
              </w:rPr>
              <w:t>Automatize o que beneficia o time (para querer usar) e tenha consequência para a falta de registro: menos leads para o SDR ou bloqueio de agenda para o closer fora do processo.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8C8C93"/>
        <w:sz w:val="16"/>
      </w:rPr>
      <w:t>USUAL DIGITAL   ·   Modelo de CRM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E2E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