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C360" w14:textId="77777777" w:rsidR="00012AD0" w:rsidRPr="00012AD0" w:rsidRDefault="00012AD0" w:rsidP="00F369CE">
      <w:pPr>
        <w:spacing w:after="0" w:line="240" w:lineRule="auto"/>
        <w:rPr>
          <w:rFonts w:ascii="Aptos" w:eastAsia="Times New Roman" w:hAnsi="Aptos" w:cs="Arial"/>
          <w:b/>
          <w:bCs/>
          <w:color w:val="222222"/>
          <w:kern w:val="0"/>
          <w:u w:val="single"/>
          <w:lang w:val="en-US"/>
          <w14:ligatures w14:val="none"/>
        </w:rPr>
      </w:pPr>
      <w:r w:rsidRPr="00012AD0">
        <w:rPr>
          <w:rFonts w:ascii="Aptos" w:eastAsia="Times New Roman" w:hAnsi="Aptos" w:cs="Arial"/>
          <w:b/>
          <w:bCs/>
          <w:color w:val="222222"/>
          <w:kern w:val="0"/>
          <w:u w:val="single"/>
          <w:lang w:val="en-US"/>
          <w14:ligatures w14:val="none"/>
        </w:rPr>
        <w:t xml:space="preserve">Guidelines for Literature Review </w:t>
      </w:r>
    </w:p>
    <w:p w14:paraId="0F569416" w14:textId="77777777" w:rsidR="00012AD0" w:rsidRDefault="00012AD0" w:rsidP="00F369CE">
      <w:pPr>
        <w:spacing w:after="0" w:line="240" w:lineRule="auto"/>
        <w:rPr>
          <w:rFonts w:ascii="Aptos" w:eastAsia="Times New Roman" w:hAnsi="Aptos" w:cs="Arial"/>
          <w:color w:val="222222"/>
          <w:kern w:val="0"/>
          <w:lang w:val="en-US"/>
          <w14:ligatures w14:val="none"/>
        </w:rPr>
      </w:pPr>
    </w:p>
    <w:p w14:paraId="5B181434" w14:textId="7B36EA26" w:rsidR="00F369CE" w:rsidRDefault="00F369CE" w:rsidP="00F369CE">
      <w:pPr>
        <w:spacing w:after="0" w:line="240" w:lineRule="auto"/>
        <w:rPr>
          <w:rFonts w:ascii="Aptos" w:eastAsia="Times New Roman" w:hAnsi="Aptos" w:cs="Arial"/>
          <w:color w:val="222222"/>
          <w:kern w:val="0"/>
          <w:lang w:val="en-US"/>
          <w14:ligatures w14:val="none"/>
        </w:rPr>
      </w:pPr>
      <w:r w:rsidRPr="00F369CE">
        <w:rPr>
          <w:rFonts w:ascii="Aptos" w:eastAsia="Times New Roman" w:hAnsi="Aptos" w:cs="Arial"/>
          <w:color w:val="222222"/>
          <w:kern w:val="0"/>
          <w:lang w:val="en-US"/>
          <w14:ligatures w14:val="none"/>
        </w:rPr>
        <w:t>Our project centers on the political preferences of small business owners. In linking ou</w:t>
      </w:r>
      <w:r w:rsidR="00012AD0">
        <w:rPr>
          <w:rFonts w:ascii="Aptos" w:eastAsia="Times New Roman" w:hAnsi="Aptos" w:cs="Arial"/>
          <w:color w:val="222222"/>
          <w:kern w:val="0"/>
          <w:lang w:val="en-US"/>
          <w14:ligatures w14:val="none"/>
        </w:rPr>
        <w:t xml:space="preserve">r </w:t>
      </w:r>
      <w:r w:rsidRPr="00F369CE">
        <w:rPr>
          <w:rFonts w:ascii="Aptos" w:eastAsia="Times New Roman" w:hAnsi="Aptos" w:cs="Arial"/>
          <w:color w:val="222222"/>
          <w:kern w:val="0"/>
          <w:lang w:val="en-US"/>
          <w14:ligatures w14:val="none"/>
        </w:rPr>
        <w:t xml:space="preserve">study to the </w:t>
      </w:r>
      <w:r w:rsidR="00012AD0">
        <w:rPr>
          <w:rFonts w:ascii="Aptos" w:eastAsia="Times New Roman" w:hAnsi="Aptos" w:cs="Arial"/>
          <w:color w:val="222222"/>
          <w:kern w:val="0"/>
          <w:lang w:val="en-US"/>
          <w14:ligatures w14:val="none"/>
        </w:rPr>
        <w:t xml:space="preserve">relevant </w:t>
      </w:r>
      <w:r w:rsidRPr="00F369CE">
        <w:rPr>
          <w:rFonts w:ascii="Aptos" w:eastAsia="Times New Roman" w:hAnsi="Aptos" w:cs="Arial"/>
          <w:color w:val="222222"/>
          <w:kern w:val="0"/>
          <w:lang w:val="en-US"/>
          <w14:ligatures w14:val="none"/>
        </w:rPr>
        <w:t xml:space="preserve">literature, we would want the literature review to relate our topic to three main strands of </w:t>
      </w:r>
      <w:r w:rsidR="00012AD0">
        <w:rPr>
          <w:rFonts w:ascii="Aptos" w:eastAsia="Times New Roman" w:hAnsi="Aptos" w:cs="Arial"/>
          <w:color w:val="222222"/>
          <w:kern w:val="0"/>
          <w:lang w:val="en-US"/>
          <w14:ligatures w14:val="none"/>
        </w:rPr>
        <w:t xml:space="preserve">work: </w:t>
      </w:r>
    </w:p>
    <w:p w14:paraId="4CC80000" w14:textId="77777777" w:rsidR="00F369CE" w:rsidRPr="00F369CE" w:rsidRDefault="00F369CE" w:rsidP="00F369CE">
      <w:pPr>
        <w:spacing w:after="0" w:line="240" w:lineRule="auto"/>
        <w:rPr>
          <w:rFonts w:ascii="Aptos" w:eastAsia="Times New Roman" w:hAnsi="Aptos" w:cs="Arial"/>
          <w:color w:val="222222"/>
          <w:kern w:val="0"/>
          <w:lang w:val="en-US"/>
          <w14:ligatures w14:val="none"/>
        </w:rPr>
      </w:pPr>
    </w:p>
    <w:p w14:paraId="785B0BBA" w14:textId="2E3A7A24" w:rsidR="00745F0C" w:rsidRDefault="00012AD0" w:rsidP="00745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745F0C" w:rsidRPr="00745F0C">
        <w:rPr>
          <w:lang w:val="en-US"/>
        </w:rPr>
        <w:t xml:space="preserve">iterature </w:t>
      </w:r>
      <w:r>
        <w:rPr>
          <w:lang w:val="en-US"/>
        </w:rPr>
        <w:t xml:space="preserve">that analyzes the </w:t>
      </w:r>
      <w:r w:rsidR="00745F0C" w:rsidRPr="00745F0C">
        <w:rPr>
          <w:lang w:val="en-US"/>
        </w:rPr>
        <w:t>link</w:t>
      </w:r>
      <w:r>
        <w:rPr>
          <w:lang w:val="en-US"/>
        </w:rPr>
        <w:t xml:space="preserve"> between</w:t>
      </w:r>
      <w:r w:rsidR="00745F0C" w:rsidRPr="00745F0C">
        <w:rPr>
          <w:lang w:val="en-US"/>
        </w:rPr>
        <w:t xml:space="preserve"> people’s personal experiences in the labor market </w:t>
      </w:r>
      <w:r>
        <w:rPr>
          <w:lang w:val="en-US"/>
        </w:rPr>
        <w:t>and</w:t>
      </w:r>
      <w:r w:rsidR="00745F0C" w:rsidRPr="00745F0C">
        <w:rPr>
          <w:lang w:val="en-US"/>
        </w:rPr>
        <w:t xml:space="preserve"> their political preferences. </w:t>
      </w:r>
      <w:r w:rsidR="00745F0C">
        <w:rPr>
          <w:lang w:val="en-US"/>
        </w:rPr>
        <w:t xml:space="preserve">This includes </w:t>
      </w:r>
      <w:r w:rsidR="00745F0C" w:rsidRPr="00745F0C">
        <w:rPr>
          <w:lang w:val="en-US"/>
        </w:rPr>
        <w:t xml:space="preserve">work </w:t>
      </w:r>
      <w:r w:rsidR="00745F0C">
        <w:rPr>
          <w:lang w:val="en-US"/>
        </w:rPr>
        <w:t xml:space="preserve">that </w:t>
      </w:r>
      <w:r w:rsidR="00745F0C" w:rsidRPr="00745F0C">
        <w:rPr>
          <w:lang w:val="en-US"/>
        </w:rPr>
        <w:t xml:space="preserve">has shown how employment characteristics related to workers’ job security and earning prospects </w:t>
      </w:r>
      <w:r w:rsidR="00745F0C">
        <w:rPr>
          <w:lang w:val="en-US"/>
        </w:rPr>
        <w:t xml:space="preserve">(e.g., </w:t>
      </w:r>
      <w:r w:rsidR="00745F0C" w:rsidRPr="00745F0C">
        <w:rPr>
          <w:lang w:val="en-US"/>
        </w:rPr>
        <w:t>employment risk and job loss</w:t>
      </w:r>
      <w:r w:rsidR="00745F0C">
        <w:rPr>
          <w:lang w:val="en-US"/>
        </w:rPr>
        <w:t xml:space="preserve">) </w:t>
      </w:r>
      <w:r w:rsidR="00745F0C" w:rsidRPr="00745F0C">
        <w:rPr>
          <w:lang w:val="en-US"/>
        </w:rPr>
        <w:t xml:space="preserve">help account for voters’ policy views and voting behavior. </w:t>
      </w:r>
    </w:p>
    <w:p w14:paraId="25024E6C" w14:textId="01256075" w:rsidR="00745F0C" w:rsidRPr="00012AD0" w:rsidRDefault="00745F0C" w:rsidP="00012AD0">
      <w:pPr>
        <w:pStyle w:val="ListParagraph"/>
        <w:numPr>
          <w:ilvl w:val="0"/>
          <w:numId w:val="1"/>
        </w:numPr>
        <w:rPr>
          <w:lang w:val="en-US"/>
        </w:rPr>
      </w:pPr>
      <w:r w:rsidRPr="00745F0C">
        <w:rPr>
          <w:lang w:val="en-US"/>
        </w:rPr>
        <w:t>Work that argues that the characteristics of the work environment itself</w:t>
      </w:r>
      <w:r w:rsidR="00012AD0">
        <w:rPr>
          <w:lang w:val="en-US"/>
        </w:rPr>
        <w:t xml:space="preserve">— </w:t>
      </w:r>
      <w:r w:rsidRPr="00012AD0">
        <w:rPr>
          <w:lang w:val="en-US"/>
        </w:rPr>
        <w:t xml:space="preserve">such as the degree </w:t>
      </w:r>
      <w:r w:rsidR="000A0247" w:rsidRPr="00012AD0">
        <w:rPr>
          <w:lang w:val="en-US"/>
        </w:rPr>
        <w:t xml:space="preserve">to which their work involves </w:t>
      </w:r>
      <w:r w:rsidRPr="00012AD0">
        <w:rPr>
          <w:lang w:val="en-US"/>
        </w:rPr>
        <w:t>operating under hierarchical settings and the autonomy in people’s work tasks</w:t>
      </w:r>
      <w:r w:rsidR="00012AD0">
        <w:rPr>
          <w:lang w:val="en-US"/>
        </w:rPr>
        <w:t>—</w:t>
      </w:r>
      <w:r w:rsidRPr="00012AD0">
        <w:rPr>
          <w:lang w:val="en-US"/>
        </w:rPr>
        <w:t xml:space="preserve">shape the way </w:t>
      </w:r>
      <w:r w:rsidR="00012AD0">
        <w:rPr>
          <w:lang w:val="en-US"/>
        </w:rPr>
        <w:t>people</w:t>
      </w:r>
      <w:r w:rsidRPr="00012AD0">
        <w:rPr>
          <w:lang w:val="en-US"/>
        </w:rPr>
        <w:t xml:space="preserve"> think about political matters</w:t>
      </w:r>
      <w:r w:rsidR="00012AD0">
        <w:rPr>
          <w:lang w:val="en-US"/>
        </w:rPr>
        <w:t>.</w:t>
      </w:r>
    </w:p>
    <w:p w14:paraId="3E556576" w14:textId="6F10CE5D" w:rsidR="00745F0C" w:rsidRPr="00B55A58" w:rsidRDefault="00745F0C" w:rsidP="00B55A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studying </w:t>
      </w:r>
      <w:r w:rsidR="000A0247">
        <w:rPr>
          <w:lang w:val="en-US"/>
        </w:rPr>
        <w:t>class politics</w:t>
      </w:r>
      <w:r w:rsidR="00012AD0">
        <w:rPr>
          <w:lang w:val="en-US"/>
        </w:rPr>
        <w:t xml:space="preserve">, </w:t>
      </w:r>
      <w:r w:rsidR="000A0247">
        <w:rPr>
          <w:lang w:val="en-US"/>
        </w:rPr>
        <w:t xml:space="preserve">particularly </w:t>
      </w:r>
      <w:r>
        <w:rPr>
          <w:lang w:val="en-US"/>
        </w:rPr>
        <w:t>the political orientations of business owners/ entrepreneurs/ capital owners.</w:t>
      </w:r>
      <w:r w:rsidR="00B55A58">
        <w:rPr>
          <w:rFonts w:hint="cs"/>
          <w:rtl/>
          <w:lang w:val="en-US"/>
        </w:rPr>
        <w:t xml:space="preserve">  </w:t>
      </w:r>
      <w:r w:rsidR="00012AD0">
        <w:rPr>
          <w:lang w:val="en-US"/>
        </w:rPr>
        <w:t>Most r</w:t>
      </w:r>
      <w:r w:rsidR="000A0247">
        <w:rPr>
          <w:lang w:val="en-US"/>
        </w:rPr>
        <w:t xml:space="preserve">elevant here </w:t>
      </w:r>
      <w:r w:rsidRPr="00B55A58">
        <w:rPr>
          <w:lang w:val="en-US"/>
        </w:rPr>
        <w:t xml:space="preserve">is work that studies class conflict, pitting the interests of capital owners vs. those of workers. </w:t>
      </w:r>
    </w:p>
    <w:p w14:paraId="3BD3BAB2" w14:textId="77777777" w:rsidR="00745F0C" w:rsidRDefault="00745F0C" w:rsidP="00745F0C">
      <w:pPr>
        <w:pStyle w:val="ListParagraph"/>
        <w:ind w:left="360"/>
        <w:rPr>
          <w:lang w:val="en-US"/>
        </w:rPr>
      </w:pPr>
    </w:p>
    <w:p w14:paraId="39BF96F0" w14:textId="4F65A0AF" w:rsidR="000A0247" w:rsidRPr="00F369CE" w:rsidRDefault="00F369CE" w:rsidP="00F369CE">
      <w:pPr>
        <w:rPr>
          <w:lang w:val="en-US"/>
        </w:rPr>
      </w:pPr>
      <w:r>
        <w:rPr>
          <w:lang w:val="en-US"/>
        </w:rPr>
        <w:t xml:space="preserve">The </w:t>
      </w:r>
      <w:r w:rsidR="007C5EFE">
        <w:rPr>
          <w:lang w:val="en-US"/>
        </w:rPr>
        <w:t xml:space="preserve">assignment </w:t>
      </w:r>
      <w:r>
        <w:rPr>
          <w:lang w:val="en-US"/>
        </w:rPr>
        <w:t>is to write a ~3-</w:t>
      </w:r>
      <w:proofErr w:type="gramStart"/>
      <w:r>
        <w:rPr>
          <w:lang w:val="en-US"/>
        </w:rPr>
        <w:t>4  page</w:t>
      </w:r>
      <w:proofErr w:type="gramEnd"/>
      <w:r>
        <w:rPr>
          <w:lang w:val="en-US"/>
        </w:rPr>
        <w:t xml:space="preserve"> </w:t>
      </w:r>
      <w:r w:rsidR="007C5EFE">
        <w:rPr>
          <w:lang w:val="en-US"/>
        </w:rPr>
        <w:t xml:space="preserve">essay that intelligently summarizes insights from </w:t>
      </w:r>
      <w:r>
        <w:rPr>
          <w:lang w:val="en-US"/>
        </w:rPr>
        <w:t>the</w:t>
      </w:r>
      <w:r w:rsidR="00012AD0">
        <w:rPr>
          <w:lang w:val="en-US"/>
        </w:rPr>
        <w:t>se</w:t>
      </w:r>
      <w:r>
        <w:rPr>
          <w:lang w:val="en-US"/>
        </w:rPr>
        <w:t xml:space="preserve"> literature</w:t>
      </w:r>
      <w:r w:rsidR="00012AD0">
        <w:rPr>
          <w:lang w:val="en-US"/>
        </w:rPr>
        <w:t>s</w:t>
      </w:r>
      <w:r>
        <w:rPr>
          <w:lang w:val="en-US"/>
        </w:rPr>
        <w:t xml:space="preserve"> </w:t>
      </w:r>
      <w:r w:rsidR="007C5EFE">
        <w:rPr>
          <w:lang w:val="en-US"/>
        </w:rPr>
        <w:t xml:space="preserve">that are </w:t>
      </w:r>
      <w:r w:rsidR="00012AD0">
        <w:rPr>
          <w:lang w:val="en-US"/>
        </w:rPr>
        <w:t xml:space="preserve">most </w:t>
      </w:r>
      <w:r>
        <w:rPr>
          <w:lang w:val="en-US"/>
        </w:rPr>
        <w:t>relevant to this project</w:t>
      </w:r>
      <w:r w:rsidR="00012AD0">
        <w:rPr>
          <w:lang w:val="en-US"/>
        </w:rPr>
        <w:t>. To get you going, t</w:t>
      </w:r>
      <w:r w:rsidR="007C5EFE">
        <w:rPr>
          <w:lang w:val="en-US"/>
        </w:rPr>
        <w:t xml:space="preserve">he table below </w:t>
      </w:r>
      <w:r w:rsidR="00012AD0">
        <w:rPr>
          <w:lang w:val="en-US"/>
        </w:rPr>
        <w:t xml:space="preserve">lists </w:t>
      </w:r>
      <w:r w:rsidR="000A0247" w:rsidRPr="00F369CE">
        <w:rPr>
          <w:lang w:val="en-US"/>
        </w:rPr>
        <w:t xml:space="preserve">studies </w:t>
      </w:r>
      <w:r w:rsidR="007C5EFE">
        <w:rPr>
          <w:lang w:val="en-US"/>
        </w:rPr>
        <w:t xml:space="preserve">that could be of </w:t>
      </w:r>
      <w:r w:rsidR="000A0247" w:rsidRPr="00F369CE">
        <w:rPr>
          <w:lang w:val="en-US"/>
        </w:rPr>
        <w:t xml:space="preserve">use </w:t>
      </w:r>
      <w:r w:rsidR="007C5EFE">
        <w:rPr>
          <w:lang w:val="en-US"/>
        </w:rPr>
        <w:t xml:space="preserve">in </w:t>
      </w:r>
      <w:r w:rsidR="00012AD0">
        <w:rPr>
          <w:lang w:val="en-US"/>
        </w:rPr>
        <w:t xml:space="preserve">writing </w:t>
      </w:r>
      <w:r w:rsidR="007C5EFE">
        <w:rPr>
          <w:lang w:val="en-US"/>
        </w:rPr>
        <w:t>this essay</w:t>
      </w:r>
      <w:r w:rsidR="00012AD0">
        <w:rPr>
          <w:lang w:val="en-US"/>
        </w:rPr>
        <w:t>,</w:t>
      </w:r>
      <w:r w:rsidR="007C5EFE">
        <w:rPr>
          <w:lang w:val="en-US"/>
        </w:rPr>
        <w:t xml:space="preserve"> but there may well be </w:t>
      </w:r>
      <w:r w:rsidR="000A0247" w:rsidRPr="00F369CE">
        <w:rPr>
          <w:lang w:val="en-US"/>
        </w:rPr>
        <w:t xml:space="preserve">other relevant studies not included here. </w:t>
      </w:r>
      <w:r w:rsidR="00012AD0">
        <w:rPr>
          <w:lang w:val="en-US"/>
        </w:rPr>
        <w:t>Please feel free to add them to the list.</w:t>
      </w:r>
    </w:p>
    <w:p w14:paraId="56925C1D" w14:textId="3A0E9613" w:rsidR="00107734" w:rsidRPr="00107734" w:rsidRDefault="007C5EFE" w:rsidP="007C5EFE">
      <w:pPr>
        <w:rPr>
          <w:lang w:val="en-US"/>
        </w:rPr>
      </w:pPr>
      <w:r>
        <w:rPr>
          <w:lang w:val="en-US"/>
        </w:rPr>
        <w:t>T</w:t>
      </w:r>
      <w:r w:rsidRPr="00F369CE">
        <w:rPr>
          <w:lang w:val="en-US"/>
        </w:rPr>
        <w:t xml:space="preserve">he references </w:t>
      </w:r>
      <w:r>
        <w:rPr>
          <w:lang w:val="en-US"/>
        </w:rPr>
        <w:t xml:space="preserve">in the table </w:t>
      </w:r>
      <w:r w:rsidRPr="00F369CE">
        <w:rPr>
          <w:lang w:val="en-US"/>
        </w:rPr>
        <w:t>can also be access</w:t>
      </w:r>
      <w:r>
        <w:rPr>
          <w:lang w:val="en-US"/>
        </w:rPr>
        <w:t>ed</w:t>
      </w:r>
      <w:r w:rsidRPr="00F369CE">
        <w:rPr>
          <w:lang w:val="en-US"/>
        </w:rPr>
        <w:t xml:space="preserve"> </w:t>
      </w:r>
      <w:r>
        <w:rPr>
          <w:lang w:val="en-US"/>
        </w:rPr>
        <w:t>v</w:t>
      </w:r>
      <w:r w:rsidRPr="00F369CE">
        <w:rPr>
          <w:lang w:val="en-US"/>
        </w:rPr>
        <w:t>ia the research rabbit link below</w:t>
      </w:r>
      <w:r>
        <w:rPr>
          <w:lang w:val="en-US"/>
        </w:rPr>
        <w:t>:</w:t>
      </w:r>
      <w:r w:rsidR="000A0247" w:rsidRPr="00F369CE">
        <w:rPr>
          <w:lang w:val="en-US"/>
        </w:rPr>
        <w:t xml:space="preserve"> </w:t>
      </w:r>
      <w:proofErr w:type="gramStart"/>
      <w:r w:rsidR="00107734" w:rsidRPr="00107734">
        <w:rPr>
          <w:lang w:val="en-US"/>
        </w:rPr>
        <w:t>https://www.researchrabbitapp.com/collection/public/0LJ1KE8Y6W</w:t>
      </w:r>
      <w:proofErr w:type="gramEnd"/>
    </w:p>
    <w:p w14:paraId="782D02FA" w14:textId="77777777" w:rsidR="00107734" w:rsidRDefault="00107734" w:rsidP="000A0247">
      <w:pPr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  <w14:ligatures w14:val="none"/>
        </w:rPr>
      </w:pPr>
    </w:p>
    <w:p w14:paraId="6A151E17" w14:textId="77777777" w:rsidR="000A0247" w:rsidRDefault="000A0247" w:rsidP="000A0247">
      <w:pPr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  <w14:ligatures w14:val="none"/>
        </w:rPr>
      </w:pPr>
    </w:p>
    <w:p w14:paraId="72F40F6B" w14:textId="77777777" w:rsidR="00B55A58" w:rsidRPr="000A0247" w:rsidRDefault="00B55A58" w:rsidP="000A0247">
      <w:pPr>
        <w:spacing w:after="0" w:line="240" w:lineRule="auto"/>
        <w:rPr>
          <w:rFonts w:ascii="Arial" w:eastAsia="Times New Roman" w:hAnsi="Arial" w:cs="Arial"/>
          <w:color w:val="222222"/>
          <w:kern w:val="0"/>
          <w:rtl/>
          <w:lang w:val="en-US"/>
          <w14:ligatures w14:val="none"/>
        </w:rPr>
      </w:pPr>
    </w:p>
    <w:p w14:paraId="53866DFB" w14:textId="77777777" w:rsidR="00B55A58" w:rsidRDefault="00B55A58" w:rsidP="00B55A58">
      <w:pPr>
        <w:sectPr w:rsidR="00B55A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3808"/>
        <w:gridCol w:w="2262"/>
        <w:gridCol w:w="9"/>
        <w:gridCol w:w="1057"/>
        <w:gridCol w:w="9"/>
      </w:tblGrid>
      <w:tr w:rsidR="00B55A58" w:rsidRPr="00B55A58" w14:paraId="5AD28C90" w14:textId="77777777" w:rsidTr="00B55A58">
        <w:trPr>
          <w:gridAfter w:val="1"/>
          <w:wAfter w:w="9" w:type="dxa"/>
          <w:trHeight w:val="286"/>
        </w:trPr>
        <w:tc>
          <w:tcPr>
            <w:tcW w:w="5305" w:type="dxa"/>
            <w:noWrap/>
            <w:hideMark/>
          </w:tcPr>
          <w:p w14:paraId="16B9A756" w14:textId="77777777" w:rsidR="00B55A58" w:rsidRPr="00B55A58" w:rsidRDefault="00B55A58" w:rsidP="00B55A58">
            <w:r w:rsidRPr="00B55A58">
              <w:lastRenderedPageBreak/>
              <w:t>Title</w:t>
            </w:r>
          </w:p>
        </w:tc>
        <w:tc>
          <w:tcPr>
            <w:tcW w:w="3808" w:type="dxa"/>
            <w:noWrap/>
            <w:hideMark/>
          </w:tcPr>
          <w:p w14:paraId="6B553EF1" w14:textId="77777777" w:rsidR="00B55A58" w:rsidRPr="00B55A58" w:rsidRDefault="00B55A58" w:rsidP="00B55A58">
            <w:r w:rsidRPr="00B55A58">
              <w:t>Authors</w:t>
            </w:r>
          </w:p>
        </w:tc>
        <w:tc>
          <w:tcPr>
            <w:tcW w:w="2262" w:type="dxa"/>
            <w:noWrap/>
            <w:hideMark/>
          </w:tcPr>
          <w:p w14:paraId="405CA64D" w14:textId="77777777" w:rsidR="00B55A58" w:rsidRPr="00B55A58" w:rsidRDefault="00B55A58" w:rsidP="00B55A58">
            <w:r w:rsidRPr="00B55A58">
              <w:t>Journal</w:t>
            </w:r>
          </w:p>
        </w:tc>
        <w:tc>
          <w:tcPr>
            <w:tcW w:w="1066" w:type="dxa"/>
            <w:gridSpan w:val="2"/>
            <w:noWrap/>
            <w:hideMark/>
          </w:tcPr>
          <w:p w14:paraId="3D64B077" w14:textId="77777777" w:rsidR="00B55A58" w:rsidRPr="00B55A58" w:rsidRDefault="00B55A58" w:rsidP="00B55A58">
            <w:r w:rsidRPr="00B55A58">
              <w:t>Year</w:t>
            </w:r>
          </w:p>
        </w:tc>
      </w:tr>
      <w:tr w:rsidR="00B55A58" w:rsidRPr="00B55A58" w14:paraId="74BBE2C6" w14:textId="77777777" w:rsidTr="00B55A58">
        <w:trPr>
          <w:gridAfter w:val="1"/>
          <w:wAfter w:w="9" w:type="dxa"/>
          <w:trHeight w:val="286"/>
        </w:trPr>
        <w:tc>
          <w:tcPr>
            <w:tcW w:w="5305" w:type="dxa"/>
            <w:noWrap/>
            <w:hideMark/>
          </w:tcPr>
          <w:p w14:paraId="5A674727" w14:textId="77777777" w:rsidR="00B55A58" w:rsidRPr="00B55A58" w:rsidRDefault="00B55A58" w:rsidP="00B55A58">
            <w:r w:rsidRPr="00B55A58">
              <w:t>Political Responses to Economic Shocks</w:t>
            </w:r>
          </w:p>
        </w:tc>
        <w:tc>
          <w:tcPr>
            <w:tcW w:w="3808" w:type="dxa"/>
            <w:noWrap/>
            <w:hideMark/>
          </w:tcPr>
          <w:p w14:paraId="47219103" w14:textId="77777777" w:rsidR="00B55A58" w:rsidRPr="00B55A58" w:rsidRDefault="00B55A58" w:rsidP="00B55A58">
            <w:r w:rsidRPr="00B55A58">
              <w:t>Yotam Margalit,Yotam Margalit</w:t>
            </w:r>
          </w:p>
        </w:tc>
        <w:tc>
          <w:tcPr>
            <w:tcW w:w="2262" w:type="dxa"/>
            <w:noWrap/>
            <w:hideMark/>
          </w:tcPr>
          <w:p w14:paraId="6DC504DE" w14:textId="77777777" w:rsidR="00B55A58" w:rsidRPr="00B55A58" w:rsidRDefault="00B55A58" w:rsidP="00B55A58">
            <w:r w:rsidRPr="00B55A58">
              <w:t>Annual Review of Political Science</w:t>
            </w:r>
          </w:p>
        </w:tc>
        <w:tc>
          <w:tcPr>
            <w:tcW w:w="1066" w:type="dxa"/>
            <w:gridSpan w:val="2"/>
            <w:noWrap/>
            <w:hideMark/>
          </w:tcPr>
          <w:p w14:paraId="3A589E40" w14:textId="77777777" w:rsidR="00B55A58" w:rsidRPr="00B55A58" w:rsidRDefault="00B55A58" w:rsidP="00B55A58">
            <w:r w:rsidRPr="00B55A58">
              <w:t>2019</w:t>
            </w:r>
          </w:p>
        </w:tc>
      </w:tr>
      <w:tr w:rsidR="00B55A58" w:rsidRPr="00B55A58" w14:paraId="7E293AD1" w14:textId="77777777" w:rsidTr="00B55A58">
        <w:trPr>
          <w:trHeight w:val="286"/>
        </w:trPr>
        <w:tc>
          <w:tcPr>
            <w:tcW w:w="5305" w:type="dxa"/>
            <w:noWrap/>
            <w:hideMark/>
          </w:tcPr>
          <w:p w14:paraId="66F7CADA" w14:textId="77777777" w:rsidR="00B55A58" w:rsidRPr="00B55A58" w:rsidRDefault="00B55A58" w:rsidP="00B55A58">
            <w:r w:rsidRPr="00B55A58">
              <w:t>New social risk and political preferences</w:t>
            </w:r>
          </w:p>
        </w:tc>
        <w:tc>
          <w:tcPr>
            <w:tcW w:w="6079" w:type="dxa"/>
            <w:gridSpan w:val="3"/>
            <w:noWrap/>
            <w:hideMark/>
          </w:tcPr>
          <w:p w14:paraId="4B2DF006" w14:textId="77777777" w:rsidR="00B55A58" w:rsidRPr="00B55A58" w:rsidRDefault="00B55A58" w:rsidP="00B55A58">
            <w:r w:rsidRPr="00B55A58">
              <w:t>Herbert Kitschelt,Herbert Kitschelt,Philipp Rehm,Philipp Rehm</w:t>
            </w:r>
          </w:p>
        </w:tc>
        <w:tc>
          <w:tcPr>
            <w:tcW w:w="1066" w:type="dxa"/>
            <w:gridSpan w:val="2"/>
            <w:noWrap/>
            <w:hideMark/>
          </w:tcPr>
          <w:p w14:paraId="3C5E066C" w14:textId="77777777" w:rsidR="00B55A58" w:rsidRPr="00B55A58" w:rsidRDefault="00B55A58" w:rsidP="00B55A58">
            <w:r w:rsidRPr="00B55A58">
              <w:t>2007</w:t>
            </w:r>
          </w:p>
        </w:tc>
      </w:tr>
      <w:tr w:rsidR="00B55A58" w:rsidRPr="00B55A58" w14:paraId="53D8F6FE" w14:textId="77777777" w:rsidTr="00B55A58">
        <w:trPr>
          <w:gridAfter w:val="1"/>
          <w:wAfter w:w="9" w:type="dxa"/>
          <w:trHeight w:val="286"/>
        </w:trPr>
        <w:tc>
          <w:tcPr>
            <w:tcW w:w="5305" w:type="dxa"/>
            <w:noWrap/>
            <w:hideMark/>
          </w:tcPr>
          <w:p w14:paraId="0EC25F1C" w14:textId="77777777" w:rsidR="00B55A58" w:rsidRPr="00B55A58" w:rsidRDefault="00B55A58" w:rsidP="00B55A58">
            <w:r w:rsidRPr="00B55A58">
              <w:t>Occupations as a Site of Political Preference Formation</w:t>
            </w:r>
          </w:p>
        </w:tc>
        <w:tc>
          <w:tcPr>
            <w:tcW w:w="3808" w:type="dxa"/>
            <w:noWrap/>
            <w:hideMark/>
          </w:tcPr>
          <w:p w14:paraId="51C78053" w14:textId="77777777" w:rsidR="00B55A58" w:rsidRPr="00B55A58" w:rsidRDefault="00B55A58" w:rsidP="00B55A58">
            <w:r w:rsidRPr="00B55A58">
              <w:t>Herbert Kitschelt,Herbert Kitschelt,Philipp Rehm,Philipp Rehm</w:t>
            </w:r>
          </w:p>
        </w:tc>
        <w:tc>
          <w:tcPr>
            <w:tcW w:w="2262" w:type="dxa"/>
            <w:noWrap/>
            <w:hideMark/>
          </w:tcPr>
          <w:p w14:paraId="6D92D11B" w14:textId="77777777" w:rsidR="00B55A58" w:rsidRPr="00B55A58" w:rsidRDefault="00B55A58" w:rsidP="00B55A58">
            <w:r w:rsidRPr="00B55A58">
              <w:t>Comparative Political Studies</w:t>
            </w:r>
          </w:p>
        </w:tc>
        <w:tc>
          <w:tcPr>
            <w:tcW w:w="1066" w:type="dxa"/>
            <w:gridSpan w:val="2"/>
            <w:noWrap/>
            <w:hideMark/>
          </w:tcPr>
          <w:p w14:paraId="346CFAA9" w14:textId="77777777" w:rsidR="00B55A58" w:rsidRPr="00B55A58" w:rsidRDefault="00B55A58" w:rsidP="00B55A58">
            <w:r w:rsidRPr="00B55A58">
              <w:t>2014</w:t>
            </w:r>
          </w:p>
        </w:tc>
      </w:tr>
      <w:tr w:rsidR="00B55A58" w:rsidRPr="00B55A58" w14:paraId="73878FD7" w14:textId="77777777" w:rsidTr="00B55A58">
        <w:trPr>
          <w:gridAfter w:val="1"/>
          <w:wAfter w:w="9" w:type="dxa"/>
          <w:trHeight w:val="286"/>
        </w:trPr>
        <w:tc>
          <w:tcPr>
            <w:tcW w:w="5305" w:type="dxa"/>
            <w:noWrap/>
            <w:hideMark/>
          </w:tcPr>
          <w:p w14:paraId="458840B2" w14:textId="77777777" w:rsidR="00B55A58" w:rsidRPr="00B55A58" w:rsidRDefault="00B55A58" w:rsidP="00B55A58">
            <w:r w:rsidRPr="00B55A58">
              <w:t>Polarity Reversal: The Socioeconomic Reconfiguration of Partisan Support in Knowledge Societies</w:t>
            </w:r>
          </w:p>
        </w:tc>
        <w:tc>
          <w:tcPr>
            <w:tcW w:w="3808" w:type="dxa"/>
            <w:noWrap/>
            <w:hideMark/>
          </w:tcPr>
          <w:p w14:paraId="1726BF03" w14:textId="77777777" w:rsidR="00B55A58" w:rsidRPr="00B55A58" w:rsidRDefault="00B55A58" w:rsidP="00B55A58">
            <w:r w:rsidRPr="00B55A58">
              <w:t>Herbert P. Kitschelt,Herbert P. Kitschelt,Philipp Rehm,Philipp Rehm</w:t>
            </w:r>
          </w:p>
        </w:tc>
        <w:tc>
          <w:tcPr>
            <w:tcW w:w="2262" w:type="dxa"/>
            <w:noWrap/>
            <w:hideMark/>
          </w:tcPr>
          <w:p w14:paraId="447AA178" w14:textId="77777777" w:rsidR="00B55A58" w:rsidRPr="00B55A58" w:rsidRDefault="00B55A58" w:rsidP="00B55A58">
            <w:r w:rsidRPr="00B55A58">
              <w:t>Politics &amp; Society</w:t>
            </w:r>
          </w:p>
        </w:tc>
        <w:tc>
          <w:tcPr>
            <w:tcW w:w="1066" w:type="dxa"/>
            <w:gridSpan w:val="2"/>
            <w:noWrap/>
            <w:hideMark/>
          </w:tcPr>
          <w:p w14:paraId="2F914818" w14:textId="77777777" w:rsidR="00B55A58" w:rsidRPr="00B55A58" w:rsidRDefault="00B55A58" w:rsidP="00B55A58">
            <w:r w:rsidRPr="00B55A58">
              <w:t>2022</w:t>
            </w:r>
          </w:p>
        </w:tc>
      </w:tr>
      <w:tr w:rsidR="00B55A58" w:rsidRPr="00B55A58" w14:paraId="55C5FFF9" w14:textId="77777777" w:rsidTr="00B55A58">
        <w:trPr>
          <w:gridAfter w:val="1"/>
          <w:wAfter w:w="9" w:type="dxa"/>
          <w:trHeight w:val="286"/>
        </w:trPr>
        <w:tc>
          <w:tcPr>
            <w:tcW w:w="5305" w:type="dxa"/>
            <w:noWrap/>
            <w:hideMark/>
          </w:tcPr>
          <w:p w14:paraId="32A6241E" w14:textId="77777777" w:rsidR="00B55A58" w:rsidRPr="00B55A58" w:rsidRDefault="00B55A58" w:rsidP="00B55A58">
            <w:r w:rsidRPr="00B55A58">
              <w:t>Electoral competition in Europe's new tripolar political space: Class voting for the left, centre-right and radical right</w:t>
            </w:r>
          </w:p>
        </w:tc>
        <w:tc>
          <w:tcPr>
            <w:tcW w:w="3808" w:type="dxa"/>
            <w:noWrap/>
            <w:hideMark/>
          </w:tcPr>
          <w:p w14:paraId="2AC453DD" w14:textId="77777777" w:rsidR="00B55A58" w:rsidRPr="00B55A58" w:rsidRDefault="00B55A58" w:rsidP="00B55A58">
            <w:r w:rsidRPr="00B55A58">
              <w:t>Daniel Oesch,Daniel Oesch,Line Rennwald,Line Rennwald</w:t>
            </w:r>
          </w:p>
        </w:tc>
        <w:tc>
          <w:tcPr>
            <w:tcW w:w="2262" w:type="dxa"/>
            <w:noWrap/>
            <w:hideMark/>
          </w:tcPr>
          <w:p w14:paraId="48D20B45" w14:textId="77777777" w:rsidR="00B55A58" w:rsidRPr="00B55A58" w:rsidRDefault="00B55A58" w:rsidP="00B55A58">
            <w:r w:rsidRPr="00B55A58">
              <w:t>European Journal of Political Research</w:t>
            </w:r>
          </w:p>
        </w:tc>
        <w:tc>
          <w:tcPr>
            <w:tcW w:w="1066" w:type="dxa"/>
            <w:gridSpan w:val="2"/>
            <w:noWrap/>
            <w:hideMark/>
          </w:tcPr>
          <w:p w14:paraId="3D072292" w14:textId="77777777" w:rsidR="00B55A58" w:rsidRPr="00B55A58" w:rsidRDefault="00B55A58" w:rsidP="00B55A58">
            <w:r w:rsidRPr="00B55A58">
              <w:t>2018</w:t>
            </w:r>
          </w:p>
        </w:tc>
      </w:tr>
      <w:tr w:rsidR="00B55A58" w:rsidRPr="00B55A58" w14:paraId="278D9A69" w14:textId="77777777" w:rsidTr="00B55A58">
        <w:trPr>
          <w:gridAfter w:val="1"/>
          <w:wAfter w:w="9" w:type="dxa"/>
          <w:trHeight w:val="286"/>
        </w:trPr>
        <w:tc>
          <w:tcPr>
            <w:tcW w:w="5305" w:type="dxa"/>
            <w:noWrap/>
            <w:hideMark/>
          </w:tcPr>
          <w:p w14:paraId="27F9D17E" w14:textId="77777777" w:rsidR="00B55A58" w:rsidRPr="00B55A58" w:rsidRDefault="00B55A58" w:rsidP="00B55A58">
            <w:r w:rsidRPr="00B55A58">
              <w:t>Risks at Work: The Demand and Supply Sides of Government Redistribution</w:t>
            </w:r>
          </w:p>
        </w:tc>
        <w:tc>
          <w:tcPr>
            <w:tcW w:w="3808" w:type="dxa"/>
            <w:noWrap/>
            <w:hideMark/>
          </w:tcPr>
          <w:p w14:paraId="35E6A70A" w14:textId="77777777" w:rsidR="00B55A58" w:rsidRPr="00B55A58" w:rsidRDefault="00B55A58" w:rsidP="00B55A58">
            <w:r w:rsidRPr="00B55A58">
              <w:t>Thomas R. Cusack,Thomas R. Cusack,Torben Iversen,Torben Iversen,Philipp Rehm,Philipp Rehm</w:t>
            </w:r>
          </w:p>
        </w:tc>
        <w:tc>
          <w:tcPr>
            <w:tcW w:w="2262" w:type="dxa"/>
            <w:noWrap/>
            <w:hideMark/>
          </w:tcPr>
          <w:p w14:paraId="6CA3036C" w14:textId="77777777" w:rsidR="00B55A58" w:rsidRPr="00B55A58" w:rsidRDefault="00B55A58" w:rsidP="00B55A58">
            <w:r w:rsidRPr="00B55A58">
              <w:t>Oxford Review of Economic Policy</w:t>
            </w:r>
          </w:p>
        </w:tc>
        <w:tc>
          <w:tcPr>
            <w:tcW w:w="1066" w:type="dxa"/>
            <w:gridSpan w:val="2"/>
            <w:noWrap/>
            <w:hideMark/>
          </w:tcPr>
          <w:p w14:paraId="44C72971" w14:textId="77777777" w:rsidR="00B55A58" w:rsidRPr="00B55A58" w:rsidRDefault="00B55A58" w:rsidP="00B55A58">
            <w:r w:rsidRPr="00B55A58">
              <w:t>2006</w:t>
            </w:r>
          </w:p>
        </w:tc>
      </w:tr>
      <w:tr w:rsidR="00B55A58" w:rsidRPr="00B55A58" w14:paraId="029BD74E" w14:textId="77777777" w:rsidTr="00B55A58">
        <w:trPr>
          <w:gridAfter w:val="1"/>
          <w:wAfter w:w="9" w:type="dxa"/>
          <w:trHeight w:val="286"/>
        </w:trPr>
        <w:tc>
          <w:tcPr>
            <w:tcW w:w="5305" w:type="dxa"/>
            <w:noWrap/>
            <w:hideMark/>
          </w:tcPr>
          <w:p w14:paraId="7E69771F" w14:textId="77777777" w:rsidR="00B55A58" w:rsidRPr="00B55A58" w:rsidRDefault="00B55A58" w:rsidP="00B55A58">
            <w:r w:rsidRPr="00B55A58">
              <w:t>Brahmin Left Versus Merchant Right: Changing Political Cleavages in 21 Western Democracies, 1948-2020</w:t>
            </w:r>
          </w:p>
        </w:tc>
        <w:tc>
          <w:tcPr>
            <w:tcW w:w="3808" w:type="dxa"/>
            <w:noWrap/>
            <w:hideMark/>
          </w:tcPr>
          <w:p w14:paraId="2F0BDD52" w14:textId="77777777" w:rsidR="00B55A58" w:rsidRPr="00B55A58" w:rsidRDefault="00B55A58" w:rsidP="00B55A58">
            <w:r w:rsidRPr="00B55A58">
              <w:t>Amory Gethin,Amory Gethin,Clara MartÃ</w:t>
            </w:r>
            <w:r w:rsidRPr="00B55A58">
              <w:softHyphen/>
              <w:t>nez-Toledano,Clara MartÃ</w:t>
            </w:r>
            <w:r w:rsidRPr="00B55A58">
              <w:softHyphen/>
              <w:t>nez-Toledano,Thomas Piketty,Thomas Piketty</w:t>
            </w:r>
          </w:p>
        </w:tc>
        <w:tc>
          <w:tcPr>
            <w:tcW w:w="2262" w:type="dxa"/>
            <w:noWrap/>
            <w:hideMark/>
          </w:tcPr>
          <w:p w14:paraId="75364C68" w14:textId="77777777" w:rsidR="00B55A58" w:rsidRPr="00B55A58" w:rsidRDefault="00B55A58" w:rsidP="00B55A58">
            <w:r w:rsidRPr="00B55A58">
              <w:t>Quarterly Journal of Economics</w:t>
            </w:r>
          </w:p>
        </w:tc>
        <w:tc>
          <w:tcPr>
            <w:tcW w:w="1066" w:type="dxa"/>
            <w:gridSpan w:val="2"/>
            <w:noWrap/>
            <w:hideMark/>
          </w:tcPr>
          <w:p w14:paraId="3F1E25C5" w14:textId="77777777" w:rsidR="00B55A58" w:rsidRPr="00B55A58" w:rsidRDefault="00B55A58" w:rsidP="00B55A58">
            <w:r w:rsidRPr="00B55A58">
              <w:t>2021</w:t>
            </w:r>
          </w:p>
        </w:tc>
      </w:tr>
      <w:tr w:rsidR="00B55A58" w:rsidRPr="00B55A58" w14:paraId="06894D44" w14:textId="77777777" w:rsidTr="00B55A58">
        <w:trPr>
          <w:gridAfter w:val="1"/>
          <w:wAfter w:w="9" w:type="dxa"/>
          <w:trHeight w:val="286"/>
        </w:trPr>
        <w:tc>
          <w:tcPr>
            <w:tcW w:w="5305" w:type="dxa"/>
            <w:noWrap/>
            <w:hideMark/>
          </w:tcPr>
          <w:p w14:paraId="2F9F6B8E" w14:textId="77777777" w:rsidR="00B55A58" w:rsidRPr="00B55A58" w:rsidRDefault="00B55A58" w:rsidP="00B55A58">
            <w:r w:rsidRPr="00B55A58">
              <w:t>Explaining Social Policy Preferences: Evidence from the Great Recession</w:t>
            </w:r>
          </w:p>
        </w:tc>
        <w:tc>
          <w:tcPr>
            <w:tcW w:w="3808" w:type="dxa"/>
            <w:noWrap/>
            <w:hideMark/>
          </w:tcPr>
          <w:p w14:paraId="11EE047A" w14:textId="77777777" w:rsidR="00B55A58" w:rsidRPr="00B55A58" w:rsidRDefault="00B55A58" w:rsidP="00B55A58">
            <w:r w:rsidRPr="00B55A58">
              <w:t>Yotam Margalit</w:t>
            </w:r>
          </w:p>
        </w:tc>
        <w:tc>
          <w:tcPr>
            <w:tcW w:w="2262" w:type="dxa"/>
            <w:noWrap/>
            <w:hideMark/>
          </w:tcPr>
          <w:p w14:paraId="732E7749" w14:textId="77777777" w:rsidR="00B55A58" w:rsidRPr="00B55A58" w:rsidRDefault="00B55A58" w:rsidP="00B55A58">
            <w:r w:rsidRPr="00B55A58">
              <w:t>American Political Science Review</w:t>
            </w:r>
          </w:p>
        </w:tc>
        <w:tc>
          <w:tcPr>
            <w:tcW w:w="1066" w:type="dxa"/>
            <w:gridSpan w:val="2"/>
            <w:noWrap/>
            <w:hideMark/>
          </w:tcPr>
          <w:p w14:paraId="58A329D9" w14:textId="77777777" w:rsidR="00B55A58" w:rsidRPr="00B55A58" w:rsidRDefault="00B55A58" w:rsidP="00B55A58">
            <w:r w:rsidRPr="00B55A58">
              <w:t>2013</w:t>
            </w:r>
          </w:p>
        </w:tc>
      </w:tr>
      <w:tr w:rsidR="00B55A58" w:rsidRPr="00B55A58" w14:paraId="6C8A7159" w14:textId="77777777" w:rsidTr="00B55A58">
        <w:trPr>
          <w:trHeight w:val="286"/>
        </w:trPr>
        <w:tc>
          <w:tcPr>
            <w:tcW w:w="5305" w:type="dxa"/>
            <w:noWrap/>
            <w:hideMark/>
          </w:tcPr>
          <w:p w14:paraId="5C65DE9A" w14:textId="77777777" w:rsidR="00B55A58" w:rsidRPr="00B55A58" w:rsidRDefault="00B55A58" w:rsidP="00B55A58">
            <w:r w:rsidRPr="00B55A58">
              <w:t>THE CHANGING SHAPE OF CLASS VOTING An individual-level analysis of party support in Britain , Germany and Switzerland</w:t>
            </w:r>
          </w:p>
        </w:tc>
        <w:tc>
          <w:tcPr>
            <w:tcW w:w="6079" w:type="dxa"/>
            <w:gridSpan w:val="3"/>
            <w:noWrap/>
            <w:hideMark/>
          </w:tcPr>
          <w:p w14:paraId="4B199CED" w14:textId="77777777" w:rsidR="00B55A58" w:rsidRPr="00B55A58" w:rsidRDefault="00B55A58" w:rsidP="00B55A58">
            <w:r w:rsidRPr="00B55A58">
              <w:t>Daniel Oesch</w:t>
            </w:r>
          </w:p>
        </w:tc>
        <w:tc>
          <w:tcPr>
            <w:tcW w:w="1066" w:type="dxa"/>
            <w:gridSpan w:val="2"/>
            <w:noWrap/>
            <w:hideMark/>
          </w:tcPr>
          <w:p w14:paraId="30A607EA" w14:textId="77777777" w:rsidR="00B55A58" w:rsidRPr="00B55A58" w:rsidRDefault="00B55A58" w:rsidP="00B55A58">
            <w:r w:rsidRPr="00B55A58">
              <w:t>2017</w:t>
            </w:r>
          </w:p>
        </w:tc>
      </w:tr>
      <w:tr w:rsidR="00B55A58" w:rsidRPr="00B55A58" w14:paraId="49355CEB" w14:textId="77777777" w:rsidTr="00B55A58">
        <w:trPr>
          <w:gridAfter w:val="1"/>
          <w:wAfter w:w="9" w:type="dxa"/>
          <w:trHeight w:val="286"/>
        </w:trPr>
        <w:tc>
          <w:tcPr>
            <w:tcW w:w="5305" w:type="dxa"/>
            <w:noWrap/>
            <w:hideMark/>
          </w:tcPr>
          <w:p w14:paraId="162B5F44" w14:textId="77777777" w:rsidR="00B55A58" w:rsidRPr="00B55A58" w:rsidRDefault="00B55A58" w:rsidP="00B55A58">
            <w:r w:rsidRPr="00B55A58">
              <w:t>Insiderâ€“Outsider Politics in Industrialized Democracies: The Challenge to Social Democratic Parties</w:t>
            </w:r>
          </w:p>
        </w:tc>
        <w:tc>
          <w:tcPr>
            <w:tcW w:w="3808" w:type="dxa"/>
            <w:noWrap/>
            <w:hideMark/>
          </w:tcPr>
          <w:p w14:paraId="18F277F7" w14:textId="77777777" w:rsidR="00B55A58" w:rsidRPr="00B55A58" w:rsidRDefault="00B55A58" w:rsidP="00B55A58">
            <w:r w:rsidRPr="00B55A58">
              <w:t>David Rueda,David Rueda</w:t>
            </w:r>
          </w:p>
        </w:tc>
        <w:tc>
          <w:tcPr>
            <w:tcW w:w="2262" w:type="dxa"/>
            <w:noWrap/>
            <w:hideMark/>
          </w:tcPr>
          <w:p w14:paraId="28F1046A" w14:textId="77777777" w:rsidR="00B55A58" w:rsidRPr="00B55A58" w:rsidRDefault="00B55A58" w:rsidP="00B55A58">
            <w:r w:rsidRPr="00B55A58">
              <w:t>American Political Science Review</w:t>
            </w:r>
          </w:p>
        </w:tc>
        <w:tc>
          <w:tcPr>
            <w:tcW w:w="1066" w:type="dxa"/>
            <w:gridSpan w:val="2"/>
            <w:noWrap/>
            <w:hideMark/>
          </w:tcPr>
          <w:p w14:paraId="41432D80" w14:textId="77777777" w:rsidR="00B55A58" w:rsidRPr="00B55A58" w:rsidRDefault="00B55A58" w:rsidP="00B55A58">
            <w:r w:rsidRPr="00B55A58">
              <w:t>2005</w:t>
            </w:r>
          </w:p>
        </w:tc>
      </w:tr>
      <w:tr w:rsidR="00B55A58" w:rsidRPr="00B55A58" w14:paraId="67D38B11" w14:textId="77777777" w:rsidTr="00B55A58">
        <w:trPr>
          <w:gridAfter w:val="1"/>
          <w:wAfter w:w="9" w:type="dxa"/>
          <w:trHeight w:val="286"/>
        </w:trPr>
        <w:tc>
          <w:tcPr>
            <w:tcW w:w="5305" w:type="dxa"/>
            <w:noWrap/>
            <w:hideMark/>
          </w:tcPr>
          <w:p w14:paraId="1F3A7FE9" w14:textId="77777777" w:rsidR="00B55A58" w:rsidRPr="00B55A58" w:rsidRDefault="00B55A58" w:rsidP="00B55A58">
            <w:r w:rsidRPr="00B55A58">
              <w:lastRenderedPageBreak/>
              <w:t>Class and ideological orientations revisited: an exploration of classâ€</w:t>
            </w:r>
            <w:r w:rsidRPr="00B55A58">
              <w:rPr>
                <w:rFonts w:ascii="Aptos" w:hAnsi="Aptos" w:cs="Aptos"/>
              </w:rPr>
              <w:t></w:t>
            </w:r>
            <w:r w:rsidRPr="00B55A58">
              <w:t>based mechanisms</w:t>
            </w:r>
          </w:p>
        </w:tc>
        <w:tc>
          <w:tcPr>
            <w:tcW w:w="3808" w:type="dxa"/>
            <w:noWrap/>
            <w:hideMark/>
          </w:tcPr>
          <w:p w14:paraId="2249CDA3" w14:textId="77777777" w:rsidR="00B55A58" w:rsidRPr="00B55A58" w:rsidRDefault="00B55A58" w:rsidP="00B55A58">
            <w:r w:rsidRPr="00B55A58">
              <w:t>Mattias Bengtsson,Mattias Bengtsson,Tomas Berglund,Tomas Berglund,Maria Oskarson,Maria Oskarson</w:t>
            </w:r>
          </w:p>
        </w:tc>
        <w:tc>
          <w:tcPr>
            <w:tcW w:w="2262" w:type="dxa"/>
            <w:noWrap/>
            <w:hideMark/>
          </w:tcPr>
          <w:p w14:paraId="04629E57" w14:textId="77777777" w:rsidR="00B55A58" w:rsidRPr="00B55A58" w:rsidRDefault="00B55A58" w:rsidP="00B55A58">
            <w:r w:rsidRPr="00B55A58">
              <w:t>British Journal of Sociology</w:t>
            </w:r>
          </w:p>
        </w:tc>
        <w:tc>
          <w:tcPr>
            <w:tcW w:w="1066" w:type="dxa"/>
            <w:gridSpan w:val="2"/>
            <w:noWrap/>
            <w:hideMark/>
          </w:tcPr>
          <w:p w14:paraId="566124F4" w14:textId="77777777" w:rsidR="00B55A58" w:rsidRPr="00B55A58" w:rsidRDefault="00B55A58" w:rsidP="00B55A58">
            <w:r w:rsidRPr="00B55A58">
              <w:t>2013</w:t>
            </w:r>
          </w:p>
        </w:tc>
      </w:tr>
      <w:tr w:rsidR="00B55A58" w:rsidRPr="00B55A58" w14:paraId="02C04929" w14:textId="77777777" w:rsidTr="00B55A58">
        <w:trPr>
          <w:gridAfter w:val="1"/>
          <w:wAfter w:w="9" w:type="dxa"/>
          <w:trHeight w:val="286"/>
        </w:trPr>
        <w:tc>
          <w:tcPr>
            <w:tcW w:w="5305" w:type="dxa"/>
            <w:noWrap/>
            <w:hideMark/>
          </w:tcPr>
          <w:p w14:paraId="398AF0A1" w14:textId="77777777" w:rsidR="00B55A58" w:rsidRPr="00B55A58" w:rsidRDefault="00B55A58" w:rsidP="00B55A58">
            <w:r w:rsidRPr="00B55A58">
              <w:t>An Asset Theory of Social Policy Preferences</w:t>
            </w:r>
          </w:p>
        </w:tc>
        <w:tc>
          <w:tcPr>
            <w:tcW w:w="3808" w:type="dxa"/>
            <w:noWrap/>
            <w:hideMark/>
          </w:tcPr>
          <w:p w14:paraId="223E2815" w14:textId="77777777" w:rsidR="00B55A58" w:rsidRPr="00B55A58" w:rsidRDefault="00B55A58" w:rsidP="00B55A58">
            <w:r w:rsidRPr="00B55A58">
              <w:t>Torben Iversen,Torben Iversen,David Soskice,David Soskice</w:t>
            </w:r>
          </w:p>
        </w:tc>
        <w:tc>
          <w:tcPr>
            <w:tcW w:w="2262" w:type="dxa"/>
            <w:noWrap/>
            <w:hideMark/>
          </w:tcPr>
          <w:p w14:paraId="45946E11" w14:textId="77777777" w:rsidR="00B55A58" w:rsidRPr="00B55A58" w:rsidRDefault="00B55A58" w:rsidP="00B55A58">
            <w:r w:rsidRPr="00B55A58">
              <w:t>American Political Science Review</w:t>
            </w:r>
          </w:p>
        </w:tc>
        <w:tc>
          <w:tcPr>
            <w:tcW w:w="1066" w:type="dxa"/>
            <w:gridSpan w:val="2"/>
            <w:noWrap/>
            <w:hideMark/>
          </w:tcPr>
          <w:p w14:paraId="6A4F641B" w14:textId="77777777" w:rsidR="00B55A58" w:rsidRPr="00B55A58" w:rsidRDefault="00B55A58" w:rsidP="00B55A58">
            <w:r w:rsidRPr="00B55A58">
              <w:t>2001</w:t>
            </w:r>
          </w:p>
        </w:tc>
      </w:tr>
      <w:tr w:rsidR="00B55A58" w:rsidRPr="00B55A58" w14:paraId="319C51C1" w14:textId="77777777" w:rsidTr="00B55A58">
        <w:trPr>
          <w:gridAfter w:val="1"/>
          <w:wAfter w:w="9" w:type="dxa"/>
          <w:trHeight w:val="286"/>
        </w:trPr>
        <w:tc>
          <w:tcPr>
            <w:tcW w:w="5305" w:type="dxa"/>
            <w:noWrap/>
            <w:hideMark/>
          </w:tcPr>
          <w:p w14:paraId="25C36C35" w14:textId="77777777" w:rsidR="00B55A58" w:rsidRPr="00B55A58" w:rsidRDefault="00B55A58" w:rsidP="00B55A58">
            <w:r w:rsidRPr="00B55A58">
              <w:t>Risks and Redistribution An Individual-Level Analysis</w:t>
            </w:r>
          </w:p>
        </w:tc>
        <w:tc>
          <w:tcPr>
            <w:tcW w:w="3808" w:type="dxa"/>
            <w:noWrap/>
            <w:hideMark/>
          </w:tcPr>
          <w:p w14:paraId="551AFD94" w14:textId="77777777" w:rsidR="00B55A58" w:rsidRPr="00B55A58" w:rsidRDefault="00B55A58" w:rsidP="00B55A58">
            <w:r w:rsidRPr="00B55A58">
              <w:t>Philipp Rehm,Philipp Rehm</w:t>
            </w:r>
          </w:p>
        </w:tc>
        <w:tc>
          <w:tcPr>
            <w:tcW w:w="2262" w:type="dxa"/>
            <w:noWrap/>
            <w:hideMark/>
          </w:tcPr>
          <w:p w14:paraId="077EFCD2" w14:textId="77777777" w:rsidR="00B55A58" w:rsidRPr="00B55A58" w:rsidRDefault="00B55A58" w:rsidP="00B55A58">
            <w:r w:rsidRPr="00B55A58">
              <w:t>Comparative Political Studies</w:t>
            </w:r>
          </w:p>
        </w:tc>
        <w:tc>
          <w:tcPr>
            <w:tcW w:w="1066" w:type="dxa"/>
            <w:gridSpan w:val="2"/>
            <w:noWrap/>
            <w:hideMark/>
          </w:tcPr>
          <w:p w14:paraId="2DB5C6E7" w14:textId="77777777" w:rsidR="00B55A58" w:rsidRPr="00B55A58" w:rsidRDefault="00B55A58" w:rsidP="00B55A58">
            <w:r w:rsidRPr="00B55A58">
              <w:t>2009</w:t>
            </w:r>
          </w:p>
        </w:tc>
      </w:tr>
      <w:tr w:rsidR="00B55A58" w:rsidRPr="00B55A58" w14:paraId="6D73D0A2" w14:textId="77777777" w:rsidTr="00B55A58">
        <w:trPr>
          <w:trHeight w:val="286"/>
        </w:trPr>
        <w:tc>
          <w:tcPr>
            <w:tcW w:w="5305" w:type="dxa"/>
            <w:noWrap/>
            <w:hideMark/>
          </w:tcPr>
          <w:p w14:paraId="54F917AD" w14:textId="77777777" w:rsidR="00B55A58" w:rsidRPr="00B55A58" w:rsidRDefault="00B55A58" w:rsidP="00B55A58">
            <w:r w:rsidRPr="00B55A58">
              <w:t>The New Politics of Class: The Political Exclusion of the British Working Class</w:t>
            </w:r>
          </w:p>
        </w:tc>
        <w:tc>
          <w:tcPr>
            <w:tcW w:w="6079" w:type="dxa"/>
            <w:gridSpan w:val="3"/>
            <w:noWrap/>
            <w:hideMark/>
          </w:tcPr>
          <w:p w14:paraId="730E3B62" w14:textId="77777777" w:rsidR="00B55A58" w:rsidRPr="00B55A58" w:rsidRDefault="00B55A58" w:rsidP="00B55A58">
            <w:r w:rsidRPr="00B55A58">
              <w:t>Geoffrey M. Evans,Geoffrey Evans,Geoffrey Evans,James Tilley,James Tilley</w:t>
            </w:r>
          </w:p>
        </w:tc>
        <w:tc>
          <w:tcPr>
            <w:tcW w:w="1066" w:type="dxa"/>
            <w:gridSpan w:val="2"/>
            <w:noWrap/>
            <w:hideMark/>
          </w:tcPr>
          <w:p w14:paraId="04092241" w14:textId="77777777" w:rsidR="00B55A58" w:rsidRPr="00B55A58" w:rsidRDefault="00B55A58" w:rsidP="00B55A58">
            <w:r w:rsidRPr="00B55A58">
              <w:t>2017</w:t>
            </w:r>
          </w:p>
        </w:tc>
      </w:tr>
      <w:tr w:rsidR="00B55A58" w:rsidRPr="00B55A58" w14:paraId="13719EC9" w14:textId="77777777" w:rsidTr="00B55A58">
        <w:trPr>
          <w:trHeight w:val="286"/>
        </w:trPr>
        <w:tc>
          <w:tcPr>
            <w:tcW w:w="5305" w:type="dxa"/>
            <w:noWrap/>
            <w:hideMark/>
          </w:tcPr>
          <w:p w14:paraId="0F17B976" w14:textId="77777777" w:rsidR="00B55A58" w:rsidRPr="00B55A58" w:rsidRDefault="00B55A58" w:rsidP="00B55A58">
            <w:r w:rsidRPr="00B55A58">
              <w:t>Redrawing the Class Map: Stratification and Institutions in Britain, Germany, Sweden and Switzerland</w:t>
            </w:r>
          </w:p>
        </w:tc>
        <w:tc>
          <w:tcPr>
            <w:tcW w:w="6079" w:type="dxa"/>
            <w:gridSpan w:val="3"/>
            <w:noWrap/>
            <w:hideMark/>
          </w:tcPr>
          <w:p w14:paraId="1C3298D8" w14:textId="77777777" w:rsidR="00B55A58" w:rsidRPr="00B55A58" w:rsidRDefault="00B55A58" w:rsidP="00B55A58">
            <w:r w:rsidRPr="00B55A58">
              <w:t>Daniel Oesch,Daniel Oesch</w:t>
            </w:r>
          </w:p>
        </w:tc>
        <w:tc>
          <w:tcPr>
            <w:tcW w:w="1066" w:type="dxa"/>
            <w:gridSpan w:val="2"/>
            <w:noWrap/>
            <w:hideMark/>
          </w:tcPr>
          <w:p w14:paraId="5C1E5A0D" w14:textId="77777777" w:rsidR="00B55A58" w:rsidRPr="00B55A58" w:rsidRDefault="00B55A58" w:rsidP="00B55A58">
            <w:r w:rsidRPr="00B55A58">
              <w:t>2006</w:t>
            </w:r>
          </w:p>
        </w:tc>
      </w:tr>
      <w:tr w:rsidR="00B55A58" w:rsidRPr="00B55A58" w14:paraId="68044229" w14:textId="77777777" w:rsidTr="00B55A58">
        <w:trPr>
          <w:gridAfter w:val="1"/>
          <w:wAfter w:w="9" w:type="dxa"/>
          <w:trHeight w:val="286"/>
        </w:trPr>
        <w:tc>
          <w:tcPr>
            <w:tcW w:w="5305" w:type="dxa"/>
            <w:noWrap/>
            <w:hideMark/>
          </w:tcPr>
          <w:p w14:paraId="08E53461" w14:textId="77777777" w:rsidR="00B55A58" w:rsidRPr="00B55A58" w:rsidRDefault="00B55A58" w:rsidP="00B55A58">
            <w:r w:rsidRPr="00B55A58">
              <w:t>The Declining Middle: Occupational Change, Social Status, and the Populist Right:</w:t>
            </w:r>
          </w:p>
        </w:tc>
        <w:tc>
          <w:tcPr>
            <w:tcW w:w="3808" w:type="dxa"/>
            <w:noWrap/>
            <w:hideMark/>
          </w:tcPr>
          <w:p w14:paraId="5C1718EC" w14:textId="77777777" w:rsidR="00B55A58" w:rsidRPr="00B55A58" w:rsidRDefault="00B55A58" w:rsidP="00B55A58">
            <w:r w:rsidRPr="00B55A58">
              <w:t>Thomas Kurer,Thomas Kurer</w:t>
            </w:r>
          </w:p>
        </w:tc>
        <w:tc>
          <w:tcPr>
            <w:tcW w:w="2262" w:type="dxa"/>
            <w:noWrap/>
            <w:hideMark/>
          </w:tcPr>
          <w:p w14:paraId="7D23EB99" w14:textId="77777777" w:rsidR="00B55A58" w:rsidRPr="00B55A58" w:rsidRDefault="00B55A58" w:rsidP="00B55A58">
            <w:r w:rsidRPr="00B55A58">
              <w:t>Comparative Political Studies</w:t>
            </w:r>
          </w:p>
        </w:tc>
        <w:tc>
          <w:tcPr>
            <w:tcW w:w="1066" w:type="dxa"/>
            <w:gridSpan w:val="2"/>
            <w:noWrap/>
            <w:hideMark/>
          </w:tcPr>
          <w:p w14:paraId="661252ED" w14:textId="77777777" w:rsidR="00B55A58" w:rsidRPr="00B55A58" w:rsidRDefault="00B55A58" w:rsidP="00B55A58">
            <w:r w:rsidRPr="00B55A58">
              <w:t>2020</w:t>
            </w:r>
          </w:p>
        </w:tc>
      </w:tr>
    </w:tbl>
    <w:p w14:paraId="673620CE" w14:textId="77777777" w:rsidR="00B55A58" w:rsidRDefault="00B55A58" w:rsidP="00B55A58">
      <w:pPr>
        <w:rPr>
          <w:lang w:val="en-US"/>
        </w:rPr>
        <w:sectPr w:rsidR="00B55A58" w:rsidSect="00B55A58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53532FA1" w14:textId="74F89680" w:rsidR="00745F0C" w:rsidRPr="00012AD0" w:rsidRDefault="00745F0C" w:rsidP="00012AD0">
      <w:pPr>
        <w:rPr>
          <w:lang w:val="en-US"/>
        </w:rPr>
      </w:pPr>
    </w:p>
    <w:sectPr w:rsidR="00745F0C" w:rsidRPr="00012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10D3"/>
    <w:multiLevelType w:val="hybridMultilevel"/>
    <w:tmpl w:val="064035B4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535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0C"/>
    <w:rsid w:val="00012AD0"/>
    <w:rsid w:val="000820AD"/>
    <w:rsid w:val="000A0247"/>
    <w:rsid w:val="00107734"/>
    <w:rsid w:val="00745F0C"/>
    <w:rsid w:val="007C5EFE"/>
    <w:rsid w:val="00935CFC"/>
    <w:rsid w:val="00947F57"/>
    <w:rsid w:val="00A9401E"/>
    <w:rsid w:val="00B55A58"/>
    <w:rsid w:val="00F3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5730"/>
  <w15:chartTrackingRefBased/>
  <w15:docId w15:val="{569AE555-9CB4-4A54-8133-7D963C09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F0C"/>
    <w:rPr>
      <w:b/>
      <w:bCs/>
      <w:smallCaps/>
      <w:color w:val="0F4761" w:themeColor="accent1" w:themeShade="BF"/>
      <w:spacing w:val="5"/>
    </w:rPr>
  </w:style>
  <w:style w:type="character" w:customStyle="1" w:styleId="mat-content">
    <w:name w:val="mat-content"/>
    <w:basedOn w:val="DefaultParagraphFont"/>
    <w:rsid w:val="00935CFC"/>
  </w:style>
  <w:style w:type="paragraph" w:customStyle="1" w:styleId="authors">
    <w:name w:val="authors"/>
    <w:basedOn w:val="Normal"/>
    <w:rsid w:val="0093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alue">
    <w:name w:val="value"/>
    <w:basedOn w:val="DefaultParagraphFont"/>
    <w:rsid w:val="00935CFC"/>
  </w:style>
  <w:style w:type="paragraph" w:customStyle="1" w:styleId="volume">
    <w:name w:val="volume"/>
    <w:basedOn w:val="Normal"/>
    <w:rsid w:val="0093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ccession-number">
    <w:name w:val="accession-number"/>
    <w:basedOn w:val="Normal"/>
    <w:rsid w:val="0093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ocument-type">
    <w:name w:val="document-type"/>
    <w:basedOn w:val="Normal"/>
    <w:rsid w:val="0093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B5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4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73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9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margalit.yotam@gmail.com</dc:creator>
  <cp:keywords/>
  <dc:description/>
  <cp:lastModifiedBy>Yotam Margalit</cp:lastModifiedBy>
  <cp:revision>2</cp:revision>
  <dcterms:created xsi:type="dcterms:W3CDTF">2024-07-01T12:25:00Z</dcterms:created>
  <dcterms:modified xsi:type="dcterms:W3CDTF">2024-07-01T12:25:00Z</dcterms:modified>
</cp:coreProperties>
</file>