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37268" w14:textId="598DD71D" w:rsidR="001210F2" w:rsidRDefault="00AF55E7" w:rsidP="00D149E4">
      <w:pPr>
        <w:spacing w:line="480" w:lineRule="auto"/>
        <w:rPr>
          <w:rFonts w:ascii="Times New Roman" w:hAnsi="Times New Roman" w:cs="Times New Roman"/>
        </w:rPr>
      </w:pPr>
      <w:r>
        <w:rPr>
          <w:rFonts w:ascii="Times New Roman" w:hAnsi="Times New Roman" w:cs="Times New Roman"/>
        </w:rPr>
        <w:t>Th</w:t>
      </w:r>
      <w:r w:rsidR="00C2079C">
        <w:rPr>
          <w:rFonts w:ascii="Times New Roman" w:hAnsi="Times New Roman" w:cs="Times New Roman"/>
        </w:rPr>
        <w:t xml:space="preserve">is paper utilizes a quantitative approach </w:t>
      </w:r>
      <w:r w:rsidR="00955C29">
        <w:rPr>
          <w:rFonts w:ascii="Times New Roman" w:hAnsi="Times New Roman" w:cs="Times New Roman"/>
        </w:rPr>
        <w:t xml:space="preserve">via standard logistic regression. </w:t>
      </w:r>
      <w:r w:rsidR="000A5180">
        <w:rPr>
          <w:rFonts w:ascii="Times New Roman" w:hAnsi="Times New Roman" w:cs="Times New Roman"/>
        </w:rPr>
        <w:t xml:space="preserve">This was chosen due to the binary nature of the desired outcome measurement of “Passed” and “Not Passed”. This study aims to determine the probability of a bill’s passage into law based on several determining factors. This probability is best modeled </w:t>
      </w:r>
      <w:r w:rsidR="003E37DC">
        <w:rPr>
          <w:rFonts w:ascii="Times New Roman" w:hAnsi="Times New Roman" w:cs="Times New Roman"/>
        </w:rPr>
        <w:t>as the</w:t>
      </w:r>
      <w:r w:rsidR="000A5180">
        <w:rPr>
          <w:rFonts w:ascii="Times New Roman" w:hAnsi="Times New Roman" w:cs="Times New Roman"/>
        </w:rPr>
        <w:t xml:space="preserve"> log-odds </w:t>
      </w:r>
      <w:r w:rsidR="003E37DC">
        <w:rPr>
          <w:rFonts w:ascii="Times New Roman" w:hAnsi="Times New Roman" w:cs="Times New Roman"/>
        </w:rPr>
        <w:t>ratio of logistic regression. This is also ideal for the legislative stage location variables</w:t>
      </w:r>
      <w:r w:rsidR="00A5297F">
        <w:rPr>
          <w:rFonts w:ascii="Times New Roman" w:hAnsi="Times New Roman" w:cs="Times New Roman"/>
        </w:rPr>
        <w:t xml:space="preserve">, where this paper wants to determine the probability of a bill reaching a given stage of the legislative process with a given set of variables. The logistic regression model has been used extensively within the literature (Volden and Wiseman 2014) </w:t>
      </w:r>
      <w:r w:rsidR="00A5297F" w:rsidRPr="00A5297F">
        <w:rPr>
          <w:rFonts w:ascii="Times New Roman" w:hAnsi="Times New Roman" w:cs="Times New Roman"/>
        </w:rPr>
        <w:t>(Bucchianeri, Volden, and Wiseman 2025)</w:t>
      </w:r>
      <w:r w:rsidR="00A5297F">
        <w:rPr>
          <w:rFonts w:ascii="Times New Roman" w:hAnsi="Times New Roman" w:cs="Times New Roman"/>
        </w:rPr>
        <w:t xml:space="preserve"> </w:t>
      </w:r>
      <w:r w:rsidR="00A5297F" w:rsidRPr="00A5297F">
        <w:rPr>
          <w:rFonts w:ascii="Times New Roman" w:hAnsi="Times New Roman" w:cs="Times New Roman"/>
        </w:rPr>
        <w:t>(Callaghan and Karch 2021)</w:t>
      </w:r>
      <w:r w:rsidR="00A5297F">
        <w:rPr>
          <w:rFonts w:ascii="Times New Roman" w:hAnsi="Times New Roman" w:cs="Times New Roman"/>
        </w:rPr>
        <w:t xml:space="preserve"> for </w:t>
      </w:r>
      <w:r w:rsidR="00D149E4">
        <w:rPr>
          <w:rFonts w:ascii="Times New Roman" w:hAnsi="Times New Roman" w:cs="Times New Roman"/>
        </w:rPr>
        <w:t xml:space="preserve">modelling bill passage. </w:t>
      </w:r>
    </w:p>
    <w:p w14:paraId="5EBA18F8" w14:textId="74D2C6D5" w:rsidR="00D149E4" w:rsidRDefault="00D149E4" w:rsidP="00D149E4">
      <w:pPr>
        <w:spacing w:line="480" w:lineRule="auto"/>
        <w:rPr>
          <w:rFonts w:ascii="Times New Roman" w:hAnsi="Times New Roman" w:cs="Times New Roman"/>
        </w:rPr>
      </w:pPr>
      <w:r>
        <w:rPr>
          <w:rFonts w:ascii="Times New Roman" w:hAnsi="Times New Roman" w:cs="Times New Roman"/>
        </w:rPr>
        <w:t>Th</w:t>
      </w:r>
      <w:r w:rsidR="00281289">
        <w:rPr>
          <w:rFonts w:ascii="Times New Roman" w:hAnsi="Times New Roman" w:cs="Times New Roman"/>
        </w:rPr>
        <w:t xml:space="preserve">is study draws on an original dataset of bills introduced in </w:t>
      </w:r>
      <w:r w:rsidR="00412B9C">
        <w:rPr>
          <w:rFonts w:ascii="Times New Roman" w:hAnsi="Times New Roman" w:cs="Times New Roman"/>
        </w:rPr>
        <w:t xml:space="preserve">the Utah State Legislature during the 2026 to 2016 General Sessions. </w:t>
      </w:r>
      <w:r w:rsidR="00412B9C" w:rsidRPr="00412B9C">
        <w:rPr>
          <w:rFonts w:ascii="Times New Roman" w:hAnsi="Times New Roman" w:cs="Times New Roman"/>
        </w:rPr>
        <w:t>The full dataset contains approximately 9,</w:t>
      </w:r>
      <w:r w:rsidR="00412B9C">
        <w:rPr>
          <w:rFonts w:ascii="Times New Roman" w:hAnsi="Times New Roman" w:cs="Times New Roman"/>
        </w:rPr>
        <w:t>5</w:t>
      </w:r>
      <w:r w:rsidR="00412B9C" w:rsidRPr="00412B9C">
        <w:rPr>
          <w:rFonts w:ascii="Times New Roman" w:hAnsi="Times New Roman" w:cs="Times New Roman"/>
        </w:rPr>
        <w:t xml:space="preserve">00 bills spanning ten legislative sessions. To ensure that the analytical sample reflects bills that entered active legislative consideration, bills without a designated floor sponsor were excluded from analysis. Under Utah legislative rules, bills without a floor sponsor cannot advance to a floor vote regardless of their content or sponsor characteristics, meaning their failure is determined by procedural rule rather than by the legislative dynamics this study seeks to examine. </w:t>
      </w:r>
      <w:r w:rsidR="00412B9C">
        <w:rPr>
          <w:rFonts w:ascii="Times New Roman" w:hAnsi="Times New Roman" w:cs="Times New Roman"/>
        </w:rPr>
        <w:t xml:space="preserve">To include only legislatively significant policy, all types of resolutions were also excluded from analysis. Resolutions </w:t>
      </w:r>
      <w:r w:rsidR="007836DE">
        <w:rPr>
          <w:rFonts w:ascii="Times New Roman" w:hAnsi="Times New Roman" w:cs="Times New Roman"/>
        </w:rPr>
        <w:t xml:space="preserve">are statements released by the legislature that reflect the body’s opinion on a given topic or handle non-legal procedures, unlike bills that are intended to be made into law. This difference in intention and impact between the two bill types would distort the legislative dynamics this study aims to capture. These exclusions resulted in a sample of over 6,700 bills for analysis. </w:t>
      </w:r>
    </w:p>
    <w:p w14:paraId="5F548BA3" w14:textId="3C3F249A" w:rsidR="00804159" w:rsidRDefault="00444CFE" w:rsidP="00D149E4">
      <w:pPr>
        <w:spacing w:line="480" w:lineRule="auto"/>
        <w:rPr>
          <w:rFonts w:ascii="Times New Roman" w:hAnsi="Times New Roman" w:cs="Times New Roman"/>
        </w:rPr>
      </w:pPr>
      <w:r>
        <w:rPr>
          <w:rFonts w:ascii="Times New Roman" w:hAnsi="Times New Roman" w:cs="Times New Roman"/>
        </w:rPr>
        <w:lastRenderedPageBreak/>
        <w:t>The dependent variables in this study measure the legislative progress of the bill throughout the various stages of the General Session. The outcome variable in the first t</w:t>
      </w:r>
      <w:r w:rsidR="00206695">
        <w:rPr>
          <w:rFonts w:ascii="Times New Roman" w:hAnsi="Times New Roman" w:cs="Times New Roman"/>
        </w:rPr>
        <w:t>wo</w:t>
      </w:r>
      <w:r>
        <w:rPr>
          <w:rFonts w:ascii="Times New Roman" w:hAnsi="Times New Roman" w:cs="Times New Roman"/>
        </w:rPr>
        <w:t xml:space="preserve"> models is bill passage, coded as a binary indicator where </w:t>
      </w:r>
      <w:r w:rsidR="00067B5D">
        <w:rPr>
          <w:rFonts w:ascii="Times New Roman" w:hAnsi="Times New Roman" w:cs="Times New Roman"/>
        </w:rPr>
        <w:t>1</w:t>
      </w:r>
      <w:r>
        <w:rPr>
          <w:rFonts w:ascii="Times New Roman" w:hAnsi="Times New Roman" w:cs="Times New Roman"/>
        </w:rPr>
        <w:t xml:space="preserve"> means a bill was signed and passed into law, and </w:t>
      </w:r>
      <w:r w:rsidR="00067B5D">
        <w:rPr>
          <w:rFonts w:ascii="Times New Roman" w:hAnsi="Times New Roman" w:cs="Times New Roman"/>
        </w:rPr>
        <w:t>0</w:t>
      </w:r>
      <w:r>
        <w:rPr>
          <w:rFonts w:ascii="Times New Roman" w:hAnsi="Times New Roman" w:cs="Times New Roman"/>
        </w:rPr>
        <w:t xml:space="preserve"> otherwise. The outcome variable for the </w:t>
      </w:r>
      <w:r w:rsidR="00206695">
        <w:rPr>
          <w:rFonts w:ascii="Times New Roman" w:hAnsi="Times New Roman" w:cs="Times New Roman"/>
        </w:rPr>
        <w:t xml:space="preserve">next model (Model 3) is a binary-coded variable measuring if a bill only got as far as the initial stage, “Stage 1”, where 1 </w:t>
      </w:r>
      <w:proofErr w:type="gramStart"/>
      <w:r w:rsidR="00206695">
        <w:rPr>
          <w:rFonts w:ascii="Times New Roman" w:hAnsi="Times New Roman" w:cs="Times New Roman"/>
        </w:rPr>
        <w:t>means</w:t>
      </w:r>
      <w:proofErr w:type="gramEnd"/>
      <w:r w:rsidR="00206695">
        <w:rPr>
          <w:rFonts w:ascii="Times New Roman" w:hAnsi="Times New Roman" w:cs="Times New Roman"/>
        </w:rPr>
        <w:t xml:space="preserve"> the bill was</w:t>
      </w:r>
      <w:r w:rsidR="00214F7F">
        <w:rPr>
          <w:rFonts w:ascii="Times New Roman" w:hAnsi="Times New Roman" w:cs="Times New Roman"/>
        </w:rPr>
        <w:t xml:space="preserve"> only</w:t>
      </w:r>
      <w:r w:rsidR="00206695">
        <w:rPr>
          <w:rFonts w:ascii="Times New Roman" w:hAnsi="Times New Roman" w:cs="Times New Roman"/>
        </w:rPr>
        <w:t xml:space="preserve"> introduced to the floor</w:t>
      </w:r>
      <w:r w:rsidR="00214F7F">
        <w:rPr>
          <w:rFonts w:ascii="Times New Roman" w:hAnsi="Times New Roman" w:cs="Times New Roman"/>
        </w:rPr>
        <w:t xml:space="preserve"> and did not progress further</w:t>
      </w:r>
      <w:r w:rsidR="00206695">
        <w:rPr>
          <w:rFonts w:ascii="Times New Roman" w:hAnsi="Times New Roman" w:cs="Times New Roman"/>
        </w:rPr>
        <w:t xml:space="preserve">, and 0 otherwise. </w:t>
      </w:r>
      <w:r w:rsidR="00067B5D">
        <w:rPr>
          <w:rFonts w:ascii="Times New Roman" w:hAnsi="Times New Roman" w:cs="Times New Roman"/>
        </w:rPr>
        <w:t xml:space="preserve">This variable aims to capture the other side of the “pass-fail” coin, capturing the effects of a bill’s content on its failure to progress. </w:t>
      </w:r>
      <w:r w:rsidR="00206695">
        <w:rPr>
          <w:rFonts w:ascii="Times New Roman" w:hAnsi="Times New Roman" w:cs="Times New Roman"/>
        </w:rPr>
        <w:t xml:space="preserve">The final two models have an outcome variable of the given legislative stage, “Stage 2” and “Stage 3”, </w:t>
      </w:r>
      <w:r w:rsidR="00214F7F">
        <w:rPr>
          <w:rFonts w:ascii="Times New Roman" w:hAnsi="Times New Roman" w:cs="Times New Roman"/>
        </w:rPr>
        <w:t xml:space="preserve">where </w:t>
      </w:r>
      <w:r w:rsidR="00067B5D">
        <w:rPr>
          <w:rFonts w:ascii="Times New Roman" w:hAnsi="Times New Roman" w:cs="Times New Roman"/>
        </w:rPr>
        <w:t>1</w:t>
      </w:r>
      <w:r w:rsidR="00214F7F">
        <w:rPr>
          <w:rFonts w:ascii="Times New Roman" w:hAnsi="Times New Roman" w:cs="Times New Roman"/>
        </w:rPr>
        <w:t xml:space="preserve"> means the bill reached at least that respective stage, and </w:t>
      </w:r>
      <w:r w:rsidR="00067B5D">
        <w:rPr>
          <w:rFonts w:ascii="Times New Roman" w:hAnsi="Times New Roman" w:cs="Times New Roman"/>
        </w:rPr>
        <w:t>0</w:t>
      </w:r>
      <w:r w:rsidR="00214F7F">
        <w:rPr>
          <w:rFonts w:ascii="Times New Roman" w:hAnsi="Times New Roman" w:cs="Times New Roman"/>
        </w:rPr>
        <w:t xml:space="preserve"> otherwise. </w:t>
      </w:r>
      <w:r w:rsidR="005D5BEC">
        <w:rPr>
          <w:rFonts w:ascii="Times New Roman" w:hAnsi="Times New Roman" w:cs="Times New Roman"/>
        </w:rPr>
        <w:t>Out of the 6,730 bills, 79.5% of bills were passed and enacted into law, reflecting Utah’s status as a highly productive legislature. 19.7% of bills only made it to the first stage of the legislative process, and there was only a 0.</w:t>
      </w:r>
      <w:r w:rsidR="00804159">
        <w:rPr>
          <w:rFonts w:ascii="Times New Roman" w:hAnsi="Times New Roman" w:cs="Times New Roman"/>
        </w:rPr>
        <w:t>2</w:t>
      </w:r>
      <w:r w:rsidR="005D5BEC">
        <w:rPr>
          <w:rFonts w:ascii="Times New Roman" w:hAnsi="Times New Roman" w:cs="Times New Roman"/>
        </w:rPr>
        <w:t>% reduction in bills between Stage 2 (80.</w:t>
      </w:r>
      <w:r w:rsidR="00804159">
        <w:rPr>
          <w:rFonts w:ascii="Times New Roman" w:hAnsi="Times New Roman" w:cs="Times New Roman"/>
        </w:rPr>
        <w:t>3%) and Stage 3 (80.1%). This further shows the large legislative production of Utah, and suggests that, if a bill can make it past stage 1, it will most likely pass.</w:t>
      </w:r>
    </w:p>
    <w:p w14:paraId="6583CDFE" w14:textId="1292DF79" w:rsidR="00067B5D" w:rsidRPr="00067B5D" w:rsidRDefault="00067B5D" w:rsidP="00067B5D">
      <w:pPr>
        <w:spacing w:line="480" w:lineRule="auto"/>
        <w:rPr>
          <w:rFonts w:ascii="Times New Roman" w:hAnsi="Times New Roman" w:cs="Times New Roman"/>
        </w:rPr>
      </w:pPr>
      <w:r>
        <w:rPr>
          <w:rFonts w:ascii="Times New Roman" w:hAnsi="Times New Roman" w:cs="Times New Roman"/>
        </w:rPr>
        <w:t xml:space="preserve">The independent variables measure the bill-level characteristics at the end of their respective General Sessions. </w:t>
      </w:r>
      <w:r w:rsidRPr="00067B5D">
        <w:rPr>
          <w:rFonts w:ascii="Times New Roman" w:hAnsi="Times New Roman" w:cs="Times New Roman"/>
        </w:rPr>
        <w:t xml:space="preserve">Sponsor party affiliation (party1) is coded 1 if the primary sponsor belongs to the majority party and 0 otherwise. Given Utah's Republican legislative supermajority across the full study window, this variable effectively captures Republican sponsorship for most of the sample. Chamber of </w:t>
      </w:r>
      <w:r>
        <w:rPr>
          <w:rFonts w:ascii="Times New Roman" w:hAnsi="Times New Roman" w:cs="Times New Roman"/>
        </w:rPr>
        <w:t>Introduction</w:t>
      </w:r>
      <w:r w:rsidRPr="00067B5D">
        <w:rPr>
          <w:rFonts w:ascii="Times New Roman" w:hAnsi="Times New Roman" w:cs="Times New Roman"/>
        </w:rPr>
        <w:t xml:space="preserve"> (chamber1) is coded 1 for bills introduced in </w:t>
      </w:r>
      <w:r>
        <w:rPr>
          <w:rFonts w:ascii="Times New Roman" w:hAnsi="Times New Roman" w:cs="Times New Roman"/>
        </w:rPr>
        <w:t>the House</w:t>
      </w:r>
      <w:r w:rsidRPr="00067B5D">
        <w:rPr>
          <w:rFonts w:ascii="Times New Roman" w:hAnsi="Times New Roman" w:cs="Times New Roman"/>
        </w:rPr>
        <w:t xml:space="preserve"> and 0 for the other chamber. </w:t>
      </w:r>
      <w:r>
        <w:rPr>
          <w:rFonts w:ascii="Times New Roman" w:hAnsi="Times New Roman" w:cs="Times New Roman"/>
        </w:rPr>
        <w:t xml:space="preserve">This variable is included to test the findings of Volden and Wiseman in their comparison between the US Congress and Senate. </w:t>
      </w:r>
      <w:r w:rsidRPr="00067B5D">
        <w:rPr>
          <w:rFonts w:ascii="Times New Roman" w:hAnsi="Times New Roman" w:cs="Times New Roman"/>
        </w:rPr>
        <w:t xml:space="preserve">Committee referral (committee1) is coded 1 if the bill </w:t>
      </w:r>
      <w:r w:rsidRPr="00067B5D">
        <w:rPr>
          <w:rFonts w:ascii="Times New Roman" w:hAnsi="Times New Roman" w:cs="Times New Roman"/>
        </w:rPr>
        <w:t>appears</w:t>
      </w:r>
      <w:r w:rsidRPr="00067B5D">
        <w:rPr>
          <w:rFonts w:ascii="Times New Roman" w:hAnsi="Times New Roman" w:cs="Times New Roman"/>
        </w:rPr>
        <w:t xml:space="preserve"> on one or more committee agendas during the session and 0 otherwise. As discussed below, this variable captures legislative contestation in Utah's institutional context </w:t>
      </w:r>
      <w:r w:rsidRPr="00067B5D">
        <w:rPr>
          <w:rFonts w:ascii="Times New Roman" w:hAnsi="Times New Roman" w:cs="Times New Roman"/>
        </w:rPr>
        <w:lastRenderedPageBreak/>
        <w:t>rather than the positive momentum that committee action typically signals in congressional research.</w:t>
      </w:r>
      <w:r>
        <w:rPr>
          <w:rFonts w:ascii="Times New Roman" w:hAnsi="Times New Roman" w:cs="Times New Roman"/>
        </w:rPr>
        <w:t xml:space="preserve"> Money appropriated (money1) is coded 1 for bills that had money appropriated </w:t>
      </w:r>
      <w:r w:rsidR="000F03B0">
        <w:rPr>
          <w:rFonts w:ascii="Times New Roman" w:hAnsi="Times New Roman" w:cs="Times New Roman"/>
        </w:rPr>
        <w:t xml:space="preserve">and 0 otherwise. This variable captures the increased scrutiny a bill endures when money is appropriated, and the potential risk of controversy that comes with it. </w:t>
      </w:r>
      <w:r w:rsidR="00210B84">
        <w:rPr>
          <w:rFonts w:ascii="Times New Roman" w:hAnsi="Times New Roman" w:cs="Times New Roman"/>
        </w:rPr>
        <w:t xml:space="preserve">Table 1 below shows the number of bills coded 1 and 0 and their respective pass rates. </w:t>
      </w:r>
    </w:p>
    <w:p w14:paraId="0C82637E" w14:textId="574A49D7" w:rsidR="00067B5D" w:rsidRPr="00067B5D" w:rsidRDefault="00067B5D" w:rsidP="00067B5D">
      <w:pPr>
        <w:spacing w:line="480" w:lineRule="auto"/>
        <w:rPr>
          <w:rFonts w:ascii="Times New Roman" w:hAnsi="Times New Roman" w:cs="Times New Roman"/>
        </w:rPr>
      </w:pPr>
      <w:r w:rsidRPr="00067B5D">
        <w:rPr>
          <w:rFonts w:ascii="Times New Roman" w:hAnsi="Times New Roman" w:cs="Times New Roman"/>
        </w:rPr>
        <w:t>Appropriations amount (</w:t>
      </w:r>
      <w:proofErr w:type="spellStart"/>
      <w:r w:rsidRPr="00067B5D">
        <w:rPr>
          <w:rFonts w:ascii="Times New Roman" w:hAnsi="Times New Roman" w:cs="Times New Roman"/>
        </w:rPr>
        <w:t>log_money_real</w:t>
      </w:r>
      <w:proofErr w:type="spellEnd"/>
      <w:r w:rsidRPr="00067B5D">
        <w:rPr>
          <w:rFonts w:ascii="Times New Roman" w:hAnsi="Times New Roman" w:cs="Times New Roman"/>
        </w:rPr>
        <w:t xml:space="preserve">) captures the inflation-adjusted dollar value of any fiscal appropriation associated with the bill, expressed in natural log form to account for the right-skewed distribution of appropriations amounts. Bills with no fiscal note receive a value of </w:t>
      </w:r>
      <w:r w:rsidR="000F03B0">
        <w:rPr>
          <w:rFonts w:ascii="Times New Roman" w:hAnsi="Times New Roman" w:cs="Times New Roman"/>
        </w:rPr>
        <w:t>0 dollars</w:t>
      </w:r>
      <w:r w:rsidRPr="00067B5D">
        <w:rPr>
          <w:rFonts w:ascii="Times New Roman" w:hAnsi="Times New Roman" w:cs="Times New Roman"/>
        </w:rPr>
        <w:t>. All monetary values a</w:t>
      </w:r>
      <w:r w:rsidR="000F03B0">
        <w:rPr>
          <w:rFonts w:ascii="Times New Roman" w:hAnsi="Times New Roman" w:cs="Times New Roman"/>
        </w:rPr>
        <w:t xml:space="preserve">re inflation-adjusted </w:t>
      </w:r>
      <w:r w:rsidRPr="00067B5D">
        <w:rPr>
          <w:rFonts w:ascii="Times New Roman" w:hAnsi="Times New Roman" w:cs="Times New Roman"/>
        </w:rPr>
        <w:t xml:space="preserve">using the Consumer Price Index for All Urban Consumers (CPI-U), annual average, with </w:t>
      </w:r>
      <w:r w:rsidR="000F03B0">
        <w:rPr>
          <w:rFonts w:ascii="Times New Roman" w:hAnsi="Times New Roman" w:cs="Times New Roman"/>
        </w:rPr>
        <w:t>2025</w:t>
      </w:r>
      <w:r w:rsidRPr="00067B5D">
        <w:rPr>
          <w:rFonts w:ascii="Times New Roman" w:hAnsi="Times New Roman" w:cs="Times New Roman"/>
        </w:rPr>
        <w:t xml:space="preserve"> as the reference year.</w:t>
      </w:r>
    </w:p>
    <w:p w14:paraId="31AF2128" w14:textId="7EBAA7C5" w:rsidR="007836DE" w:rsidRPr="00AF55E7" w:rsidRDefault="00067B5D" w:rsidP="00D149E4">
      <w:pPr>
        <w:spacing w:line="480" w:lineRule="auto"/>
        <w:rPr>
          <w:rFonts w:ascii="Times New Roman" w:hAnsi="Times New Roman" w:cs="Times New Roman"/>
        </w:rPr>
      </w:pPr>
      <w:r w:rsidRPr="00067B5D">
        <w:rPr>
          <w:rFonts w:ascii="Times New Roman" w:hAnsi="Times New Roman" w:cs="Times New Roman"/>
        </w:rPr>
        <w:t>Subject area is captured by six mutually exclusive binary indicators corresponding to the primary subject classification assigned to each bill: economics and taxation (econ), government operations (</w:t>
      </w:r>
      <w:proofErr w:type="spellStart"/>
      <w:r w:rsidRPr="00067B5D">
        <w:rPr>
          <w:rFonts w:ascii="Times New Roman" w:hAnsi="Times New Roman" w:cs="Times New Roman"/>
        </w:rPr>
        <w:t>gov_ops</w:t>
      </w:r>
      <w:proofErr w:type="spellEnd"/>
      <w:r w:rsidRPr="00067B5D">
        <w:rPr>
          <w:rFonts w:ascii="Times New Roman" w:hAnsi="Times New Roman" w:cs="Times New Roman"/>
        </w:rPr>
        <w:t xml:space="preserve">), education (educ), criminal justice and </w:t>
      </w:r>
      <w:r w:rsidR="00B53691" w:rsidRPr="00B53691">
        <w:rPr>
          <w:rFonts w:ascii="Times New Roman" w:hAnsi="Times New Roman" w:cs="Times New Roman"/>
        </w:rPr>
        <w:t>civil law (</w:t>
      </w:r>
      <w:proofErr w:type="spellStart"/>
      <w:r w:rsidR="00B53691" w:rsidRPr="00B53691">
        <w:rPr>
          <w:rFonts w:ascii="Times New Roman" w:hAnsi="Times New Roman" w:cs="Times New Roman"/>
        </w:rPr>
        <w:t>cj_civ</w:t>
      </w:r>
      <w:proofErr w:type="spellEnd"/>
      <w:r w:rsidR="00B53691" w:rsidRPr="00B53691">
        <w:rPr>
          <w:rFonts w:ascii="Times New Roman" w:hAnsi="Times New Roman" w:cs="Times New Roman"/>
        </w:rPr>
        <w:t>), health (health), and environment and natural resources (</w:t>
      </w:r>
      <w:proofErr w:type="spellStart"/>
      <w:r w:rsidR="00B53691" w:rsidRPr="00B53691">
        <w:rPr>
          <w:rFonts w:ascii="Times New Roman" w:hAnsi="Times New Roman" w:cs="Times New Roman"/>
        </w:rPr>
        <w:t>env_nr</w:t>
      </w:r>
      <w:proofErr w:type="spellEnd"/>
      <w:r w:rsidR="00B53691" w:rsidRPr="00B53691">
        <w:rPr>
          <w:rFonts w:ascii="Times New Roman" w:hAnsi="Times New Roman" w:cs="Times New Roman"/>
        </w:rPr>
        <w:t xml:space="preserve">). Bills not falling into these six categories are coded as the reference group (other), which </w:t>
      </w:r>
      <w:r w:rsidR="00B53691">
        <w:rPr>
          <w:rFonts w:ascii="Times New Roman" w:hAnsi="Times New Roman" w:cs="Times New Roman"/>
        </w:rPr>
        <w:t>serves as</w:t>
      </w:r>
      <w:r w:rsidR="00B53691" w:rsidRPr="00B53691">
        <w:rPr>
          <w:rFonts w:ascii="Times New Roman" w:hAnsi="Times New Roman" w:cs="Times New Roman"/>
        </w:rPr>
        <w:t xml:space="preserve"> the omitted baseline in all regression models. Subject classifications were assigned based o</w:t>
      </w:r>
      <w:r w:rsidR="00B53691">
        <w:rPr>
          <w:rFonts w:ascii="Times New Roman" w:hAnsi="Times New Roman" w:cs="Times New Roman"/>
        </w:rPr>
        <w:t>n the</w:t>
      </w:r>
      <w:r w:rsidR="00210B84">
        <w:rPr>
          <w:rFonts w:ascii="Times New Roman" w:hAnsi="Times New Roman" w:cs="Times New Roman"/>
        </w:rPr>
        <w:t xml:space="preserve"> most frequent</w:t>
      </w:r>
      <w:r w:rsidR="00B53691">
        <w:rPr>
          <w:rFonts w:ascii="Times New Roman" w:hAnsi="Times New Roman" w:cs="Times New Roman"/>
        </w:rPr>
        <w:t xml:space="preserve"> related subjects listed</w:t>
      </w:r>
      <w:r w:rsidR="00210B84">
        <w:rPr>
          <w:rFonts w:ascii="Times New Roman" w:hAnsi="Times New Roman" w:cs="Times New Roman"/>
        </w:rPr>
        <w:t xml:space="preserve"> for the bill</w:t>
      </w:r>
      <w:r w:rsidR="00B53691">
        <w:rPr>
          <w:rFonts w:ascii="Times New Roman" w:hAnsi="Times New Roman" w:cs="Times New Roman"/>
        </w:rPr>
        <w:t xml:space="preserve"> on the Utah State Legislature website</w:t>
      </w:r>
      <w:r w:rsidR="00B53691" w:rsidRPr="00B53691">
        <w:rPr>
          <w:rFonts w:ascii="Times New Roman" w:hAnsi="Times New Roman" w:cs="Times New Roman"/>
        </w:rPr>
        <w:t>.</w:t>
      </w:r>
      <w:r w:rsidR="00210B84">
        <w:rPr>
          <w:rFonts w:ascii="Times New Roman" w:hAnsi="Times New Roman" w:cs="Times New Roman"/>
        </w:rPr>
        <w:t xml:space="preserve"> Table </w:t>
      </w:r>
    </w:p>
    <w:sectPr w:rsidR="007836DE" w:rsidRPr="00AF55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6F5"/>
    <w:rsid w:val="00067B5D"/>
    <w:rsid w:val="000A5180"/>
    <w:rsid w:val="000A7C10"/>
    <w:rsid w:val="000F03B0"/>
    <w:rsid w:val="001210F2"/>
    <w:rsid w:val="00206695"/>
    <w:rsid w:val="00210B84"/>
    <w:rsid w:val="00214F7F"/>
    <w:rsid w:val="00235650"/>
    <w:rsid w:val="00281289"/>
    <w:rsid w:val="003846F5"/>
    <w:rsid w:val="003E37DC"/>
    <w:rsid w:val="00412B9C"/>
    <w:rsid w:val="00444CFE"/>
    <w:rsid w:val="005D05DF"/>
    <w:rsid w:val="005D5BEC"/>
    <w:rsid w:val="0066694E"/>
    <w:rsid w:val="007836DE"/>
    <w:rsid w:val="00804159"/>
    <w:rsid w:val="008A6710"/>
    <w:rsid w:val="00955C29"/>
    <w:rsid w:val="00994AAA"/>
    <w:rsid w:val="00A44926"/>
    <w:rsid w:val="00A5297F"/>
    <w:rsid w:val="00AF55E7"/>
    <w:rsid w:val="00B53691"/>
    <w:rsid w:val="00C2079C"/>
    <w:rsid w:val="00C36E59"/>
    <w:rsid w:val="00D149E4"/>
    <w:rsid w:val="00EA5BA1"/>
    <w:rsid w:val="00EB0B4B"/>
    <w:rsid w:val="00FC3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13492"/>
  <w15:chartTrackingRefBased/>
  <w15:docId w15:val="{2EF672E6-BACA-4FCF-A35B-3657C4648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6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6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6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6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6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6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6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6F5"/>
    <w:rPr>
      <w:rFonts w:eastAsiaTheme="majorEastAsia" w:cstheme="majorBidi"/>
      <w:color w:val="272727" w:themeColor="text1" w:themeTint="D8"/>
    </w:rPr>
  </w:style>
  <w:style w:type="paragraph" w:styleId="Title">
    <w:name w:val="Title"/>
    <w:basedOn w:val="Normal"/>
    <w:next w:val="Normal"/>
    <w:link w:val="TitleChar"/>
    <w:uiPriority w:val="10"/>
    <w:qFormat/>
    <w:rsid w:val="003846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6F5"/>
    <w:pPr>
      <w:spacing w:before="160"/>
      <w:jc w:val="center"/>
    </w:pPr>
    <w:rPr>
      <w:i/>
      <w:iCs/>
      <w:color w:val="404040" w:themeColor="text1" w:themeTint="BF"/>
    </w:rPr>
  </w:style>
  <w:style w:type="character" w:customStyle="1" w:styleId="QuoteChar">
    <w:name w:val="Quote Char"/>
    <w:basedOn w:val="DefaultParagraphFont"/>
    <w:link w:val="Quote"/>
    <w:uiPriority w:val="29"/>
    <w:rsid w:val="003846F5"/>
    <w:rPr>
      <w:i/>
      <w:iCs/>
      <w:color w:val="404040" w:themeColor="text1" w:themeTint="BF"/>
    </w:rPr>
  </w:style>
  <w:style w:type="paragraph" w:styleId="ListParagraph">
    <w:name w:val="List Paragraph"/>
    <w:basedOn w:val="Normal"/>
    <w:uiPriority w:val="34"/>
    <w:qFormat/>
    <w:rsid w:val="003846F5"/>
    <w:pPr>
      <w:ind w:left="720"/>
      <w:contextualSpacing/>
    </w:pPr>
  </w:style>
  <w:style w:type="character" w:styleId="IntenseEmphasis">
    <w:name w:val="Intense Emphasis"/>
    <w:basedOn w:val="DefaultParagraphFont"/>
    <w:uiPriority w:val="21"/>
    <w:qFormat/>
    <w:rsid w:val="003846F5"/>
    <w:rPr>
      <w:i/>
      <w:iCs/>
      <w:color w:val="0F4761" w:themeColor="accent1" w:themeShade="BF"/>
    </w:rPr>
  </w:style>
  <w:style w:type="paragraph" w:styleId="IntenseQuote">
    <w:name w:val="Intense Quote"/>
    <w:basedOn w:val="Normal"/>
    <w:next w:val="Normal"/>
    <w:link w:val="IntenseQuoteChar"/>
    <w:uiPriority w:val="30"/>
    <w:qFormat/>
    <w:rsid w:val="00384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6F5"/>
    <w:rPr>
      <w:i/>
      <w:iCs/>
      <w:color w:val="0F4761" w:themeColor="accent1" w:themeShade="BF"/>
    </w:rPr>
  </w:style>
  <w:style w:type="character" w:styleId="IntenseReference">
    <w:name w:val="Intense Reference"/>
    <w:basedOn w:val="DefaultParagraphFont"/>
    <w:uiPriority w:val="32"/>
    <w:qFormat/>
    <w:rsid w:val="003846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3</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Gabriella Grover</dc:creator>
  <cp:keywords/>
  <dc:description/>
  <cp:lastModifiedBy>Gabriella Grover</cp:lastModifiedBy>
  <cp:revision>2</cp:revision>
  <dcterms:created xsi:type="dcterms:W3CDTF">2026-04-20T00:10:00Z</dcterms:created>
  <dcterms:modified xsi:type="dcterms:W3CDTF">2026-04-20T07:29:00Z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b4ff67a7-2fd3-415e-bcc4-d55d3e38b8b1</vt:lpwstr>
  </property>
</Properties>
</file>