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1A296" w14:textId="74EA0E12" w:rsidR="001210F2" w:rsidRDefault="001C10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INFLUENCES ON BILL PROPOSALS AND SUCCESS</w:t>
      </w:r>
    </w:p>
    <w:p w14:paraId="24B84912" w14:textId="77777777" w:rsidR="001C1040" w:rsidRDefault="001C1040">
      <w:pPr>
        <w:rPr>
          <w:rFonts w:ascii="Times New Roman" w:hAnsi="Times New Roman" w:cs="Times New Roman"/>
        </w:rPr>
      </w:pPr>
    </w:p>
    <w:p w14:paraId="14BE4ED7" w14:textId="226F20E0" w:rsidR="001C1040" w:rsidRDefault="001C10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u w:val="single"/>
        </w:rPr>
        <w:t>ECONOMY AND LEGISLATURE RELATIONSHIP</w:t>
      </w:r>
    </w:p>
    <w:p w14:paraId="51B71A08" w14:textId="77777777" w:rsidR="001C1040" w:rsidRDefault="001C1040">
      <w:pPr>
        <w:rPr>
          <w:rFonts w:ascii="Times New Roman" w:hAnsi="Times New Roman" w:cs="Times New Roman"/>
        </w:rPr>
      </w:pPr>
    </w:p>
    <w:p w14:paraId="448AD9D5" w14:textId="71A2CF57" w:rsidR="001C1040" w:rsidRPr="001C1040" w:rsidRDefault="001C1040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RECESSIONS &amp; CRISIS EFFECT ON POLICY</w:t>
      </w:r>
    </w:p>
    <w:sectPr w:rsidR="001C1040" w:rsidRPr="001C1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CC2"/>
    <w:rsid w:val="000A7C10"/>
    <w:rsid w:val="001210F2"/>
    <w:rsid w:val="001C1040"/>
    <w:rsid w:val="00367CC2"/>
    <w:rsid w:val="005D05DF"/>
    <w:rsid w:val="0066694E"/>
    <w:rsid w:val="008A6710"/>
    <w:rsid w:val="009461CD"/>
    <w:rsid w:val="00994AAA"/>
    <w:rsid w:val="00A44926"/>
    <w:rsid w:val="00B34D77"/>
    <w:rsid w:val="00C36E59"/>
    <w:rsid w:val="00EB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72F80"/>
  <w15:chartTrackingRefBased/>
  <w15:docId w15:val="{55618CCE-113D-41BA-A7F2-7CD2AB2C4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C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C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Grover</dc:creator>
  <cp:keywords/>
  <dc:description/>
  <cp:lastModifiedBy>Gabriella Grover</cp:lastModifiedBy>
  <cp:revision>3</cp:revision>
  <dcterms:created xsi:type="dcterms:W3CDTF">2026-04-07T23:30:00Z</dcterms:created>
  <dcterms:modified xsi:type="dcterms:W3CDTF">2026-04-08T20:00:00Z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344b451a-f2ee-45ed-9c7c-fc7a288dc536</vt:lpwstr>
  </property>
</Properties>
</file>