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D55" w:rsidRPr="001D6D55" w:rsidRDefault="001D6D55" w:rsidP="001D6D55">
      <w:pPr>
        <w:shd w:val="clear" w:color="auto" w:fill="FFFFFF"/>
        <w:spacing w:after="160"/>
        <w:rPr>
          <w:rFonts w:ascii="Arial" w:hAnsi="Arial" w:cs="Arial"/>
          <w:sz w:val="24"/>
          <w:szCs w:val="24"/>
        </w:rPr>
      </w:pPr>
      <w:hyperlink r:id="rId7" w:history="1">
        <w:r w:rsidRPr="001D6D55">
          <w:rPr>
            <w:rStyle w:val="Hyperlink"/>
            <w:rFonts w:ascii="Arial" w:hAnsi="Arial" w:cs="Arial"/>
            <w:b/>
            <w:sz w:val="24"/>
            <w:szCs w:val="24"/>
          </w:rPr>
          <w:t>IBO Education Indicators</w:t>
        </w:r>
      </w:hyperlink>
      <w:r w:rsidRPr="001D6D55">
        <w:rPr>
          <w:rFonts w:ascii="Arial" w:hAnsi="Arial" w:cs="Arial"/>
          <w:b/>
          <w:sz w:val="24"/>
          <w:szCs w:val="24"/>
        </w:rPr>
        <w:t>, Resources User Guide</w:t>
      </w:r>
    </w:p>
    <w:p w:rsidR="006A2FAD" w:rsidRPr="006A2FAD" w:rsidRDefault="006A2FAD" w:rsidP="006A2FAD">
      <w:pPr>
        <w:shd w:val="clear" w:color="auto" w:fill="FFFFFF"/>
        <w:spacing w:after="160"/>
        <w:rPr>
          <w:rFonts w:ascii="Arial" w:hAnsi="Arial" w:cs="Arial"/>
          <w:sz w:val="24"/>
          <w:szCs w:val="24"/>
        </w:rPr>
      </w:pPr>
      <w:r w:rsidRPr="006A2FAD">
        <w:rPr>
          <w:rFonts w:ascii="Arial" w:hAnsi="Arial" w:cs="Arial"/>
          <w:sz w:val="24"/>
          <w:szCs w:val="24"/>
        </w:rPr>
        <w:t>Created: 2017</w:t>
      </w:r>
    </w:p>
    <w:p w:rsidR="006A2FAD" w:rsidRPr="006A2FAD" w:rsidRDefault="006A2FAD" w:rsidP="006A2FAD">
      <w:pPr>
        <w:shd w:val="clear" w:color="auto" w:fill="FFFFFF"/>
        <w:spacing w:after="160"/>
        <w:rPr>
          <w:rFonts w:ascii="Arial" w:hAnsi="Arial" w:cs="Arial"/>
          <w:sz w:val="24"/>
          <w:szCs w:val="24"/>
        </w:rPr>
      </w:pPr>
      <w:r w:rsidRPr="006A2FAD">
        <w:rPr>
          <w:rFonts w:ascii="Arial" w:hAnsi="Arial" w:cs="Arial"/>
          <w:sz w:val="24"/>
          <w:szCs w:val="24"/>
        </w:rPr>
        <w:t xml:space="preserve">Last Updated with 2014-15 and 2015-16 school year data </w:t>
      </w:r>
    </w:p>
    <w:p w:rsidR="006A2FAD" w:rsidRPr="006A2FAD" w:rsidRDefault="00325833" w:rsidP="006A2FAD">
      <w:pPr>
        <w:shd w:val="clear" w:color="auto" w:fill="FFFFFF"/>
        <w:spacing w:after="160"/>
        <w:rPr>
          <w:rFonts w:ascii="Arial" w:hAnsi="Arial" w:cs="Arial"/>
          <w:sz w:val="24"/>
          <w:szCs w:val="24"/>
        </w:rPr>
      </w:pPr>
      <w:r>
        <w:rPr>
          <w:rFonts w:ascii="Arial" w:hAnsi="Arial" w:cs="Arial"/>
          <w:sz w:val="24"/>
          <w:szCs w:val="24"/>
        </w:rPr>
        <w:t xml:space="preserve">ODC: </w:t>
      </w:r>
      <w:bookmarkStart w:id="0" w:name="_GoBack"/>
      <w:bookmarkEnd w:id="0"/>
      <w:r w:rsidR="006A2FAD" w:rsidRPr="006A2FAD">
        <w:rPr>
          <w:rFonts w:ascii="Arial" w:hAnsi="Arial" w:cs="Arial"/>
          <w:sz w:val="24"/>
          <w:szCs w:val="24"/>
        </w:rPr>
        <w:t>Taina Guarda, NYC Independent Budget Office</w:t>
      </w:r>
    </w:p>
    <w:p w:rsidR="006A2FAD" w:rsidRPr="006A2FAD" w:rsidRDefault="006A2FAD" w:rsidP="006A2FAD">
      <w:pPr>
        <w:shd w:val="clear" w:color="auto" w:fill="FFFFFF"/>
        <w:spacing w:after="160"/>
        <w:rPr>
          <w:rFonts w:ascii="Arial" w:hAnsi="Arial" w:cs="Arial"/>
          <w:b/>
          <w:sz w:val="24"/>
          <w:szCs w:val="24"/>
        </w:rPr>
      </w:pPr>
      <w:r w:rsidRPr="006A2FAD">
        <w:rPr>
          <w:rFonts w:ascii="Arial" w:hAnsi="Arial" w:cs="Arial"/>
          <w:sz w:val="24"/>
          <w:szCs w:val="24"/>
        </w:rPr>
        <w:t xml:space="preserve">Website: </w:t>
      </w:r>
      <w:hyperlink r:id="rId8" w:history="1">
        <w:r w:rsidRPr="006A2FAD">
          <w:rPr>
            <w:rStyle w:val="Hyperlink"/>
            <w:rFonts w:ascii="Arial" w:hAnsi="Arial" w:cs="Arial"/>
            <w:b/>
            <w:color w:val="3366FF"/>
            <w:sz w:val="24"/>
            <w:szCs w:val="24"/>
          </w:rPr>
          <w:t>IBO Education Indicators</w:t>
        </w:r>
      </w:hyperlink>
    </w:p>
    <w:p w:rsidR="006A2FAD" w:rsidRPr="001F5149" w:rsidRDefault="006A2FAD" w:rsidP="006A2FAD">
      <w:pPr>
        <w:shd w:val="clear" w:color="auto" w:fill="FFFFFF"/>
        <w:spacing w:after="160"/>
        <w:rPr>
          <w:rFonts w:ascii="Arial" w:hAnsi="Arial" w:cs="Arial"/>
          <w:b/>
          <w:sz w:val="24"/>
          <w:szCs w:val="24"/>
        </w:rPr>
      </w:pPr>
    </w:p>
    <w:p w:rsidR="006A2FAD" w:rsidRPr="001F5149" w:rsidRDefault="006A2FAD" w:rsidP="006A2FAD">
      <w:pPr>
        <w:shd w:val="clear" w:color="auto" w:fill="FFFFFF"/>
        <w:spacing w:after="160"/>
        <w:rPr>
          <w:rFonts w:ascii="Arial" w:hAnsi="Arial" w:cs="Arial"/>
          <w:b/>
          <w:sz w:val="24"/>
          <w:szCs w:val="24"/>
        </w:rPr>
      </w:pPr>
      <w:r w:rsidRPr="001F5149">
        <w:rPr>
          <w:rFonts w:ascii="Arial" w:hAnsi="Arial" w:cs="Arial"/>
          <w:b/>
          <w:sz w:val="24"/>
          <w:szCs w:val="24"/>
        </w:rPr>
        <w:t xml:space="preserve">What’s In This Dataset? </w:t>
      </w:r>
    </w:p>
    <w:p w:rsidR="0092327E" w:rsidRPr="0092327E" w:rsidRDefault="006A2FAD" w:rsidP="00227338">
      <w:pPr>
        <w:shd w:val="clear" w:color="auto" w:fill="FFFFFF"/>
        <w:spacing w:after="160"/>
        <w:ind w:left="720"/>
        <w:rPr>
          <w:rFonts w:ascii="Arial" w:hAnsi="Arial" w:cs="Arial"/>
          <w:sz w:val="24"/>
          <w:szCs w:val="24"/>
        </w:rPr>
      </w:pPr>
      <w:r w:rsidRPr="006A2FAD">
        <w:rPr>
          <w:rFonts w:ascii="Arial" w:hAnsi="Arial" w:cs="Arial"/>
          <w:sz w:val="24"/>
          <w:szCs w:val="24"/>
        </w:rPr>
        <w:t xml:space="preserve">This dataset consists of various aggregate tables on </w:t>
      </w:r>
      <w:r w:rsidR="0092327E">
        <w:rPr>
          <w:rFonts w:ascii="Arial" w:hAnsi="Arial" w:cs="Arial"/>
          <w:sz w:val="24"/>
          <w:szCs w:val="24"/>
        </w:rPr>
        <w:t xml:space="preserve">the </w:t>
      </w:r>
      <w:r w:rsidR="0092327E" w:rsidRPr="0092327E">
        <w:rPr>
          <w:rFonts w:ascii="Arial" w:hAnsi="Arial" w:cs="Arial"/>
          <w:sz w:val="24"/>
          <w:szCs w:val="24"/>
        </w:rPr>
        <w:t>Department of Education program budget and funding sources, and per pupi</w:t>
      </w:r>
      <w:r w:rsidR="00227338">
        <w:rPr>
          <w:rFonts w:ascii="Arial" w:hAnsi="Arial" w:cs="Arial"/>
          <w:sz w:val="24"/>
          <w:szCs w:val="24"/>
        </w:rPr>
        <w:t xml:space="preserve">l spending; </w:t>
      </w:r>
      <w:r w:rsidR="0092327E" w:rsidRPr="0092327E">
        <w:rPr>
          <w:rFonts w:ascii="Arial" w:hAnsi="Arial" w:cs="Arial"/>
          <w:sz w:val="24"/>
          <w:szCs w:val="24"/>
        </w:rPr>
        <w:t>Traditional Public School principals’ demographics, work history, traini</w:t>
      </w:r>
      <w:r w:rsidR="00227338">
        <w:rPr>
          <w:rFonts w:ascii="Arial" w:hAnsi="Arial" w:cs="Arial"/>
          <w:sz w:val="24"/>
          <w:szCs w:val="24"/>
        </w:rPr>
        <w:t xml:space="preserve">ng, and school characteristics; </w:t>
      </w:r>
      <w:r w:rsidR="0092327E" w:rsidRPr="0092327E">
        <w:rPr>
          <w:rFonts w:ascii="Arial" w:hAnsi="Arial" w:cs="Arial"/>
          <w:sz w:val="24"/>
          <w:szCs w:val="24"/>
        </w:rPr>
        <w:t>Traditional Public School teachers’ demographics, work history, traini</w:t>
      </w:r>
      <w:r w:rsidR="00227338">
        <w:rPr>
          <w:rFonts w:ascii="Arial" w:hAnsi="Arial" w:cs="Arial"/>
          <w:sz w:val="24"/>
          <w:szCs w:val="24"/>
        </w:rPr>
        <w:t xml:space="preserve">ng, and school characteristics; </w:t>
      </w:r>
      <w:r w:rsidR="0092327E" w:rsidRPr="0092327E">
        <w:rPr>
          <w:rFonts w:ascii="Arial" w:hAnsi="Arial" w:cs="Arial"/>
          <w:sz w:val="24"/>
          <w:szCs w:val="24"/>
        </w:rPr>
        <w:t>the number and utilization rates of buildings and schools. Data includes Traditional Public Schools, and Charte</w:t>
      </w:r>
      <w:r w:rsidR="00227338">
        <w:rPr>
          <w:rFonts w:ascii="Arial" w:hAnsi="Arial" w:cs="Arial"/>
          <w:sz w:val="24"/>
          <w:szCs w:val="24"/>
        </w:rPr>
        <w:t xml:space="preserve">r Schools located in DOE space; </w:t>
      </w:r>
      <w:r w:rsidR="0092327E" w:rsidRPr="0092327E">
        <w:rPr>
          <w:rFonts w:ascii="Arial" w:hAnsi="Arial" w:cs="Arial"/>
          <w:sz w:val="24"/>
          <w:szCs w:val="24"/>
        </w:rPr>
        <w:t>the share of schools with science rooms and art rooms. Data includes Traditional Public Schools, and Charter Schools located in DOE space.</w:t>
      </w:r>
    </w:p>
    <w:p w:rsidR="0092327E" w:rsidRPr="001F5149" w:rsidRDefault="0092327E" w:rsidP="00A82125">
      <w:pPr>
        <w:shd w:val="clear" w:color="auto" w:fill="FFFFFF"/>
        <w:spacing w:after="160"/>
        <w:ind w:left="720"/>
        <w:rPr>
          <w:rFonts w:ascii="Arial" w:hAnsi="Arial" w:cs="Arial"/>
          <w:sz w:val="24"/>
          <w:szCs w:val="24"/>
        </w:rPr>
      </w:pPr>
    </w:p>
    <w:p w:rsidR="006A2FAD" w:rsidRPr="001F5149" w:rsidRDefault="006A2FAD" w:rsidP="006A2FAD">
      <w:pPr>
        <w:shd w:val="clear" w:color="auto" w:fill="FFFFFF"/>
        <w:spacing w:after="160"/>
        <w:rPr>
          <w:rFonts w:ascii="Arial" w:hAnsi="Arial" w:cs="Arial"/>
          <w:sz w:val="24"/>
          <w:szCs w:val="24"/>
        </w:rPr>
      </w:pPr>
    </w:p>
    <w:p w:rsidR="006A2FAD" w:rsidRPr="001F5149" w:rsidRDefault="006A2FAD" w:rsidP="006A2FAD">
      <w:pPr>
        <w:shd w:val="clear" w:color="auto" w:fill="FFFFFF"/>
        <w:spacing w:after="160"/>
        <w:rPr>
          <w:rFonts w:ascii="Arial" w:hAnsi="Arial" w:cs="Arial"/>
          <w:sz w:val="24"/>
          <w:szCs w:val="24"/>
        </w:rPr>
      </w:pPr>
      <w:r w:rsidRPr="001F5149">
        <w:rPr>
          <w:rFonts w:ascii="Arial" w:hAnsi="Arial" w:cs="Arial"/>
          <w:b/>
          <w:sz w:val="24"/>
          <w:szCs w:val="24"/>
        </w:rPr>
        <w:t xml:space="preserve">Who Manages This Data?  </w:t>
      </w:r>
    </w:p>
    <w:p w:rsidR="006A2FAD" w:rsidRPr="006A2FAD" w:rsidRDefault="006A2FAD" w:rsidP="00A82125">
      <w:pPr>
        <w:shd w:val="clear" w:color="auto" w:fill="FFFFFF"/>
        <w:spacing w:after="160"/>
        <w:ind w:left="720"/>
        <w:rPr>
          <w:rFonts w:ascii="Arial" w:hAnsi="Arial" w:cs="Arial"/>
          <w:sz w:val="24"/>
          <w:szCs w:val="24"/>
        </w:rPr>
      </w:pPr>
      <w:r w:rsidRPr="006A2FAD">
        <w:rPr>
          <w:rFonts w:ascii="Arial" w:hAnsi="Arial" w:cs="Arial"/>
          <w:sz w:val="24"/>
          <w:szCs w:val="24"/>
        </w:rPr>
        <w:t>IBO's primary responsibility is to provide nonpartisan information about the city budget and tax revenues. This can range from reviewing how much a particular agency spends to more in-depth considerations of program costs, historical trends, tax burdens, debt, or capital finances. In 2009, as part of the extension of mayoral control over education in NYC, IBO was given increased authority to gain access to DOE data under an MOU and regularly produces reports and facts and figures on education related issues in New York City.</w:t>
      </w:r>
    </w:p>
    <w:p w:rsidR="006A2FAD" w:rsidRDefault="006A2FAD" w:rsidP="00853AAC">
      <w:pPr>
        <w:rPr>
          <w:rFonts w:ascii="Arial" w:hAnsi="Arial" w:cs="Arial"/>
          <w:sz w:val="24"/>
        </w:rPr>
      </w:pPr>
    </w:p>
    <w:p w:rsidR="00C74881" w:rsidRPr="00853AAC" w:rsidRDefault="00C74881" w:rsidP="00853AAC">
      <w:pPr>
        <w:rPr>
          <w:rFonts w:ascii="Arial" w:hAnsi="Arial" w:cs="Arial"/>
          <w:sz w:val="24"/>
        </w:rPr>
      </w:pPr>
    </w:p>
    <w:p w:rsidR="006A2FAD" w:rsidRPr="00853AAC" w:rsidRDefault="006A2FAD" w:rsidP="00853AAC">
      <w:pPr>
        <w:rPr>
          <w:rFonts w:ascii="Arial" w:hAnsi="Arial" w:cs="Arial"/>
          <w:b/>
          <w:sz w:val="24"/>
        </w:rPr>
      </w:pPr>
      <w:r w:rsidRPr="00853AAC">
        <w:rPr>
          <w:rFonts w:ascii="Arial" w:hAnsi="Arial" w:cs="Arial"/>
          <w:b/>
          <w:sz w:val="24"/>
        </w:rPr>
        <w:t>How is data collected?</w:t>
      </w:r>
    </w:p>
    <w:p w:rsidR="00853AAC" w:rsidRPr="001F5149" w:rsidRDefault="00853AAC" w:rsidP="00853AAC">
      <w:pPr>
        <w:rPr>
          <w:rFonts w:ascii="Arial" w:hAnsi="Arial" w:cs="Arial"/>
          <w:i/>
          <w:sz w:val="24"/>
        </w:rPr>
      </w:pPr>
    </w:p>
    <w:p w:rsidR="00853AAC" w:rsidRPr="001F5149" w:rsidRDefault="00CA55D5" w:rsidP="001F5149">
      <w:pPr>
        <w:ind w:firstLine="720"/>
        <w:rPr>
          <w:rFonts w:ascii="Arial" w:hAnsi="Arial" w:cs="Arial"/>
          <w:b/>
          <w:sz w:val="24"/>
        </w:rPr>
      </w:pPr>
      <w:r w:rsidRPr="001F5149">
        <w:rPr>
          <w:rFonts w:ascii="Arial" w:hAnsi="Arial" w:cs="Arial"/>
          <w:b/>
          <w:sz w:val="24"/>
        </w:rPr>
        <w:t>Buildings and Schools</w:t>
      </w:r>
    </w:p>
    <w:p w:rsidR="00042034" w:rsidRPr="00853AAC" w:rsidRDefault="00042034" w:rsidP="00A82125">
      <w:pPr>
        <w:ind w:left="720"/>
        <w:rPr>
          <w:rFonts w:ascii="Arial" w:hAnsi="Arial" w:cs="Arial"/>
          <w:sz w:val="24"/>
        </w:rPr>
      </w:pPr>
      <w:r w:rsidRPr="00853AAC">
        <w:rPr>
          <w:rFonts w:ascii="Arial" w:hAnsi="Arial" w:cs="Arial"/>
          <w:sz w:val="24"/>
        </w:rPr>
        <w:t xml:space="preserve">Building and school utilization data is derived from the DOE’s annual Enrollment, Capacity, and Utilization (Blue Book) report, which is publicly available from the NYC Department of Education and the NYC School Construction Authority. </w:t>
      </w:r>
    </w:p>
    <w:p w:rsidR="00CA55D5" w:rsidRPr="00CA55D5" w:rsidRDefault="00CA55D5" w:rsidP="00CA55D5">
      <w:pPr>
        <w:rPr>
          <w:rFonts w:ascii="Arial" w:hAnsi="Arial" w:cs="Arial"/>
          <w:sz w:val="24"/>
          <w:szCs w:val="24"/>
        </w:rPr>
      </w:pPr>
    </w:p>
    <w:p w:rsidR="00042034" w:rsidRDefault="00DC5791" w:rsidP="00A82125">
      <w:pPr>
        <w:ind w:left="720"/>
        <w:rPr>
          <w:rFonts w:ascii="Arial" w:hAnsi="Arial" w:cs="Arial"/>
          <w:sz w:val="24"/>
          <w:szCs w:val="24"/>
        </w:rPr>
      </w:pPr>
      <w:r w:rsidRPr="00CA55D5">
        <w:rPr>
          <w:rFonts w:ascii="Arial" w:hAnsi="Arial" w:cs="Arial"/>
          <w:sz w:val="24"/>
          <w:szCs w:val="24"/>
        </w:rPr>
        <w:t>IBO</w:t>
      </w:r>
      <w:r w:rsidR="00042034" w:rsidRPr="00CA55D5">
        <w:rPr>
          <w:rFonts w:ascii="Arial" w:hAnsi="Arial" w:cs="Arial"/>
          <w:sz w:val="24"/>
          <w:szCs w:val="24"/>
        </w:rPr>
        <w:t xml:space="preserve"> report</w:t>
      </w:r>
      <w:r w:rsidRPr="00CA55D5">
        <w:rPr>
          <w:rFonts w:ascii="Arial" w:hAnsi="Arial" w:cs="Arial"/>
          <w:sz w:val="24"/>
          <w:szCs w:val="24"/>
        </w:rPr>
        <w:t>s</w:t>
      </w:r>
      <w:r w:rsidR="00042034" w:rsidRPr="00CA55D5">
        <w:rPr>
          <w:rFonts w:ascii="Arial" w:hAnsi="Arial" w:cs="Arial"/>
          <w:sz w:val="24"/>
          <w:szCs w:val="24"/>
        </w:rPr>
        <w:t xml:space="preserve"> data on buildings and schools separately, as buildings may house one or multiple schools. Most data is from the 2014-2015 school year. Data from other years are noted. Throughout the </w:t>
      </w:r>
      <w:r w:rsidR="00986E35" w:rsidRPr="00CA55D5">
        <w:rPr>
          <w:rFonts w:ascii="Arial" w:hAnsi="Arial" w:cs="Arial"/>
          <w:sz w:val="24"/>
          <w:szCs w:val="24"/>
        </w:rPr>
        <w:t>tables</w:t>
      </w:r>
      <w:r w:rsidR="00042034" w:rsidRPr="00CA55D5">
        <w:rPr>
          <w:rFonts w:ascii="Arial" w:hAnsi="Arial" w:cs="Arial"/>
          <w:sz w:val="24"/>
          <w:szCs w:val="24"/>
        </w:rPr>
        <w:t xml:space="preserve">, </w:t>
      </w:r>
      <w:r w:rsidRPr="00CA55D5">
        <w:rPr>
          <w:rFonts w:ascii="Arial" w:hAnsi="Arial" w:cs="Arial"/>
          <w:sz w:val="24"/>
          <w:szCs w:val="24"/>
        </w:rPr>
        <w:t>IBO</w:t>
      </w:r>
      <w:r w:rsidR="00042034" w:rsidRPr="00CA55D5">
        <w:rPr>
          <w:rFonts w:ascii="Arial" w:hAnsi="Arial" w:cs="Arial"/>
          <w:sz w:val="24"/>
          <w:szCs w:val="24"/>
        </w:rPr>
        <w:t xml:space="preserve"> refer</w:t>
      </w:r>
      <w:r w:rsidRPr="00CA55D5">
        <w:rPr>
          <w:rFonts w:ascii="Arial" w:hAnsi="Arial" w:cs="Arial"/>
          <w:sz w:val="24"/>
          <w:szCs w:val="24"/>
        </w:rPr>
        <w:t>s</w:t>
      </w:r>
      <w:r w:rsidR="00042034" w:rsidRPr="00CA55D5">
        <w:rPr>
          <w:rFonts w:ascii="Arial" w:hAnsi="Arial" w:cs="Arial"/>
          <w:sz w:val="24"/>
          <w:szCs w:val="24"/>
        </w:rPr>
        <w:t xml:space="preserve"> to traditional, non-</w:t>
      </w:r>
      <w:r w:rsidR="00042034" w:rsidRPr="00CA55D5">
        <w:rPr>
          <w:rFonts w:ascii="Arial" w:hAnsi="Arial" w:cs="Arial"/>
          <w:sz w:val="24"/>
          <w:szCs w:val="24"/>
        </w:rPr>
        <w:lastRenderedPageBreak/>
        <w:t>charter public schools as “traditional publi</w:t>
      </w:r>
      <w:r w:rsidR="002155A1" w:rsidRPr="00CA55D5">
        <w:rPr>
          <w:rFonts w:ascii="Arial" w:hAnsi="Arial" w:cs="Arial"/>
          <w:sz w:val="24"/>
          <w:szCs w:val="24"/>
        </w:rPr>
        <w:t>c schools.” IBO</w:t>
      </w:r>
      <w:r w:rsidR="00042034" w:rsidRPr="00CA55D5">
        <w:rPr>
          <w:rFonts w:ascii="Arial" w:hAnsi="Arial" w:cs="Arial"/>
          <w:sz w:val="24"/>
          <w:szCs w:val="24"/>
        </w:rPr>
        <w:t xml:space="preserve"> refer</w:t>
      </w:r>
      <w:r w:rsidR="002155A1" w:rsidRPr="00CA55D5">
        <w:rPr>
          <w:rFonts w:ascii="Arial" w:hAnsi="Arial" w:cs="Arial"/>
          <w:sz w:val="24"/>
          <w:szCs w:val="24"/>
        </w:rPr>
        <w:t>s</w:t>
      </w:r>
      <w:r w:rsidR="00042034" w:rsidRPr="00CA55D5">
        <w:rPr>
          <w:rFonts w:ascii="Arial" w:hAnsi="Arial" w:cs="Arial"/>
          <w:sz w:val="24"/>
          <w:szCs w:val="24"/>
        </w:rPr>
        <w:t xml:space="preserve"> to public charter schools as “charter schools.” </w:t>
      </w:r>
    </w:p>
    <w:p w:rsidR="00CA55D5" w:rsidRPr="00CA55D5" w:rsidRDefault="00CA55D5" w:rsidP="00A82125">
      <w:pPr>
        <w:ind w:left="720"/>
        <w:rPr>
          <w:rFonts w:ascii="Arial" w:hAnsi="Arial" w:cs="Arial"/>
          <w:sz w:val="24"/>
          <w:szCs w:val="24"/>
        </w:rPr>
      </w:pPr>
    </w:p>
    <w:p w:rsidR="00CA55D5" w:rsidRDefault="00042034" w:rsidP="00A82125">
      <w:pPr>
        <w:ind w:left="720"/>
        <w:rPr>
          <w:rFonts w:ascii="Arial" w:hAnsi="Arial" w:cs="Arial"/>
          <w:sz w:val="24"/>
          <w:szCs w:val="24"/>
        </w:rPr>
      </w:pPr>
      <w:r w:rsidRPr="00CA55D5">
        <w:rPr>
          <w:rFonts w:ascii="Arial" w:hAnsi="Arial" w:cs="Arial"/>
          <w:sz w:val="24"/>
          <w:szCs w:val="24"/>
        </w:rPr>
        <w:t xml:space="preserve">To determine a building’s utilization rate, the combined enrollment of each school housed within the building is divided by the combined target capacity of each school housed within the building. The target capacity is the number of students a school or building is designed to serve based on the school’s current grade structure (whether the space is being used by a high school, elementary school, or middle school) and the square footage of rooms. </w:t>
      </w:r>
    </w:p>
    <w:p w:rsidR="00CA55D5" w:rsidRDefault="00CA55D5"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 xml:space="preserve">Similarly, to determine the utilization rates of schools, each school’s enrollment is divided by its target capacity. Schools that are housed in transportable classrooms, which are designed to temporarily provide additional classroom space where there is a shortage, are not assigned a target capacity by the DOE and therefore do not have a utilization rate. However, the enrollment of transportable classrooms is assigned to the main building they are connected to. Because transportable classrooms are actual structures, they are included in the total number of buildings. </w:t>
      </w:r>
    </w:p>
    <w:p w:rsidR="00CA55D5" w:rsidRPr="00CA55D5" w:rsidRDefault="00CA55D5"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In the past, IBO reported on the utilization rates of buildings by “building level”—the building’s designation as an elementary school, middle school, or high school. As the Blue Book no longer include</w:t>
      </w:r>
      <w:r w:rsidR="002155A1" w:rsidRPr="00CA55D5">
        <w:rPr>
          <w:rFonts w:ascii="Arial" w:hAnsi="Arial" w:cs="Arial"/>
          <w:sz w:val="24"/>
          <w:szCs w:val="24"/>
        </w:rPr>
        <w:t>s a building level indicator, IBO</w:t>
      </w:r>
      <w:r w:rsidRPr="00CA55D5">
        <w:rPr>
          <w:rFonts w:ascii="Arial" w:hAnsi="Arial" w:cs="Arial"/>
          <w:sz w:val="24"/>
          <w:szCs w:val="24"/>
        </w:rPr>
        <w:t xml:space="preserve"> now report</w:t>
      </w:r>
      <w:r w:rsidR="002155A1" w:rsidRPr="00CA55D5">
        <w:rPr>
          <w:rFonts w:ascii="Arial" w:hAnsi="Arial" w:cs="Arial"/>
          <w:sz w:val="24"/>
          <w:szCs w:val="24"/>
        </w:rPr>
        <w:t>s</w:t>
      </w:r>
      <w:r w:rsidRPr="00CA55D5">
        <w:rPr>
          <w:rFonts w:ascii="Arial" w:hAnsi="Arial" w:cs="Arial"/>
          <w:sz w:val="24"/>
          <w:szCs w:val="24"/>
        </w:rPr>
        <w:t xml:space="preserve"> on the utilization rates of schools themselves based on the grade configuration of the school. Schools that serve kindergarten through fifth grade exclusively are considered elementary schools. Schools that serve grades six through eight regardless of whether they also serve elementary school grades are considered middle schools. Schools that serve grades nine through twelve regardless of whether they serve elementary or middle school grades are considered high schools. </w:t>
      </w:r>
    </w:p>
    <w:p w:rsidR="00CA55D5" w:rsidRPr="00CA55D5" w:rsidRDefault="00CA55D5"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Data on schools that opened or closed in addition to the total number of traditional public schools and charter schools are provided by the DOE. </w:t>
      </w:r>
    </w:p>
    <w:p w:rsidR="00CA55D5" w:rsidRPr="00CA55D5" w:rsidRDefault="00CA55D5"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 xml:space="preserve">Data on average class size are derived from the DOE’s annual Class Size Report, which is available to the public, and counts only students enrolled on October 31 of each year. The data reflects class sizes for students in General Education classes, Gifted &amp; Talented classes, and Collaborative Team Teaching classes. </w:t>
      </w:r>
    </w:p>
    <w:p w:rsidR="00CA55D5" w:rsidRPr="00CA55D5" w:rsidRDefault="00CA55D5" w:rsidP="00A82125">
      <w:pPr>
        <w:ind w:left="720"/>
        <w:rPr>
          <w:rFonts w:ascii="Arial" w:hAnsi="Arial" w:cs="Arial"/>
          <w:sz w:val="24"/>
          <w:szCs w:val="24"/>
        </w:rPr>
      </w:pPr>
    </w:p>
    <w:p w:rsidR="00042034" w:rsidRPr="00CA55D5" w:rsidRDefault="00042034" w:rsidP="00A82125">
      <w:pPr>
        <w:ind w:left="720"/>
        <w:rPr>
          <w:rFonts w:ascii="Arial" w:hAnsi="Arial" w:cs="Arial"/>
          <w:sz w:val="24"/>
          <w:szCs w:val="24"/>
        </w:rPr>
      </w:pPr>
      <w:r w:rsidRPr="00CA55D5">
        <w:rPr>
          <w:rFonts w:ascii="Arial" w:hAnsi="Arial" w:cs="Arial"/>
          <w:sz w:val="24"/>
          <w:szCs w:val="24"/>
        </w:rPr>
        <w:t>To calculate schools’ average community income, IBO matched each student’s census tract of residence from the 2013-14 school year to the 2013 American Community Survey, which reports the estimated median household income of each census tract averaged over the five year period 2009 to 201</w:t>
      </w:r>
      <w:r w:rsidR="00CA55D5">
        <w:rPr>
          <w:rFonts w:ascii="Arial" w:hAnsi="Arial" w:cs="Arial"/>
          <w:sz w:val="24"/>
          <w:szCs w:val="24"/>
        </w:rPr>
        <w:t>3, measured in 2013 dollars. IBO</w:t>
      </w:r>
      <w:r w:rsidRPr="00CA55D5">
        <w:rPr>
          <w:rFonts w:ascii="Arial" w:hAnsi="Arial" w:cs="Arial"/>
          <w:sz w:val="24"/>
          <w:szCs w:val="24"/>
        </w:rPr>
        <w:t xml:space="preserve"> then compute</w:t>
      </w:r>
      <w:r w:rsidR="00CA55D5">
        <w:rPr>
          <w:rFonts w:ascii="Arial" w:hAnsi="Arial" w:cs="Arial"/>
          <w:sz w:val="24"/>
          <w:szCs w:val="24"/>
        </w:rPr>
        <w:t>d</w:t>
      </w:r>
      <w:r w:rsidRPr="00CA55D5">
        <w:rPr>
          <w:rFonts w:ascii="Arial" w:hAnsi="Arial" w:cs="Arial"/>
          <w:sz w:val="24"/>
          <w:szCs w:val="24"/>
        </w:rPr>
        <w:t xml:space="preserve"> the average income across the census tracts of students in each school. </w:t>
      </w:r>
    </w:p>
    <w:p w:rsidR="00F6027A" w:rsidRDefault="00F6027A" w:rsidP="00A82125">
      <w:pPr>
        <w:ind w:left="720"/>
        <w:rPr>
          <w:rFonts w:ascii="Arial" w:hAnsi="Arial" w:cs="Arial"/>
          <w:sz w:val="24"/>
          <w:szCs w:val="24"/>
        </w:rPr>
      </w:pPr>
    </w:p>
    <w:p w:rsidR="00042034" w:rsidRPr="00CA55D5" w:rsidRDefault="00042034" w:rsidP="00A82125">
      <w:pPr>
        <w:ind w:left="720"/>
        <w:rPr>
          <w:rFonts w:ascii="Arial" w:hAnsi="Arial" w:cs="Arial"/>
          <w:sz w:val="24"/>
          <w:szCs w:val="24"/>
        </w:rPr>
      </w:pPr>
      <w:r w:rsidRPr="00CA55D5">
        <w:rPr>
          <w:rFonts w:ascii="Arial" w:hAnsi="Arial" w:cs="Arial"/>
          <w:sz w:val="24"/>
          <w:szCs w:val="24"/>
        </w:rPr>
        <w:lastRenderedPageBreak/>
        <w:t xml:space="preserve">Because income estimates on the American Community Survey are based on survey data, an error rate is associated with each estimate. IBO excluded census tracts whose income estimate had an error rate exceeding 30 percent. Similarly, schools where at least 20 percent of students came from census tracts whose error rates exceeded 30 percent were excluded. </w:t>
      </w:r>
    </w:p>
    <w:p w:rsidR="00042034" w:rsidRPr="00CA55D5" w:rsidRDefault="00042034" w:rsidP="00A82125">
      <w:pPr>
        <w:ind w:left="720"/>
        <w:rPr>
          <w:rFonts w:ascii="Arial" w:hAnsi="Arial" w:cs="Arial"/>
          <w:sz w:val="24"/>
          <w:szCs w:val="24"/>
        </w:rPr>
      </w:pPr>
    </w:p>
    <w:p w:rsidR="00042034" w:rsidRPr="00F6027A" w:rsidRDefault="00042034" w:rsidP="00A82125">
      <w:pPr>
        <w:ind w:left="720" w:firstLine="720"/>
        <w:rPr>
          <w:rFonts w:ascii="Arial" w:hAnsi="Arial" w:cs="Arial"/>
          <w:b/>
          <w:sz w:val="24"/>
          <w:szCs w:val="24"/>
        </w:rPr>
      </w:pPr>
      <w:r w:rsidRPr="00F6027A">
        <w:rPr>
          <w:rFonts w:ascii="Arial" w:hAnsi="Arial" w:cs="Arial"/>
          <w:b/>
          <w:sz w:val="24"/>
          <w:szCs w:val="24"/>
        </w:rPr>
        <w:t>Teachers and Principals</w:t>
      </w:r>
    </w:p>
    <w:p w:rsidR="00180EE9" w:rsidRDefault="00042034" w:rsidP="00A82125">
      <w:pPr>
        <w:ind w:left="720"/>
        <w:rPr>
          <w:rFonts w:ascii="Arial" w:hAnsi="Arial" w:cs="Arial"/>
          <w:sz w:val="24"/>
          <w:szCs w:val="24"/>
        </w:rPr>
      </w:pPr>
      <w:r w:rsidRPr="00CA55D5">
        <w:rPr>
          <w:rFonts w:ascii="Arial" w:hAnsi="Arial" w:cs="Arial"/>
          <w:sz w:val="24"/>
          <w:szCs w:val="24"/>
        </w:rPr>
        <w:t xml:space="preserve">Principal and teacher data are derived from individual personnel records maintained by the DOE and provided to IBO for each of the last 12 years. In addition to demographic and assignment data, these files provide data on the use of alternative pathways to employment used by individual staff. The principal data that </w:t>
      </w:r>
      <w:r w:rsidR="00040F5A">
        <w:rPr>
          <w:rFonts w:ascii="Arial" w:hAnsi="Arial" w:cs="Arial"/>
          <w:sz w:val="24"/>
          <w:szCs w:val="24"/>
        </w:rPr>
        <w:t>IBO</w:t>
      </w:r>
      <w:r w:rsidRPr="00CA55D5">
        <w:rPr>
          <w:rFonts w:ascii="Arial" w:hAnsi="Arial" w:cs="Arial"/>
          <w:sz w:val="24"/>
          <w:szCs w:val="24"/>
        </w:rPr>
        <w:t xml:space="preserve"> report</w:t>
      </w:r>
      <w:r w:rsidR="00040F5A">
        <w:rPr>
          <w:rFonts w:ascii="Arial" w:hAnsi="Arial" w:cs="Arial"/>
          <w:sz w:val="24"/>
          <w:szCs w:val="24"/>
        </w:rPr>
        <w:t>s</w:t>
      </w:r>
      <w:r w:rsidRPr="00CA55D5">
        <w:rPr>
          <w:rFonts w:ascii="Arial" w:hAnsi="Arial" w:cs="Arial"/>
          <w:sz w:val="24"/>
          <w:szCs w:val="24"/>
        </w:rPr>
        <w:t xml:space="preserve"> on does not include assistant principals. </w:t>
      </w:r>
    </w:p>
    <w:p w:rsidR="00180EE9" w:rsidRDefault="00180EE9"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Data on teachers’ and principals’ years of experience includes employees who have been working for less than one full year.</w:t>
      </w:r>
      <w:r w:rsidR="006A2FAD" w:rsidRPr="00CA55D5">
        <w:rPr>
          <w:rFonts w:ascii="Arial" w:hAnsi="Arial" w:cs="Arial"/>
          <w:sz w:val="24"/>
          <w:szCs w:val="24"/>
        </w:rPr>
        <w:t xml:space="preserve"> </w:t>
      </w:r>
      <w:r w:rsidRPr="00CA55D5">
        <w:rPr>
          <w:rFonts w:ascii="Arial" w:hAnsi="Arial" w:cs="Arial"/>
          <w:sz w:val="24"/>
          <w:szCs w:val="24"/>
        </w:rPr>
        <w:t xml:space="preserve">Most data is from the </w:t>
      </w:r>
      <w:r w:rsidRPr="00D32127">
        <w:rPr>
          <w:rFonts w:ascii="Arial" w:hAnsi="Arial" w:cs="Arial"/>
          <w:b/>
          <w:sz w:val="24"/>
          <w:szCs w:val="24"/>
          <w:u w:val="single"/>
        </w:rPr>
        <w:t>2014-2015 school year</w:t>
      </w:r>
      <w:r w:rsidRPr="00CA55D5">
        <w:rPr>
          <w:rFonts w:ascii="Arial" w:hAnsi="Arial" w:cs="Arial"/>
          <w:sz w:val="24"/>
          <w:szCs w:val="24"/>
        </w:rPr>
        <w:t xml:space="preserve"> unless otherwise noted. </w:t>
      </w:r>
    </w:p>
    <w:p w:rsidR="00180EE9" w:rsidRPr="00CA55D5" w:rsidRDefault="00180EE9" w:rsidP="00A82125">
      <w:pPr>
        <w:ind w:left="720"/>
        <w:rPr>
          <w:rFonts w:ascii="Arial" w:hAnsi="Arial" w:cs="Arial"/>
          <w:sz w:val="24"/>
          <w:szCs w:val="24"/>
        </w:rPr>
      </w:pPr>
    </w:p>
    <w:p w:rsidR="008437CA" w:rsidRDefault="00042034" w:rsidP="00A82125">
      <w:pPr>
        <w:ind w:left="720"/>
        <w:rPr>
          <w:rFonts w:ascii="Arial" w:hAnsi="Arial" w:cs="Arial"/>
          <w:sz w:val="24"/>
          <w:szCs w:val="24"/>
        </w:rPr>
      </w:pPr>
      <w:r w:rsidRPr="00CA55D5">
        <w:rPr>
          <w:rFonts w:ascii="Arial" w:hAnsi="Arial" w:cs="Arial"/>
          <w:sz w:val="24"/>
          <w:szCs w:val="24"/>
        </w:rPr>
        <w:t>The poverty level of each school is based on the share of students who reside in low income census tracts. IBO matched each student’s census tract of residence from the 2013-14 school year to the 2013 American Community Survey, which reports the estimated median household income of each census tract averaged over five years, 2009 to 201</w:t>
      </w:r>
      <w:r w:rsidR="00853AAC">
        <w:rPr>
          <w:rFonts w:ascii="Arial" w:hAnsi="Arial" w:cs="Arial"/>
          <w:sz w:val="24"/>
          <w:szCs w:val="24"/>
        </w:rPr>
        <w:t>3, measured in 2013 dollars. IBO</w:t>
      </w:r>
      <w:r w:rsidRPr="00CA55D5">
        <w:rPr>
          <w:rFonts w:ascii="Arial" w:hAnsi="Arial" w:cs="Arial"/>
          <w:sz w:val="24"/>
          <w:szCs w:val="24"/>
        </w:rPr>
        <w:t xml:space="preserve"> then compute</w:t>
      </w:r>
      <w:r w:rsidR="00853AAC">
        <w:rPr>
          <w:rFonts w:ascii="Arial" w:hAnsi="Arial" w:cs="Arial"/>
          <w:sz w:val="24"/>
          <w:szCs w:val="24"/>
        </w:rPr>
        <w:t>d</w:t>
      </w:r>
      <w:r w:rsidRPr="00CA55D5">
        <w:rPr>
          <w:rFonts w:ascii="Arial" w:hAnsi="Arial" w:cs="Arial"/>
          <w:sz w:val="24"/>
          <w:szCs w:val="24"/>
        </w:rPr>
        <w:t xml:space="preserve"> the average income across the census tracts of students in each school. IBO considers a census tract to be low income if its median household income is less than or equal to $31,156. This benchmark is the 2013 local poverty threshold developed by the NYC Center for Economic Opportunity, which IBO outlined in </w:t>
      </w:r>
      <w:hyperlink r:id="rId9" w:tgtFrame="_blank" w:history="1">
        <w:r w:rsidRPr="00CA55D5">
          <w:rPr>
            <w:rStyle w:val="Hyperlink"/>
            <w:rFonts w:ascii="Arial" w:hAnsi="Arial" w:cs="Arial"/>
            <w:sz w:val="24"/>
            <w:szCs w:val="24"/>
          </w:rPr>
          <w:t>Beyond Meal Status: A New Measure for Quantifying Poverty Levels in the City's Schools.</w:t>
        </w:r>
      </w:hyperlink>
      <w:r w:rsidRPr="00CA55D5">
        <w:rPr>
          <w:rFonts w:ascii="Arial" w:hAnsi="Arial" w:cs="Arial"/>
          <w:sz w:val="24"/>
          <w:szCs w:val="24"/>
        </w:rPr>
        <w:t xml:space="preserve"> Schools are split into three groups based on their share of students who reside in low income census tracts. High schools are defined as schools that serve at least one student in grades nine through twelve. Elementary and middle schools are defined as schools that serve all other grades. </w:t>
      </w:r>
    </w:p>
    <w:p w:rsidR="00853AAC" w:rsidRPr="00CA55D5" w:rsidRDefault="00853AAC"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For elementary and middle schools, high community poverty schools serve 40 to 98 percent of students from low income communities, medium community poverty schools serve 5 to 39 percent, and low community poverty schools serve 0 to 4 percent. For high schools, high, medium, and low community poverty schools serve 44 to 93 percent, 26 to 43 percent, and 4 to 25 percent of students from low in</w:t>
      </w:r>
      <w:r w:rsidR="000701DB">
        <w:rPr>
          <w:rFonts w:ascii="Arial" w:hAnsi="Arial" w:cs="Arial"/>
          <w:sz w:val="24"/>
          <w:szCs w:val="24"/>
        </w:rPr>
        <w:t>come communities, respectively.</w:t>
      </w:r>
    </w:p>
    <w:p w:rsidR="00853AAC" w:rsidRPr="00CA55D5" w:rsidRDefault="00853AAC"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 xml:space="preserve">High schools are defined as schools that serve at least one student in grades nine through twelve. Elementary and middle schools are defined as schools that serve all other grades. </w:t>
      </w:r>
    </w:p>
    <w:p w:rsidR="00853AAC" w:rsidRPr="00CA55D5" w:rsidRDefault="00853AAC" w:rsidP="00A82125">
      <w:pPr>
        <w:ind w:left="720"/>
        <w:rPr>
          <w:rFonts w:ascii="Arial" w:hAnsi="Arial" w:cs="Arial"/>
          <w:sz w:val="24"/>
          <w:szCs w:val="24"/>
        </w:rPr>
      </w:pPr>
    </w:p>
    <w:p w:rsidR="00853AAC" w:rsidRDefault="00042034" w:rsidP="00A82125">
      <w:pPr>
        <w:ind w:left="720"/>
        <w:rPr>
          <w:rFonts w:ascii="Arial" w:hAnsi="Arial" w:cs="Arial"/>
          <w:sz w:val="24"/>
          <w:szCs w:val="24"/>
        </w:rPr>
      </w:pPr>
      <w:r w:rsidRPr="00CA55D5">
        <w:rPr>
          <w:rFonts w:ascii="Arial" w:hAnsi="Arial" w:cs="Arial"/>
          <w:sz w:val="24"/>
          <w:szCs w:val="24"/>
        </w:rPr>
        <w:t xml:space="preserve">Because income estimates on the American Community Survey are based on survey data, an error rate is associated with each estimate. IBO excluded census tracts whose income estimate had an error rate exceeding 30 percent. Similarly, </w:t>
      </w:r>
      <w:r w:rsidRPr="00CA55D5">
        <w:rPr>
          <w:rFonts w:ascii="Arial" w:hAnsi="Arial" w:cs="Arial"/>
          <w:sz w:val="24"/>
          <w:szCs w:val="24"/>
        </w:rPr>
        <w:lastRenderedPageBreak/>
        <w:t>schools where at least 20 percent of students came from census tracts whose error rates exc</w:t>
      </w:r>
      <w:r w:rsidR="00853AAC">
        <w:rPr>
          <w:rFonts w:ascii="Arial" w:hAnsi="Arial" w:cs="Arial"/>
          <w:sz w:val="24"/>
          <w:szCs w:val="24"/>
        </w:rPr>
        <w:t>eeded 30 percent were excluded.</w:t>
      </w:r>
    </w:p>
    <w:p w:rsidR="00853AAC" w:rsidRDefault="00853AAC" w:rsidP="00A82125">
      <w:pPr>
        <w:ind w:left="720"/>
        <w:rPr>
          <w:rFonts w:ascii="Arial" w:hAnsi="Arial" w:cs="Arial"/>
          <w:sz w:val="24"/>
          <w:szCs w:val="24"/>
        </w:rPr>
      </w:pPr>
    </w:p>
    <w:p w:rsidR="00042034" w:rsidRPr="00853AAC" w:rsidRDefault="00042034" w:rsidP="00A82125">
      <w:pPr>
        <w:ind w:left="720" w:firstLine="720"/>
        <w:rPr>
          <w:rFonts w:ascii="Arial" w:hAnsi="Arial" w:cs="Arial"/>
          <w:b/>
          <w:sz w:val="24"/>
          <w:szCs w:val="24"/>
        </w:rPr>
      </w:pPr>
      <w:r w:rsidRPr="00853AAC">
        <w:rPr>
          <w:rFonts w:ascii="Arial" w:hAnsi="Arial" w:cs="Arial"/>
          <w:b/>
          <w:sz w:val="24"/>
          <w:szCs w:val="24"/>
        </w:rPr>
        <w:t>School Budget</w:t>
      </w:r>
    </w:p>
    <w:p w:rsidR="00042034" w:rsidRPr="00CA55D5" w:rsidRDefault="00042034" w:rsidP="00A82125">
      <w:pPr>
        <w:ind w:left="720"/>
        <w:rPr>
          <w:rFonts w:ascii="Arial" w:hAnsi="Arial" w:cs="Arial"/>
          <w:sz w:val="24"/>
          <w:szCs w:val="24"/>
        </w:rPr>
      </w:pPr>
      <w:r w:rsidRPr="00CA55D5">
        <w:rPr>
          <w:rFonts w:ascii="Arial" w:hAnsi="Arial" w:cs="Arial"/>
          <w:sz w:val="24"/>
          <w:szCs w:val="24"/>
        </w:rPr>
        <w:t xml:space="preserve">Data on the Department of Education program budget and funding source, and per pupil spending are derived from the Mayor’s Office of Management and Budget (OMB) and the city’s Financial Management System. The OMB provides information on the funding of the school system and on the broad allocations made to the system through the annual budget as proposed by the Mayor, and as amended and adopted by the City Council. Much of this data is available to the public in summarized form in periodic budget reports on OMB’s web site. </w:t>
      </w:r>
      <w:r w:rsidR="00E90955">
        <w:rPr>
          <w:rFonts w:ascii="Arial" w:hAnsi="Arial" w:cs="Arial"/>
          <w:sz w:val="24"/>
          <w:szCs w:val="24"/>
        </w:rPr>
        <w:t>IBO has</w:t>
      </w:r>
      <w:r w:rsidRPr="00CA55D5">
        <w:rPr>
          <w:rFonts w:ascii="Arial" w:hAnsi="Arial" w:cs="Arial"/>
          <w:sz w:val="24"/>
          <w:szCs w:val="24"/>
        </w:rPr>
        <w:t xml:space="preserve"> access to the same information in greater detail and in real time through the city’s Financial Management System. </w:t>
      </w:r>
    </w:p>
    <w:p w:rsidR="00362622" w:rsidRDefault="00362622" w:rsidP="00A82125">
      <w:pPr>
        <w:ind w:left="720"/>
        <w:rPr>
          <w:rFonts w:ascii="Arial" w:hAnsi="Arial" w:cs="Arial"/>
          <w:sz w:val="24"/>
          <w:szCs w:val="24"/>
        </w:rPr>
      </w:pPr>
    </w:p>
    <w:p w:rsidR="00362622" w:rsidRDefault="00362622" w:rsidP="00A82125">
      <w:pPr>
        <w:ind w:left="720"/>
        <w:rPr>
          <w:rFonts w:ascii="Arial" w:hAnsi="Arial" w:cs="Arial"/>
          <w:sz w:val="24"/>
          <w:szCs w:val="24"/>
        </w:rPr>
      </w:pPr>
    </w:p>
    <w:p w:rsidR="00042034" w:rsidRDefault="00042034" w:rsidP="00A82125">
      <w:pPr>
        <w:ind w:left="720"/>
        <w:rPr>
          <w:rFonts w:ascii="Arial" w:hAnsi="Arial" w:cs="Arial"/>
          <w:sz w:val="24"/>
          <w:szCs w:val="24"/>
        </w:rPr>
      </w:pPr>
      <w:r w:rsidRPr="00CA55D5">
        <w:rPr>
          <w:rFonts w:ascii="Arial" w:hAnsi="Arial" w:cs="Arial"/>
          <w:sz w:val="24"/>
          <w:szCs w:val="24"/>
        </w:rPr>
        <w:t xml:space="preserve">More than half the DOE’s budget is retained in central offices and not placed on individual school budgets. The chart and table on funds budgeted in DOE’s central offices summarize the use of that money as of June 2016. The data categorizes spending into four broad categories—direct student services, employee related costs, selected policy initiatives, and system management and overhead. This categorization is IBO’s, based on the descriptors provided in the DOE budget data.  </w:t>
      </w:r>
    </w:p>
    <w:p w:rsidR="00362622" w:rsidRPr="00CA55D5" w:rsidRDefault="00362622" w:rsidP="00A82125">
      <w:pPr>
        <w:ind w:left="720"/>
        <w:rPr>
          <w:rFonts w:ascii="Arial" w:hAnsi="Arial" w:cs="Arial"/>
          <w:sz w:val="24"/>
          <w:szCs w:val="24"/>
        </w:rPr>
      </w:pPr>
    </w:p>
    <w:p w:rsidR="00042034" w:rsidRPr="00CA55D5" w:rsidRDefault="00042034" w:rsidP="00A82125">
      <w:pPr>
        <w:ind w:left="720"/>
        <w:rPr>
          <w:rFonts w:ascii="Arial" w:hAnsi="Arial" w:cs="Arial"/>
          <w:sz w:val="24"/>
          <w:szCs w:val="24"/>
        </w:rPr>
      </w:pPr>
      <w:r w:rsidRPr="00CA55D5">
        <w:rPr>
          <w:rFonts w:ascii="Arial" w:hAnsi="Arial" w:cs="Arial"/>
          <w:sz w:val="24"/>
          <w:szCs w:val="24"/>
        </w:rPr>
        <w:t xml:space="preserve">Data on funding streams for school budgets and the use of funds are based on the allocation of budgetary resources by individual school principals. The source of this data is an internal report provided by the DOE to IBO on a monthly basis called the School Leadership Team View. It provides a detailed accounting of the source and use of every dollar controlled by the principal of each public school in the city. </w:t>
      </w:r>
      <w:r w:rsidR="00362622">
        <w:rPr>
          <w:rFonts w:ascii="Arial" w:hAnsi="Arial" w:cs="Arial"/>
          <w:sz w:val="24"/>
          <w:szCs w:val="24"/>
        </w:rPr>
        <w:t>IBO</w:t>
      </w:r>
      <w:r w:rsidRPr="00CA55D5">
        <w:rPr>
          <w:rFonts w:ascii="Arial" w:hAnsi="Arial" w:cs="Arial"/>
          <w:sz w:val="24"/>
          <w:szCs w:val="24"/>
        </w:rPr>
        <w:t xml:space="preserve"> used the report from July 2016 to produce the summaries presented here. </w:t>
      </w:r>
    </w:p>
    <w:p w:rsidR="00362622" w:rsidRDefault="00362622" w:rsidP="00A82125">
      <w:pPr>
        <w:ind w:left="720"/>
        <w:rPr>
          <w:rFonts w:ascii="Arial" w:hAnsi="Arial" w:cs="Arial"/>
          <w:sz w:val="24"/>
          <w:szCs w:val="24"/>
        </w:rPr>
      </w:pPr>
    </w:p>
    <w:p w:rsidR="00042034" w:rsidRPr="00362622" w:rsidRDefault="00042034" w:rsidP="00A82125">
      <w:pPr>
        <w:ind w:left="720" w:firstLine="720"/>
        <w:rPr>
          <w:rFonts w:ascii="Arial" w:hAnsi="Arial" w:cs="Arial"/>
          <w:b/>
          <w:sz w:val="24"/>
          <w:szCs w:val="24"/>
        </w:rPr>
      </w:pPr>
      <w:r w:rsidRPr="00362622">
        <w:rPr>
          <w:rFonts w:ascii="Arial" w:hAnsi="Arial" w:cs="Arial"/>
          <w:b/>
          <w:sz w:val="24"/>
          <w:szCs w:val="24"/>
        </w:rPr>
        <w:t>Specialized Facilities</w:t>
      </w:r>
    </w:p>
    <w:p w:rsidR="00042034" w:rsidRPr="00CA55D5" w:rsidRDefault="00042034" w:rsidP="00A82125">
      <w:pPr>
        <w:ind w:left="720"/>
        <w:rPr>
          <w:rFonts w:ascii="Arial" w:hAnsi="Arial" w:cs="Arial"/>
          <w:sz w:val="24"/>
          <w:szCs w:val="24"/>
        </w:rPr>
      </w:pPr>
      <w:r w:rsidRPr="00CA55D5">
        <w:rPr>
          <w:rFonts w:ascii="Arial" w:hAnsi="Arial" w:cs="Arial"/>
          <w:sz w:val="24"/>
          <w:szCs w:val="24"/>
        </w:rPr>
        <w:t xml:space="preserve">The availability of science rooms and art rooms is derived from the DOE’s Principals’ Annual Space Survey, formerly known as the Annual School Facilities Survey. All data is from the </w:t>
      </w:r>
      <w:r w:rsidRPr="00362622">
        <w:rPr>
          <w:rFonts w:ascii="Arial" w:hAnsi="Arial" w:cs="Arial"/>
          <w:b/>
          <w:sz w:val="24"/>
          <w:szCs w:val="24"/>
          <w:u w:val="single"/>
        </w:rPr>
        <w:t>2014-2015 school year</w:t>
      </w:r>
      <w:r w:rsidRPr="00CA55D5">
        <w:rPr>
          <w:rFonts w:ascii="Arial" w:hAnsi="Arial" w:cs="Arial"/>
          <w:sz w:val="24"/>
          <w:szCs w:val="24"/>
        </w:rPr>
        <w:t>.</w:t>
      </w:r>
    </w:p>
    <w:p w:rsidR="008437CA" w:rsidRPr="00CA55D5" w:rsidRDefault="008437CA" w:rsidP="00A82125">
      <w:pPr>
        <w:ind w:left="720"/>
        <w:rPr>
          <w:rFonts w:ascii="Arial" w:hAnsi="Arial" w:cs="Arial"/>
          <w:sz w:val="24"/>
          <w:szCs w:val="24"/>
        </w:rPr>
      </w:pPr>
    </w:p>
    <w:p w:rsidR="00042034" w:rsidRDefault="00C073BB" w:rsidP="00A82125">
      <w:pPr>
        <w:ind w:left="720"/>
        <w:rPr>
          <w:rFonts w:ascii="Arial" w:hAnsi="Arial" w:cs="Arial"/>
          <w:sz w:val="24"/>
          <w:szCs w:val="24"/>
        </w:rPr>
      </w:pPr>
      <w:r>
        <w:rPr>
          <w:rFonts w:ascii="Arial" w:hAnsi="Arial" w:cs="Arial"/>
          <w:sz w:val="24"/>
          <w:szCs w:val="24"/>
        </w:rPr>
        <w:t>In the</w:t>
      </w:r>
      <w:r w:rsidR="00042034" w:rsidRPr="00CA55D5">
        <w:rPr>
          <w:rFonts w:ascii="Arial" w:hAnsi="Arial" w:cs="Arial"/>
          <w:sz w:val="24"/>
          <w:szCs w:val="24"/>
        </w:rPr>
        <w:t>s</w:t>
      </w:r>
      <w:r>
        <w:rPr>
          <w:rFonts w:ascii="Arial" w:hAnsi="Arial" w:cs="Arial"/>
          <w:sz w:val="24"/>
          <w:szCs w:val="24"/>
        </w:rPr>
        <w:t>e</w:t>
      </w:r>
      <w:r w:rsidR="00042034" w:rsidRPr="00CA55D5">
        <w:rPr>
          <w:rFonts w:ascii="Arial" w:hAnsi="Arial" w:cs="Arial"/>
          <w:sz w:val="24"/>
          <w:szCs w:val="24"/>
        </w:rPr>
        <w:t xml:space="preserve"> </w:t>
      </w:r>
      <w:r w:rsidR="00D80581">
        <w:rPr>
          <w:rFonts w:ascii="Arial" w:hAnsi="Arial" w:cs="Arial"/>
          <w:sz w:val="24"/>
          <w:szCs w:val="24"/>
        </w:rPr>
        <w:t>tables</w:t>
      </w:r>
      <w:r w:rsidR="00042034" w:rsidRPr="00CA55D5">
        <w:rPr>
          <w:rFonts w:ascii="Arial" w:hAnsi="Arial" w:cs="Arial"/>
          <w:sz w:val="24"/>
          <w:szCs w:val="24"/>
        </w:rPr>
        <w:t xml:space="preserve"> the grade configurations of schools were not categorized into three levels (elementary, middle, high). Schools are categorized based on th</w:t>
      </w:r>
      <w:r w:rsidR="00CA55D5" w:rsidRPr="00CA55D5">
        <w:rPr>
          <w:rFonts w:ascii="Arial" w:hAnsi="Arial" w:cs="Arial"/>
          <w:sz w:val="24"/>
          <w:szCs w:val="24"/>
        </w:rPr>
        <w:t>eir exact grade configurations.</w:t>
      </w:r>
    </w:p>
    <w:p w:rsidR="00D80581" w:rsidRDefault="00D80581" w:rsidP="00CA55D5">
      <w:pPr>
        <w:rPr>
          <w:rFonts w:ascii="Arial" w:hAnsi="Arial" w:cs="Arial"/>
          <w:sz w:val="24"/>
          <w:szCs w:val="24"/>
        </w:rPr>
      </w:pPr>
    </w:p>
    <w:p w:rsidR="00D80581" w:rsidRPr="00CA55D5" w:rsidRDefault="00D80581" w:rsidP="00CA55D5">
      <w:pPr>
        <w:rPr>
          <w:rFonts w:ascii="Arial" w:hAnsi="Arial" w:cs="Arial"/>
          <w:sz w:val="24"/>
          <w:szCs w:val="24"/>
        </w:rPr>
      </w:pPr>
    </w:p>
    <w:p w:rsidR="00042034" w:rsidRPr="00D80581" w:rsidRDefault="00CA55D5" w:rsidP="00CA55D5">
      <w:pPr>
        <w:rPr>
          <w:rFonts w:ascii="Arial" w:hAnsi="Arial" w:cs="Arial"/>
          <w:b/>
          <w:sz w:val="24"/>
          <w:szCs w:val="24"/>
        </w:rPr>
      </w:pPr>
      <w:r w:rsidRPr="00D80581">
        <w:rPr>
          <w:rFonts w:ascii="Arial" w:hAnsi="Arial" w:cs="Arial"/>
          <w:b/>
          <w:sz w:val="24"/>
          <w:szCs w:val="24"/>
        </w:rPr>
        <w:t xml:space="preserve">Data </w:t>
      </w:r>
      <w:r w:rsidR="00042034" w:rsidRPr="00D80581">
        <w:rPr>
          <w:rFonts w:ascii="Arial" w:hAnsi="Arial" w:cs="Arial"/>
          <w:b/>
          <w:sz w:val="24"/>
          <w:szCs w:val="24"/>
        </w:rPr>
        <w:t>Glossary</w:t>
      </w:r>
    </w:p>
    <w:p w:rsidR="00042034" w:rsidRPr="00CA55D5" w:rsidRDefault="00042034" w:rsidP="00CA55D5">
      <w:pPr>
        <w:rPr>
          <w:rFonts w:ascii="Arial" w:hAnsi="Arial" w:cs="Arial"/>
          <w:sz w:val="24"/>
          <w:szCs w:val="24"/>
        </w:rPr>
      </w:pPr>
    </w:p>
    <w:p w:rsidR="00042034" w:rsidRPr="00D80581" w:rsidRDefault="001F5149" w:rsidP="001F5149">
      <w:pPr>
        <w:ind w:firstLine="720"/>
        <w:rPr>
          <w:rFonts w:ascii="Arial" w:hAnsi="Arial" w:cs="Arial"/>
          <w:b/>
          <w:sz w:val="24"/>
          <w:szCs w:val="24"/>
        </w:rPr>
      </w:pPr>
      <w:r>
        <w:rPr>
          <w:rFonts w:ascii="Arial" w:hAnsi="Arial" w:cs="Arial"/>
          <w:b/>
          <w:sz w:val="24"/>
          <w:szCs w:val="24"/>
        </w:rPr>
        <w:t>Over Utilized</w:t>
      </w:r>
    </w:p>
    <w:p w:rsidR="00042034" w:rsidRPr="00CA55D5" w:rsidRDefault="00042034" w:rsidP="00A82125">
      <w:pPr>
        <w:ind w:firstLine="720"/>
        <w:rPr>
          <w:rFonts w:ascii="Arial" w:hAnsi="Arial" w:cs="Arial"/>
          <w:sz w:val="24"/>
          <w:szCs w:val="24"/>
        </w:rPr>
      </w:pPr>
      <w:r w:rsidRPr="00CA55D5">
        <w:rPr>
          <w:rFonts w:ascii="Arial" w:hAnsi="Arial" w:cs="Arial"/>
          <w:sz w:val="24"/>
          <w:szCs w:val="24"/>
        </w:rPr>
        <w:t>Buildings or schools whose utilization rate exceeds 102.5%.</w:t>
      </w:r>
    </w:p>
    <w:p w:rsidR="008437CA" w:rsidRPr="00CA55D5" w:rsidRDefault="008437CA" w:rsidP="00CA55D5">
      <w:pPr>
        <w:rPr>
          <w:rFonts w:ascii="Arial" w:hAnsi="Arial" w:cs="Arial"/>
          <w:sz w:val="24"/>
          <w:szCs w:val="24"/>
        </w:rPr>
      </w:pPr>
    </w:p>
    <w:p w:rsidR="00042034" w:rsidRPr="00D80581" w:rsidRDefault="00042034" w:rsidP="001F5149">
      <w:pPr>
        <w:ind w:firstLine="720"/>
        <w:rPr>
          <w:rFonts w:ascii="Arial" w:hAnsi="Arial" w:cs="Arial"/>
          <w:b/>
          <w:sz w:val="24"/>
          <w:szCs w:val="24"/>
        </w:rPr>
      </w:pPr>
      <w:r w:rsidRPr="00D80581">
        <w:rPr>
          <w:rFonts w:ascii="Arial" w:hAnsi="Arial" w:cs="Arial"/>
          <w:b/>
          <w:sz w:val="24"/>
          <w:szCs w:val="24"/>
        </w:rPr>
        <w:lastRenderedPageBreak/>
        <w:t>Schools Within Target Capacity</w:t>
      </w:r>
    </w:p>
    <w:p w:rsidR="00042034" w:rsidRPr="00CA55D5" w:rsidRDefault="00042034" w:rsidP="00A82125">
      <w:pPr>
        <w:ind w:firstLine="720"/>
        <w:rPr>
          <w:rFonts w:ascii="Arial" w:hAnsi="Arial" w:cs="Arial"/>
          <w:sz w:val="24"/>
          <w:szCs w:val="24"/>
        </w:rPr>
      </w:pPr>
      <w:r w:rsidRPr="00CA55D5">
        <w:rPr>
          <w:rFonts w:ascii="Arial" w:hAnsi="Arial" w:cs="Arial"/>
          <w:sz w:val="24"/>
          <w:szCs w:val="24"/>
        </w:rPr>
        <w:t xml:space="preserve">Schools that are neither over utilized nor underutilized. </w:t>
      </w:r>
    </w:p>
    <w:p w:rsidR="008437CA" w:rsidRPr="00CA55D5" w:rsidRDefault="008437CA" w:rsidP="00CA55D5">
      <w:pPr>
        <w:rPr>
          <w:rFonts w:ascii="Arial" w:hAnsi="Arial" w:cs="Arial"/>
          <w:sz w:val="24"/>
          <w:szCs w:val="24"/>
        </w:rPr>
      </w:pPr>
    </w:p>
    <w:p w:rsidR="00042034" w:rsidRPr="00D80581" w:rsidRDefault="00042034" w:rsidP="001F5149">
      <w:pPr>
        <w:ind w:firstLine="720"/>
        <w:rPr>
          <w:rFonts w:ascii="Arial" w:hAnsi="Arial" w:cs="Arial"/>
          <w:b/>
          <w:sz w:val="24"/>
          <w:szCs w:val="24"/>
        </w:rPr>
      </w:pPr>
      <w:r w:rsidRPr="00D80581">
        <w:rPr>
          <w:rFonts w:ascii="Arial" w:hAnsi="Arial" w:cs="Arial"/>
          <w:b/>
          <w:sz w:val="24"/>
          <w:szCs w:val="24"/>
        </w:rPr>
        <w:t>Underutilized</w:t>
      </w:r>
    </w:p>
    <w:p w:rsidR="00042034" w:rsidRPr="00CA55D5" w:rsidRDefault="00042034" w:rsidP="00A82125">
      <w:pPr>
        <w:ind w:left="720"/>
        <w:rPr>
          <w:rFonts w:ascii="Arial" w:hAnsi="Arial" w:cs="Arial"/>
          <w:sz w:val="24"/>
          <w:szCs w:val="24"/>
        </w:rPr>
      </w:pPr>
      <w:r w:rsidRPr="00CA55D5">
        <w:rPr>
          <w:rFonts w:ascii="Arial" w:hAnsi="Arial" w:cs="Arial"/>
          <w:sz w:val="24"/>
          <w:szCs w:val="24"/>
        </w:rPr>
        <w:t xml:space="preserve">Buildings or schools with at least 150 open seats regardless of target capacity. This metric is used by the DOE according to the Under-utilized Space Memorandum, January 2015. </w:t>
      </w:r>
    </w:p>
    <w:p w:rsidR="008437CA" w:rsidRPr="00CA55D5" w:rsidRDefault="008437CA" w:rsidP="00CA55D5">
      <w:pPr>
        <w:rPr>
          <w:rFonts w:ascii="Arial" w:hAnsi="Arial" w:cs="Arial"/>
          <w:sz w:val="24"/>
          <w:szCs w:val="24"/>
        </w:rPr>
      </w:pPr>
    </w:p>
    <w:p w:rsidR="008437CA" w:rsidRPr="00D80581" w:rsidRDefault="00042034" w:rsidP="001F5149">
      <w:pPr>
        <w:ind w:firstLine="720"/>
        <w:rPr>
          <w:rFonts w:ascii="Arial" w:hAnsi="Arial" w:cs="Arial"/>
          <w:b/>
          <w:sz w:val="24"/>
          <w:szCs w:val="24"/>
        </w:rPr>
      </w:pPr>
      <w:r w:rsidRPr="00D80581">
        <w:rPr>
          <w:rFonts w:ascii="Arial" w:hAnsi="Arial" w:cs="Arial"/>
          <w:b/>
          <w:sz w:val="24"/>
          <w:szCs w:val="24"/>
        </w:rPr>
        <w:t>Traditional Public School</w:t>
      </w:r>
    </w:p>
    <w:p w:rsidR="00042034" w:rsidRPr="00CA55D5" w:rsidRDefault="00042034" w:rsidP="00A82125">
      <w:pPr>
        <w:ind w:firstLine="720"/>
        <w:rPr>
          <w:rFonts w:ascii="Arial" w:hAnsi="Arial" w:cs="Arial"/>
          <w:sz w:val="24"/>
          <w:szCs w:val="24"/>
        </w:rPr>
      </w:pPr>
      <w:r w:rsidRPr="00CA55D5">
        <w:rPr>
          <w:rFonts w:ascii="Arial" w:hAnsi="Arial" w:cs="Arial"/>
          <w:sz w:val="24"/>
          <w:szCs w:val="24"/>
        </w:rPr>
        <w:t>A public school in Districts 1-32, District 75, or District 79.</w:t>
      </w:r>
    </w:p>
    <w:p w:rsidR="008437CA" w:rsidRPr="00CA55D5" w:rsidRDefault="008437CA" w:rsidP="00CA55D5">
      <w:pPr>
        <w:rPr>
          <w:rFonts w:ascii="Arial" w:hAnsi="Arial" w:cs="Arial"/>
          <w:sz w:val="24"/>
          <w:szCs w:val="24"/>
        </w:rPr>
      </w:pPr>
    </w:p>
    <w:p w:rsidR="008437CA" w:rsidRPr="00D80581" w:rsidRDefault="00042034" w:rsidP="001F5149">
      <w:pPr>
        <w:ind w:firstLine="720"/>
        <w:rPr>
          <w:rFonts w:ascii="Arial" w:hAnsi="Arial" w:cs="Arial"/>
          <w:b/>
          <w:sz w:val="24"/>
          <w:szCs w:val="24"/>
        </w:rPr>
      </w:pPr>
      <w:r w:rsidRPr="00D80581">
        <w:rPr>
          <w:rFonts w:ascii="Arial" w:hAnsi="Arial" w:cs="Arial"/>
          <w:b/>
          <w:sz w:val="24"/>
          <w:szCs w:val="24"/>
        </w:rPr>
        <w:t>Charter School</w:t>
      </w:r>
    </w:p>
    <w:p w:rsidR="00042034" w:rsidRPr="00CA55D5" w:rsidRDefault="00042034" w:rsidP="00A82125">
      <w:pPr>
        <w:ind w:firstLine="720"/>
        <w:rPr>
          <w:rFonts w:ascii="Arial" w:hAnsi="Arial" w:cs="Arial"/>
          <w:sz w:val="24"/>
          <w:szCs w:val="24"/>
        </w:rPr>
      </w:pPr>
      <w:r w:rsidRPr="00CA55D5">
        <w:rPr>
          <w:rFonts w:ascii="Arial" w:hAnsi="Arial" w:cs="Arial"/>
          <w:sz w:val="24"/>
          <w:szCs w:val="24"/>
        </w:rPr>
        <w:t xml:space="preserve">A public school in District 84. </w:t>
      </w:r>
    </w:p>
    <w:p w:rsidR="008437CA" w:rsidRPr="00CA55D5" w:rsidRDefault="008437CA" w:rsidP="00CA55D5">
      <w:pPr>
        <w:rPr>
          <w:rFonts w:ascii="Arial" w:hAnsi="Arial" w:cs="Arial"/>
          <w:sz w:val="24"/>
          <w:szCs w:val="24"/>
        </w:rPr>
      </w:pPr>
    </w:p>
    <w:p w:rsidR="00042034" w:rsidRPr="00D80581" w:rsidRDefault="00042034" w:rsidP="001F5149">
      <w:pPr>
        <w:ind w:firstLine="720"/>
        <w:rPr>
          <w:rFonts w:ascii="Arial" w:hAnsi="Arial" w:cs="Arial"/>
          <w:b/>
          <w:sz w:val="24"/>
          <w:szCs w:val="24"/>
        </w:rPr>
      </w:pPr>
      <w:r w:rsidRPr="00D80581">
        <w:rPr>
          <w:rFonts w:ascii="Arial" w:hAnsi="Arial" w:cs="Arial"/>
          <w:b/>
          <w:sz w:val="24"/>
          <w:szCs w:val="24"/>
        </w:rPr>
        <w:t>Dedicated Science Rooms</w:t>
      </w:r>
    </w:p>
    <w:p w:rsidR="00042034" w:rsidRPr="00CA55D5" w:rsidRDefault="00042034" w:rsidP="00A82125">
      <w:pPr>
        <w:ind w:firstLine="720"/>
        <w:rPr>
          <w:rFonts w:ascii="Arial" w:hAnsi="Arial" w:cs="Arial"/>
          <w:sz w:val="24"/>
          <w:szCs w:val="24"/>
        </w:rPr>
      </w:pPr>
      <w:r w:rsidRPr="00CA55D5">
        <w:rPr>
          <w:rFonts w:ascii="Arial" w:hAnsi="Arial" w:cs="Arial"/>
          <w:sz w:val="24"/>
          <w:szCs w:val="24"/>
        </w:rPr>
        <w:t xml:space="preserve">Science labs, science demo rooms, and science prep rooms. </w:t>
      </w:r>
    </w:p>
    <w:p w:rsidR="008437CA" w:rsidRPr="00CA55D5" w:rsidRDefault="008437CA" w:rsidP="00CA55D5">
      <w:pPr>
        <w:rPr>
          <w:rFonts w:ascii="Arial" w:hAnsi="Arial" w:cs="Arial"/>
          <w:sz w:val="24"/>
          <w:szCs w:val="24"/>
        </w:rPr>
      </w:pPr>
    </w:p>
    <w:p w:rsidR="00042034" w:rsidRPr="00D80581" w:rsidRDefault="00042034" w:rsidP="001F5149">
      <w:pPr>
        <w:ind w:firstLine="720"/>
        <w:rPr>
          <w:rFonts w:ascii="Arial" w:hAnsi="Arial" w:cs="Arial"/>
          <w:b/>
          <w:sz w:val="24"/>
          <w:szCs w:val="24"/>
        </w:rPr>
      </w:pPr>
      <w:r w:rsidRPr="00D80581">
        <w:rPr>
          <w:rFonts w:ascii="Arial" w:hAnsi="Arial" w:cs="Arial"/>
          <w:b/>
          <w:sz w:val="24"/>
          <w:szCs w:val="24"/>
        </w:rPr>
        <w:t>Science Classroom</w:t>
      </w:r>
    </w:p>
    <w:p w:rsidR="00042034" w:rsidRPr="00CA55D5" w:rsidRDefault="00042034" w:rsidP="00A82125">
      <w:pPr>
        <w:ind w:left="720"/>
        <w:rPr>
          <w:rFonts w:ascii="Arial" w:hAnsi="Arial" w:cs="Arial"/>
          <w:sz w:val="24"/>
          <w:szCs w:val="24"/>
        </w:rPr>
      </w:pPr>
      <w:r w:rsidRPr="00CA55D5">
        <w:rPr>
          <w:rFonts w:ascii="Arial" w:hAnsi="Arial" w:cs="Arial"/>
          <w:sz w:val="24"/>
          <w:szCs w:val="24"/>
        </w:rPr>
        <w:t xml:space="preserve">A classroom whose function is science, but is not a lab, demo room, or prep room. </w:t>
      </w:r>
    </w:p>
    <w:p w:rsidR="008437CA" w:rsidRPr="00CA55D5" w:rsidRDefault="008437CA" w:rsidP="00CA55D5">
      <w:pPr>
        <w:rPr>
          <w:rFonts w:ascii="Arial" w:hAnsi="Arial" w:cs="Arial"/>
          <w:sz w:val="24"/>
          <w:szCs w:val="24"/>
        </w:rPr>
      </w:pPr>
    </w:p>
    <w:p w:rsidR="00042034" w:rsidRPr="00D80581" w:rsidRDefault="00042034" w:rsidP="001F5149">
      <w:pPr>
        <w:ind w:firstLine="720"/>
        <w:rPr>
          <w:rFonts w:ascii="Arial" w:hAnsi="Arial" w:cs="Arial"/>
          <w:b/>
          <w:sz w:val="24"/>
          <w:szCs w:val="24"/>
        </w:rPr>
      </w:pPr>
      <w:r w:rsidRPr="00D80581">
        <w:rPr>
          <w:rFonts w:ascii="Arial" w:hAnsi="Arial" w:cs="Arial"/>
          <w:b/>
          <w:sz w:val="24"/>
          <w:szCs w:val="24"/>
        </w:rPr>
        <w:t>Art Room</w:t>
      </w:r>
    </w:p>
    <w:p w:rsidR="001F5149" w:rsidRDefault="00042034" w:rsidP="00A82125">
      <w:pPr>
        <w:ind w:firstLine="720"/>
        <w:rPr>
          <w:rFonts w:ascii="Arial" w:hAnsi="Arial" w:cs="Arial"/>
          <w:sz w:val="24"/>
          <w:szCs w:val="24"/>
        </w:rPr>
      </w:pPr>
      <w:r w:rsidRPr="00CA55D5">
        <w:rPr>
          <w:rFonts w:ascii="Arial" w:hAnsi="Arial" w:cs="Arial"/>
          <w:sz w:val="24"/>
          <w:szCs w:val="24"/>
        </w:rPr>
        <w:t>A room whose function is visual arts.</w:t>
      </w:r>
    </w:p>
    <w:p w:rsidR="00A82125" w:rsidRDefault="00A82125" w:rsidP="00A82125">
      <w:pPr>
        <w:rPr>
          <w:rFonts w:ascii="Arial" w:hAnsi="Arial" w:cs="Arial"/>
          <w:sz w:val="24"/>
          <w:szCs w:val="24"/>
        </w:rPr>
      </w:pPr>
    </w:p>
    <w:p w:rsidR="00227338" w:rsidRDefault="00227338" w:rsidP="00227338">
      <w:pPr>
        <w:rPr>
          <w:rFonts w:ascii="Arial" w:eastAsia="Times New Roman" w:hAnsi="Arial" w:cs="Arial"/>
          <w:bCs/>
          <w:color w:val="1A1C1B"/>
          <w:sz w:val="24"/>
          <w:szCs w:val="24"/>
          <w:lang w:val="en"/>
        </w:rPr>
      </w:pPr>
    </w:p>
    <w:p w:rsidR="00227338" w:rsidRPr="000F3374" w:rsidRDefault="00227338" w:rsidP="00227338">
      <w:pPr>
        <w:rPr>
          <w:rFonts w:ascii="Arial" w:eastAsia="Times New Roman" w:hAnsi="Arial" w:cs="Arial"/>
          <w:b/>
          <w:bCs/>
          <w:color w:val="1A1C1B"/>
          <w:sz w:val="24"/>
          <w:szCs w:val="24"/>
          <w:lang w:val="en"/>
        </w:rPr>
      </w:pPr>
      <w:r w:rsidRPr="000F3374">
        <w:rPr>
          <w:rFonts w:ascii="Arial" w:eastAsia="Times New Roman" w:hAnsi="Arial" w:cs="Arial"/>
          <w:b/>
          <w:bCs/>
          <w:color w:val="1A1C1B"/>
          <w:sz w:val="24"/>
          <w:szCs w:val="24"/>
          <w:lang w:val="en"/>
        </w:rPr>
        <w:t>List of Tables Making up This Dataset with notes</w:t>
      </w:r>
      <w:r>
        <w:rPr>
          <w:rFonts w:ascii="Arial" w:eastAsia="Times New Roman" w:hAnsi="Arial" w:cs="Arial"/>
          <w:b/>
          <w:bCs/>
          <w:color w:val="1A1C1B"/>
          <w:sz w:val="24"/>
          <w:szCs w:val="24"/>
          <w:lang w:val="en"/>
        </w:rPr>
        <w:t>, organized by topic</w:t>
      </w:r>
      <w:r w:rsidRPr="000F3374">
        <w:rPr>
          <w:rFonts w:ascii="Arial" w:eastAsia="Times New Roman" w:hAnsi="Arial" w:cs="Arial"/>
          <w:b/>
          <w:bCs/>
          <w:color w:val="1A1C1B"/>
          <w:sz w:val="24"/>
          <w:szCs w:val="24"/>
          <w:lang w:val="en"/>
        </w:rPr>
        <w:t>:</w:t>
      </w:r>
    </w:p>
    <w:p w:rsidR="00CB74C7" w:rsidRDefault="00CB74C7" w:rsidP="00A82125">
      <w:pPr>
        <w:rPr>
          <w:rFonts w:ascii="Arial" w:hAnsi="Arial" w:cs="Arial"/>
          <w:b/>
          <w:sz w:val="24"/>
          <w:szCs w:val="24"/>
        </w:rPr>
      </w:pPr>
    </w:p>
    <w:p w:rsidR="00CB74C7" w:rsidRPr="00CB74C7" w:rsidRDefault="00CB74C7" w:rsidP="00CB74C7">
      <w:pPr>
        <w:ind w:left="720"/>
        <w:rPr>
          <w:rFonts w:ascii="Arial" w:hAnsi="Arial" w:cs="Arial"/>
          <w:b/>
          <w:i/>
          <w:sz w:val="24"/>
          <w:szCs w:val="24"/>
        </w:rPr>
      </w:pPr>
      <w:r w:rsidRPr="00CB74C7">
        <w:rPr>
          <w:rFonts w:ascii="Arial" w:hAnsi="Arial" w:cs="Arial"/>
          <w:b/>
          <w:i/>
          <w:sz w:val="24"/>
          <w:szCs w:val="24"/>
        </w:rPr>
        <w:t>Budget</w:t>
      </w:r>
    </w:p>
    <w:p w:rsidR="00A82125" w:rsidRDefault="00A82125" w:rsidP="00335B65">
      <w:pPr>
        <w:ind w:firstLine="720"/>
        <w:rPr>
          <w:rFonts w:ascii="Arial" w:hAnsi="Arial" w:cs="Arial"/>
          <w:b/>
          <w:sz w:val="24"/>
          <w:szCs w:val="24"/>
        </w:rPr>
      </w:pPr>
    </w:p>
    <w:p w:rsidR="00CB7F1F" w:rsidRPr="00A82125" w:rsidRDefault="00335B65" w:rsidP="00CB74C7">
      <w:pPr>
        <w:ind w:left="1440"/>
        <w:rPr>
          <w:rFonts w:ascii="Arial" w:hAnsi="Arial" w:cs="Arial"/>
          <w:b/>
          <w:sz w:val="24"/>
          <w:szCs w:val="24"/>
        </w:rPr>
      </w:pPr>
      <w:r w:rsidRPr="00A82125">
        <w:rPr>
          <w:rFonts w:ascii="Arial" w:hAnsi="Arial" w:cs="Arial"/>
          <w:b/>
          <w:sz w:val="24"/>
          <w:szCs w:val="24"/>
        </w:rPr>
        <w:t>Department of Education Program Budget, 2011-2012 to 2016-2017</w:t>
      </w:r>
    </w:p>
    <w:p w:rsidR="00335B65" w:rsidRDefault="00335B65" w:rsidP="00CB74C7">
      <w:pPr>
        <w:ind w:left="1440"/>
        <w:rPr>
          <w:rFonts w:ascii="Arial" w:hAnsi="Arial" w:cs="Arial"/>
          <w:sz w:val="24"/>
          <w:szCs w:val="24"/>
        </w:rPr>
      </w:pPr>
      <w:r w:rsidRPr="00335B65">
        <w:rPr>
          <w:rFonts w:ascii="Arial" w:hAnsi="Arial" w:cs="Arial"/>
          <w:sz w:val="24"/>
          <w:szCs w:val="24"/>
        </w:rPr>
        <w:t>NOTE: IBO has allocated spending on fringe benefits according to the rates implied by administration budget documents for each funding source.</w:t>
      </w:r>
    </w:p>
    <w:p w:rsidR="00335B65" w:rsidRPr="00335B65" w:rsidRDefault="00335B65" w:rsidP="00CB74C7">
      <w:pPr>
        <w:ind w:left="1440"/>
        <w:rPr>
          <w:rFonts w:ascii="Arial" w:hAnsi="Arial" w:cs="Arial"/>
          <w:sz w:val="24"/>
          <w:szCs w:val="24"/>
        </w:rPr>
      </w:pPr>
    </w:p>
    <w:p w:rsidR="00283312" w:rsidRPr="00A82125" w:rsidRDefault="00335B65" w:rsidP="00CB74C7">
      <w:pPr>
        <w:ind w:left="1440"/>
        <w:rPr>
          <w:rFonts w:ascii="Arial" w:hAnsi="Arial" w:cs="Arial"/>
          <w:b/>
          <w:i/>
          <w:sz w:val="24"/>
          <w:szCs w:val="24"/>
        </w:rPr>
      </w:pPr>
      <w:r w:rsidRPr="00A82125">
        <w:rPr>
          <w:rFonts w:ascii="Arial" w:hAnsi="Arial" w:cs="Arial"/>
          <w:b/>
          <w:i/>
          <w:sz w:val="24"/>
          <w:szCs w:val="24"/>
        </w:rPr>
        <w:t>Department of Education Program Budget by Funding Source, 2014-2015 _ Revised on 4.20.17</w:t>
      </w:r>
    </w:p>
    <w:p w:rsidR="00EB7D28" w:rsidRDefault="006906E4" w:rsidP="00CB74C7">
      <w:pPr>
        <w:ind w:left="1440"/>
        <w:rPr>
          <w:rFonts w:ascii="Arial" w:hAnsi="Arial" w:cs="Arial"/>
          <w:sz w:val="24"/>
          <w:szCs w:val="24"/>
        </w:rPr>
      </w:pPr>
      <w:r w:rsidRPr="006906E4">
        <w:rPr>
          <w:rFonts w:ascii="Arial" w:hAnsi="Arial" w:cs="Arial"/>
          <w:sz w:val="24"/>
          <w:szCs w:val="24"/>
        </w:rPr>
        <w:t>NOTE: IBO has allocated spending on fringe benefits according to the rates implied by administration budget documents for each funding sour</w:t>
      </w:r>
      <w:r w:rsidR="00EB7D28">
        <w:rPr>
          <w:rFonts w:ascii="Arial" w:hAnsi="Arial" w:cs="Arial"/>
          <w:sz w:val="24"/>
          <w:szCs w:val="24"/>
        </w:rPr>
        <w:t xml:space="preserve">ce; </w:t>
      </w:r>
      <w:r w:rsidR="00EB7D28" w:rsidRPr="00EB7D28">
        <w:rPr>
          <w:rFonts w:ascii="Arial" w:hAnsi="Arial" w:cs="Arial"/>
          <w:sz w:val="24"/>
          <w:szCs w:val="24"/>
        </w:rPr>
        <w:t>Percent of all funds for each program line</w:t>
      </w:r>
    </w:p>
    <w:p w:rsidR="006906E4" w:rsidRDefault="006906E4" w:rsidP="00CB74C7">
      <w:pPr>
        <w:ind w:left="1440"/>
        <w:rPr>
          <w:rFonts w:ascii="Arial" w:hAnsi="Arial" w:cs="Arial"/>
          <w:sz w:val="24"/>
          <w:szCs w:val="24"/>
        </w:rPr>
      </w:pPr>
    </w:p>
    <w:p w:rsidR="006906E4" w:rsidRPr="006906E4" w:rsidRDefault="006906E4" w:rsidP="00CB74C7">
      <w:pPr>
        <w:ind w:left="1440"/>
        <w:rPr>
          <w:rFonts w:ascii="Arial" w:hAnsi="Arial" w:cs="Arial"/>
          <w:sz w:val="24"/>
          <w:szCs w:val="24"/>
        </w:rPr>
      </w:pPr>
    </w:p>
    <w:p w:rsidR="00283312" w:rsidRPr="00A82125" w:rsidRDefault="00335B65" w:rsidP="00CB74C7">
      <w:pPr>
        <w:ind w:left="1440"/>
        <w:rPr>
          <w:rFonts w:ascii="Arial" w:hAnsi="Arial" w:cs="Arial"/>
          <w:b/>
          <w:sz w:val="24"/>
          <w:szCs w:val="24"/>
        </w:rPr>
      </w:pPr>
      <w:r w:rsidRPr="00A82125">
        <w:rPr>
          <w:rFonts w:ascii="Arial" w:hAnsi="Arial" w:cs="Arial"/>
          <w:b/>
          <w:sz w:val="24"/>
          <w:szCs w:val="24"/>
        </w:rPr>
        <w:t>Per Pupil Spending, 2003-2004 to 2016-2017</w:t>
      </w:r>
    </w:p>
    <w:p w:rsidR="00E27579" w:rsidRDefault="00E27579" w:rsidP="00CB74C7">
      <w:pPr>
        <w:ind w:left="1440"/>
        <w:rPr>
          <w:rFonts w:ascii="Arial" w:hAnsi="Arial" w:cs="Arial"/>
          <w:sz w:val="24"/>
          <w:szCs w:val="24"/>
        </w:rPr>
      </w:pPr>
      <w:r>
        <w:rPr>
          <w:rFonts w:ascii="Arial" w:hAnsi="Arial" w:cs="Arial"/>
          <w:sz w:val="24"/>
          <w:szCs w:val="24"/>
        </w:rPr>
        <w:t xml:space="preserve">Notes: </w:t>
      </w:r>
      <w:r w:rsidRPr="00E27579">
        <w:rPr>
          <w:rFonts w:ascii="Arial" w:hAnsi="Arial" w:cs="Arial"/>
          <w:sz w:val="24"/>
          <w:szCs w:val="24"/>
        </w:rPr>
        <w:t>In Nominal and Real 2017 Dollars (Millions)</w:t>
      </w:r>
    </w:p>
    <w:p w:rsidR="00E27579" w:rsidRPr="00E27579" w:rsidRDefault="00E27579" w:rsidP="00CB74C7">
      <w:pPr>
        <w:ind w:left="1440"/>
        <w:rPr>
          <w:rFonts w:ascii="Arial" w:hAnsi="Arial" w:cs="Arial"/>
          <w:sz w:val="24"/>
          <w:szCs w:val="24"/>
        </w:rPr>
      </w:pPr>
    </w:p>
    <w:p w:rsidR="00335B65" w:rsidRPr="00A82125" w:rsidRDefault="00335B65" w:rsidP="00CB74C7">
      <w:pPr>
        <w:ind w:left="1440"/>
        <w:rPr>
          <w:rFonts w:ascii="Arial" w:hAnsi="Arial" w:cs="Arial"/>
          <w:b/>
          <w:sz w:val="24"/>
          <w:szCs w:val="24"/>
        </w:rPr>
      </w:pPr>
      <w:r w:rsidRPr="00A82125">
        <w:rPr>
          <w:rFonts w:ascii="Arial" w:hAnsi="Arial" w:cs="Arial"/>
          <w:b/>
          <w:sz w:val="24"/>
          <w:szCs w:val="24"/>
        </w:rPr>
        <w:t>Funds Budgeted in DOE Central Offices, 2015-2016</w:t>
      </w:r>
    </w:p>
    <w:p w:rsidR="00E27579" w:rsidRDefault="00E27579" w:rsidP="00CB74C7">
      <w:pPr>
        <w:ind w:left="1440"/>
        <w:rPr>
          <w:rFonts w:ascii="Arial" w:hAnsi="Arial" w:cs="Arial"/>
          <w:sz w:val="24"/>
          <w:szCs w:val="24"/>
        </w:rPr>
      </w:pPr>
      <w:r w:rsidRPr="00E27579">
        <w:rPr>
          <w:rFonts w:ascii="Arial" w:hAnsi="Arial" w:cs="Arial"/>
          <w:sz w:val="24"/>
          <w:szCs w:val="24"/>
        </w:rPr>
        <w:lastRenderedPageBreak/>
        <w:t>Funds Budgeted in Central Offices of the Department of Education, June 2016</w:t>
      </w:r>
    </w:p>
    <w:p w:rsidR="00E27579" w:rsidRPr="00E27579" w:rsidRDefault="00E27579" w:rsidP="00CB74C7">
      <w:pPr>
        <w:ind w:left="1440"/>
        <w:rPr>
          <w:rFonts w:ascii="Arial" w:hAnsi="Arial" w:cs="Arial"/>
          <w:sz w:val="24"/>
          <w:szCs w:val="24"/>
        </w:rPr>
      </w:pPr>
    </w:p>
    <w:p w:rsidR="00335B65" w:rsidRPr="00A82125" w:rsidRDefault="00335B65" w:rsidP="00CB74C7">
      <w:pPr>
        <w:ind w:left="1440"/>
        <w:rPr>
          <w:rFonts w:ascii="Arial" w:hAnsi="Arial" w:cs="Arial"/>
          <w:b/>
          <w:sz w:val="24"/>
          <w:szCs w:val="24"/>
        </w:rPr>
      </w:pPr>
      <w:r w:rsidRPr="00A82125">
        <w:rPr>
          <w:rFonts w:ascii="Arial" w:hAnsi="Arial" w:cs="Arial"/>
          <w:b/>
          <w:sz w:val="24"/>
          <w:szCs w:val="24"/>
        </w:rPr>
        <w:t>Funding Streams for School Budgets, 2013-2014 to 2015-2016</w:t>
      </w:r>
    </w:p>
    <w:p w:rsidR="00E27579" w:rsidRDefault="00E27579" w:rsidP="00CB74C7">
      <w:pPr>
        <w:ind w:left="1440"/>
        <w:rPr>
          <w:rFonts w:ascii="Arial" w:hAnsi="Arial" w:cs="Arial"/>
          <w:sz w:val="24"/>
          <w:szCs w:val="24"/>
        </w:rPr>
      </w:pPr>
      <w:r w:rsidRPr="00E27579">
        <w:rPr>
          <w:rFonts w:ascii="Arial" w:hAnsi="Arial" w:cs="Arial"/>
          <w:sz w:val="24"/>
          <w:szCs w:val="24"/>
        </w:rPr>
        <w:t>NOTE: IBO has allocated spending on fringe benefits according to the rates implied by administration budget documents for each funding source. Fair Student Funding (FSF) covers basic inst</w:t>
      </w:r>
      <w:r>
        <w:rPr>
          <w:rFonts w:ascii="Arial" w:hAnsi="Arial" w:cs="Arial"/>
          <w:sz w:val="24"/>
          <w:szCs w:val="24"/>
        </w:rPr>
        <w:t>ru</w:t>
      </w:r>
      <w:r w:rsidRPr="00E27579">
        <w:rPr>
          <w:rFonts w:ascii="Arial" w:hAnsi="Arial" w:cs="Arial"/>
          <w:sz w:val="24"/>
          <w:szCs w:val="24"/>
        </w:rPr>
        <w:t>ctional needs and is allocated to each school based on the number and need-level attributes of students at the school, adjusted for the school's funding percentage.</w:t>
      </w:r>
    </w:p>
    <w:p w:rsidR="00317C23" w:rsidRPr="00E27579" w:rsidRDefault="00317C23" w:rsidP="00CB74C7">
      <w:pPr>
        <w:ind w:left="1440"/>
        <w:rPr>
          <w:rFonts w:ascii="Arial" w:hAnsi="Arial" w:cs="Arial"/>
          <w:sz w:val="24"/>
          <w:szCs w:val="24"/>
        </w:rPr>
      </w:pPr>
    </w:p>
    <w:p w:rsidR="00335B65" w:rsidRPr="00A82125" w:rsidRDefault="00335B65" w:rsidP="00CB74C7">
      <w:pPr>
        <w:ind w:left="1440"/>
        <w:rPr>
          <w:rFonts w:ascii="Arial" w:hAnsi="Arial" w:cs="Arial"/>
          <w:b/>
          <w:sz w:val="24"/>
          <w:szCs w:val="24"/>
        </w:rPr>
      </w:pPr>
      <w:r w:rsidRPr="00A82125">
        <w:rPr>
          <w:rFonts w:ascii="Arial" w:hAnsi="Arial" w:cs="Arial"/>
          <w:b/>
          <w:sz w:val="24"/>
          <w:szCs w:val="24"/>
        </w:rPr>
        <w:t>Summary of School Budgets, Use of Funds, 2013-2014 to 2015-2016</w:t>
      </w:r>
    </w:p>
    <w:p w:rsidR="009D4D5D" w:rsidRPr="009D4D5D" w:rsidRDefault="009D4D5D" w:rsidP="00CB74C7">
      <w:pPr>
        <w:ind w:left="1440"/>
        <w:rPr>
          <w:rFonts w:ascii="Arial" w:hAnsi="Arial" w:cs="Arial"/>
          <w:sz w:val="24"/>
          <w:szCs w:val="24"/>
        </w:rPr>
      </w:pPr>
      <w:r w:rsidRPr="009D4D5D">
        <w:rPr>
          <w:rFonts w:ascii="Arial" w:hAnsi="Arial" w:cs="Arial"/>
          <w:sz w:val="24"/>
          <w:szCs w:val="24"/>
        </w:rPr>
        <w:t>NOTE: IBO has allocated spending on fringe benefits according to the rates implied by administration budget documents for each funding source. OTPS stands for Other Than Personal Service, which are funds allocated for supplies, contractual services, and equipment.</w:t>
      </w:r>
    </w:p>
    <w:p w:rsidR="009D4D5D" w:rsidRDefault="009D4D5D" w:rsidP="00CB74C7">
      <w:pPr>
        <w:rPr>
          <w:rFonts w:ascii="Arial" w:hAnsi="Arial" w:cs="Arial"/>
          <w:i/>
          <w:sz w:val="24"/>
          <w:szCs w:val="24"/>
        </w:rPr>
      </w:pPr>
    </w:p>
    <w:p w:rsidR="00CB74C7" w:rsidRDefault="00CB74C7" w:rsidP="00CB74C7">
      <w:pPr>
        <w:ind w:left="720"/>
        <w:rPr>
          <w:rFonts w:ascii="Arial" w:hAnsi="Arial" w:cs="Arial"/>
          <w:i/>
          <w:sz w:val="24"/>
          <w:szCs w:val="24"/>
        </w:rPr>
      </w:pPr>
      <w:r>
        <w:rPr>
          <w:rFonts w:ascii="Arial" w:hAnsi="Arial" w:cs="Arial"/>
          <w:i/>
          <w:sz w:val="24"/>
          <w:szCs w:val="24"/>
        </w:rPr>
        <w:t>Teachers</w:t>
      </w: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Number Age Experience of Teachers, 2005-2006-2014-2015</w:t>
      </w:r>
    </w:p>
    <w:p w:rsidR="00D170AC" w:rsidRDefault="00D170AC" w:rsidP="00CB74C7">
      <w:pPr>
        <w:ind w:left="1440"/>
        <w:rPr>
          <w:rFonts w:ascii="Arial" w:hAnsi="Arial" w:cs="Arial"/>
          <w:sz w:val="24"/>
          <w:szCs w:val="24"/>
        </w:rPr>
      </w:pPr>
      <w:r w:rsidRPr="00D170AC">
        <w:rPr>
          <w:rFonts w:ascii="Arial" w:hAnsi="Arial" w:cs="Arial"/>
          <w:sz w:val="24"/>
          <w:szCs w:val="24"/>
        </w:rPr>
        <w:t>Basic Characteristics of Teachers: Demographics &amp; Work History, 2005-2006 to 2014-2015</w:t>
      </w:r>
    </w:p>
    <w:p w:rsidR="00D170AC" w:rsidRPr="00D170AC" w:rsidRDefault="00D170AC" w:rsidP="00CB74C7">
      <w:pPr>
        <w:ind w:left="1440"/>
        <w:rPr>
          <w:rFonts w:ascii="Arial" w:hAnsi="Arial" w:cs="Arial"/>
          <w:sz w:val="24"/>
          <w:szCs w:val="24"/>
        </w:rPr>
      </w:pPr>
      <w:r w:rsidRPr="00D170AC">
        <w:rPr>
          <w:rFonts w:ascii="Arial" w:hAnsi="Arial" w:cs="Arial"/>
          <w:sz w:val="24"/>
          <w:szCs w:val="24"/>
        </w:rPr>
        <w:t>Note: includes teachers with less than one full year of experience.</w:t>
      </w:r>
    </w:p>
    <w:p w:rsidR="00D170AC" w:rsidRPr="00D170AC" w:rsidRDefault="00D170AC" w:rsidP="00CB74C7">
      <w:pPr>
        <w:ind w:left="1440"/>
        <w:rPr>
          <w:rFonts w:ascii="Arial" w:hAnsi="Arial" w:cs="Arial"/>
          <w:b/>
          <w:sz w:val="24"/>
          <w:szCs w:val="24"/>
        </w:rPr>
      </w:pPr>
    </w:p>
    <w:p w:rsidR="00D170AC" w:rsidRPr="00A82125" w:rsidRDefault="00D170AC" w:rsidP="00CB74C7">
      <w:pPr>
        <w:ind w:left="1440"/>
        <w:rPr>
          <w:rFonts w:ascii="Arial" w:hAnsi="Arial" w:cs="Arial"/>
          <w:b/>
          <w:sz w:val="24"/>
          <w:szCs w:val="24"/>
        </w:rPr>
      </w:pPr>
      <w:r w:rsidRPr="00A82125">
        <w:rPr>
          <w:rFonts w:ascii="Arial" w:hAnsi="Arial" w:cs="Arial"/>
          <w:b/>
          <w:sz w:val="24"/>
          <w:szCs w:val="24"/>
        </w:rPr>
        <w:t>Percent of Special Ed Teachers in District 75 Schools and District 1-32 Schools, 2014-2015</w:t>
      </w:r>
    </w:p>
    <w:p w:rsidR="00267B88" w:rsidRPr="00267B88" w:rsidRDefault="00267B88" w:rsidP="00CB74C7">
      <w:pPr>
        <w:ind w:left="1440"/>
        <w:rPr>
          <w:rFonts w:ascii="Arial" w:hAnsi="Arial" w:cs="Arial"/>
          <w:sz w:val="24"/>
          <w:szCs w:val="24"/>
        </w:rPr>
      </w:pPr>
      <w:r>
        <w:rPr>
          <w:rFonts w:ascii="Arial" w:hAnsi="Arial" w:cs="Arial"/>
          <w:sz w:val="24"/>
          <w:szCs w:val="24"/>
        </w:rPr>
        <w:t xml:space="preserve">Note: </w:t>
      </w:r>
      <w:r w:rsidRPr="00267B88">
        <w:rPr>
          <w:rFonts w:ascii="Arial" w:hAnsi="Arial" w:cs="Arial"/>
          <w:sz w:val="24"/>
          <w:szCs w:val="24"/>
        </w:rPr>
        <w:t>District 75 provides citywide educational, vocational, and behavior support programs for students who qualify for particular special education services.</w:t>
      </w:r>
    </w:p>
    <w:p w:rsidR="00267B88" w:rsidRDefault="00267B88" w:rsidP="00CB74C7">
      <w:pPr>
        <w:ind w:left="1440"/>
        <w:rPr>
          <w:rFonts w:ascii="Arial" w:hAnsi="Arial" w:cs="Arial"/>
          <w:b/>
          <w:sz w:val="24"/>
          <w:szCs w:val="24"/>
        </w:rPr>
      </w:pP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Teachers' Race and Ethnicity, 2014-2015</w:t>
      </w:r>
    </w:p>
    <w:p w:rsidR="007F17CC" w:rsidRDefault="007F17CC" w:rsidP="00CB74C7">
      <w:pPr>
        <w:ind w:left="1440"/>
        <w:rPr>
          <w:rFonts w:ascii="Arial" w:hAnsi="Arial" w:cs="Arial"/>
          <w:b/>
          <w:sz w:val="24"/>
          <w:szCs w:val="24"/>
        </w:rPr>
      </w:pP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Tracking Teacher Cohorts - Retention After First School Assignment, 2000-2001-2014-2015</w:t>
      </w:r>
    </w:p>
    <w:p w:rsidR="00CB7F1F" w:rsidRDefault="007F17CC" w:rsidP="00CB74C7">
      <w:pPr>
        <w:ind w:left="1440"/>
        <w:rPr>
          <w:rFonts w:ascii="Arial" w:hAnsi="Arial" w:cs="Arial"/>
          <w:sz w:val="24"/>
          <w:szCs w:val="24"/>
        </w:rPr>
      </w:pPr>
      <w:r w:rsidRPr="007F17CC">
        <w:rPr>
          <w:rFonts w:ascii="Arial" w:hAnsi="Arial" w:cs="Arial"/>
          <w:sz w:val="24"/>
          <w:szCs w:val="24"/>
        </w:rPr>
        <w:t>Note: The percent who remained in NYC Traditional Public Schools includes individuals exployed by the Department of Education in any capacity.</w:t>
      </w:r>
    </w:p>
    <w:p w:rsidR="007F17CC" w:rsidRPr="007F17CC" w:rsidRDefault="007F17CC" w:rsidP="00CB74C7">
      <w:pPr>
        <w:ind w:left="1440"/>
        <w:rPr>
          <w:rFonts w:ascii="Arial" w:hAnsi="Arial" w:cs="Arial"/>
          <w:sz w:val="24"/>
          <w:szCs w:val="24"/>
        </w:rPr>
      </w:pP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Number Age Experience of Teachers by Schools' Community Poverty Level, 2014-2015</w:t>
      </w:r>
    </w:p>
    <w:p w:rsidR="00CB7F1F" w:rsidRPr="007F17CC" w:rsidRDefault="007F17CC" w:rsidP="00CB74C7">
      <w:pPr>
        <w:ind w:left="1440"/>
        <w:rPr>
          <w:rFonts w:ascii="Arial" w:hAnsi="Arial" w:cs="Arial"/>
          <w:sz w:val="24"/>
          <w:szCs w:val="24"/>
        </w:rPr>
      </w:pPr>
      <w:r w:rsidRPr="007F17CC">
        <w:rPr>
          <w:rFonts w:ascii="Arial" w:hAnsi="Arial" w:cs="Arial"/>
          <w:sz w:val="24"/>
          <w:szCs w:val="24"/>
        </w:rPr>
        <w:t>Basic Characteristics of Teachers by School Poverty Level, 2014-2015</w:t>
      </w:r>
    </w:p>
    <w:p w:rsidR="007F17CC" w:rsidRPr="007F17CC" w:rsidRDefault="007F17CC" w:rsidP="00CB74C7">
      <w:pPr>
        <w:ind w:left="1440"/>
        <w:rPr>
          <w:rFonts w:ascii="Arial" w:hAnsi="Arial" w:cs="Arial"/>
          <w:sz w:val="24"/>
          <w:szCs w:val="24"/>
        </w:rPr>
      </w:pPr>
      <w:r w:rsidRPr="007F17CC">
        <w:rPr>
          <w:rFonts w:ascii="Arial" w:hAnsi="Arial" w:cs="Arial"/>
          <w:sz w:val="24"/>
          <w:szCs w:val="24"/>
        </w:rPr>
        <w:t>Notes: Table reflects only those teachers in s</w:t>
      </w:r>
      <w:r>
        <w:rPr>
          <w:rFonts w:ascii="Arial" w:hAnsi="Arial" w:cs="Arial"/>
          <w:sz w:val="24"/>
          <w:szCs w:val="24"/>
        </w:rPr>
        <w:t xml:space="preserve">chools with known poverty level; </w:t>
      </w:r>
      <w:r w:rsidRPr="007F17CC">
        <w:rPr>
          <w:rFonts w:ascii="Arial" w:hAnsi="Arial" w:cs="Arial"/>
          <w:sz w:val="24"/>
          <w:szCs w:val="24"/>
        </w:rPr>
        <w:t>Includes teachers with less t</w:t>
      </w:r>
      <w:r>
        <w:rPr>
          <w:rFonts w:ascii="Arial" w:hAnsi="Arial" w:cs="Arial"/>
          <w:sz w:val="24"/>
          <w:szCs w:val="24"/>
        </w:rPr>
        <w:t xml:space="preserve">han one full year of experience; </w:t>
      </w:r>
      <w:r w:rsidRPr="007F17CC">
        <w:rPr>
          <w:rFonts w:ascii="Arial" w:hAnsi="Arial" w:cs="Arial"/>
          <w:sz w:val="24"/>
          <w:szCs w:val="24"/>
        </w:rPr>
        <w:t>High schools include schools that serve at least one student in grades 9-12</w:t>
      </w:r>
    </w:p>
    <w:p w:rsidR="007F17CC" w:rsidRDefault="007F17CC" w:rsidP="00CB74C7">
      <w:pPr>
        <w:ind w:left="1440"/>
        <w:rPr>
          <w:rFonts w:ascii="Arial" w:hAnsi="Arial" w:cs="Arial"/>
          <w:b/>
          <w:sz w:val="24"/>
          <w:szCs w:val="24"/>
        </w:rPr>
      </w:pP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Teachers' Race and Ethnicity by Schools' Community Poverty Level, 2014-2015</w:t>
      </w:r>
    </w:p>
    <w:p w:rsidR="00007CBF" w:rsidRPr="00673A9B" w:rsidRDefault="00673A9B" w:rsidP="00CB74C7">
      <w:pPr>
        <w:ind w:left="1440"/>
        <w:rPr>
          <w:rFonts w:ascii="Arial" w:hAnsi="Arial" w:cs="Arial"/>
          <w:sz w:val="24"/>
          <w:szCs w:val="24"/>
        </w:rPr>
      </w:pPr>
      <w:r w:rsidRPr="00673A9B">
        <w:rPr>
          <w:rFonts w:ascii="Arial" w:hAnsi="Arial" w:cs="Arial"/>
          <w:sz w:val="24"/>
          <w:szCs w:val="24"/>
        </w:rPr>
        <w:lastRenderedPageBreak/>
        <w:t>Note: Table reflects only those teachers who work in schools with a known poverty level.</w:t>
      </w:r>
    </w:p>
    <w:p w:rsidR="00673A9B" w:rsidRDefault="00673A9B" w:rsidP="00CB74C7">
      <w:pPr>
        <w:ind w:left="1440"/>
        <w:rPr>
          <w:rFonts w:ascii="Arial" w:hAnsi="Arial" w:cs="Arial"/>
          <w:b/>
          <w:sz w:val="24"/>
          <w:szCs w:val="24"/>
        </w:rPr>
      </w:pPr>
    </w:p>
    <w:p w:rsidR="00CB7F1F" w:rsidRPr="00A82125" w:rsidRDefault="00D170AC" w:rsidP="00CB74C7">
      <w:pPr>
        <w:ind w:left="1440"/>
        <w:rPr>
          <w:rFonts w:ascii="Arial" w:hAnsi="Arial" w:cs="Arial"/>
          <w:b/>
          <w:sz w:val="24"/>
          <w:szCs w:val="24"/>
        </w:rPr>
      </w:pPr>
      <w:r w:rsidRPr="00A82125">
        <w:rPr>
          <w:rFonts w:ascii="Arial" w:hAnsi="Arial" w:cs="Arial"/>
          <w:b/>
          <w:sz w:val="24"/>
          <w:szCs w:val="24"/>
        </w:rPr>
        <w:t>Tracking Teacher Retention by Schools' Community Poverty Level, 2014-2015</w:t>
      </w:r>
    </w:p>
    <w:p w:rsidR="00673A9B" w:rsidRPr="00EC35A5" w:rsidRDefault="00EC35A5" w:rsidP="00CB74C7">
      <w:pPr>
        <w:ind w:left="1440"/>
        <w:rPr>
          <w:rFonts w:ascii="Arial" w:hAnsi="Arial" w:cs="Arial"/>
          <w:sz w:val="24"/>
          <w:szCs w:val="24"/>
        </w:rPr>
      </w:pPr>
      <w:r w:rsidRPr="00EC35A5">
        <w:rPr>
          <w:rFonts w:ascii="Arial" w:hAnsi="Arial" w:cs="Arial"/>
          <w:sz w:val="24"/>
          <w:szCs w:val="24"/>
        </w:rPr>
        <w:t>Notes: Table reflects only those teachers who work in sch</w:t>
      </w:r>
      <w:r>
        <w:rPr>
          <w:rFonts w:ascii="Arial" w:hAnsi="Arial" w:cs="Arial"/>
          <w:sz w:val="24"/>
          <w:szCs w:val="24"/>
        </w:rPr>
        <w:t xml:space="preserve">ools with a known poverty level; </w:t>
      </w:r>
      <w:r w:rsidRPr="00EC35A5">
        <w:rPr>
          <w:rFonts w:ascii="Arial" w:hAnsi="Arial" w:cs="Arial"/>
          <w:sz w:val="24"/>
          <w:szCs w:val="24"/>
        </w:rPr>
        <w:t>High schools include schools that serve at least one student in grades 9-12.</w:t>
      </w:r>
    </w:p>
    <w:p w:rsidR="00EC35A5" w:rsidRDefault="00EC35A5" w:rsidP="00CB74C7">
      <w:pPr>
        <w:ind w:left="1440"/>
        <w:rPr>
          <w:rFonts w:ascii="Arial" w:hAnsi="Arial" w:cs="Arial"/>
          <w:b/>
          <w:sz w:val="24"/>
          <w:szCs w:val="24"/>
        </w:rPr>
      </w:pPr>
    </w:p>
    <w:p w:rsidR="00D170AC" w:rsidRPr="00A82125" w:rsidRDefault="00D170AC" w:rsidP="00CB74C7">
      <w:pPr>
        <w:ind w:left="1440"/>
        <w:rPr>
          <w:rFonts w:ascii="Arial" w:hAnsi="Arial" w:cs="Arial"/>
          <w:b/>
          <w:sz w:val="24"/>
          <w:szCs w:val="24"/>
        </w:rPr>
      </w:pPr>
      <w:r w:rsidRPr="00A82125">
        <w:rPr>
          <w:rFonts w:ascii="Arial" w:hAnsi="Arial" w:cs="Arial"/>
          <w:b/>
          <w:sz w:val="24"/>
          <w:szCs w:val="24"/>
        </w:rPr>
        <w:t>Teacher Training Program Graduates by Schools' Community Poverty Level, 2014-2015</w:t>
      </w:r>
    </w:p>
    <w:p w:rsidR="00EC35A5" w:rsidRPr="00EC35A5" w:rsidRDefault="00EC35A5" w:rsidP="00CB74C7">
      <w:pPr>
        <w:ind w:left="1440"/>
        <w:rPr>
          <w:rFonts w:ascii="Arial" w:hAnsi="Arial" w:cs="Arial"/>
          <w:sz w:val="24"/>
          <w:szCs w:val="24"/>
        </w:rPr>
      </w:pPr>
      <w:r w:rsidRPr="00EC35A5">
        <w:rPr>
          <w:rFonts w:ascii="Arial" w:hAnsi="Arial" w:cs="Arial"/>
          <w:sz w:val="24"/>
          <w:szCs w:val="24"/>
        </w:rPr>
        <w:t>Notes: Table reflects only those teachers in sch</w:t>
      </w:r>
      <w:r>
        <w:rPr>
          <w:rFonts w:ascii="Arial" w:hAnsi="Arial" w:cs="Arial"/>
          <w:sz w:val="24"/>
          <w:szCs w:val="24"/>
        </w:rPr>
        <w:t xml:space="preserve">ools with a known poverty level; </w:t>
      </w:r>
      <w:r w:rsidRPr="00EC35A5">
        <w:rPr>
          <w:rFonts w:ascii="Arial" w:hAnsi="Arial" w:cs="Arial"/>
          <w:sz w:val="24"/>
          <w:szCs w:val="24"/>
        </w:rPr>
        <w:t>Includes teachers with less than one full year of experience.</w:t>
      </w:r>
    </w:p>
    <w:p w:rsidR="00EC35A5" w:rsidRDefault="00EC35A5" w:rsidP="00CB74C7">
      <w:pPr>
        <w:ind w:left="1440"/>
        <w:rPr>
          <w:rFonts w:ascii="Arial" w:hAnsi="Arial" w:cs="Arial"/>
          <w:sz w:val="24"/>
          <w:szCs w:val="24"/>
        </w:rPr>
      </w:pPr>
    </w:p>
    <w:p w:rsidR="00D170AC" w:rsidRPr="00A82125" w:rsidRDefault="00D170AC" w:rsidP="00CB74C7">
      <w:pPr>
        <w:ind w:left="1440"/>
        <w:rPr>
          <w:rFonts w:ascii="Arial" w:hAnsi="Arial" w:cs="Arial"/>
          <w:b/>
          <w:sz w:val="24"/>
          <w:szCs w:val="24"/>
        </w:rPr>
      </w:pPr>
      <w:r w:rsidRPr="00A82125">
        <w:rPr>
          <w:rFonts w:ascii="Arial" w:hAnsi="Arial" w:cs="Arial"/>
          <w:b/>
          <w:sz w:val="24"/>
          <w:szCs w:val="24"/>
        </w:rPr>
        <w:t>Tracking Teacher Retention by Training Program - Cohort of 2011-2012</w:t>
      </w:r>
    </w:p>
    <w:p w:rsidR="00CB7F1F" w:rsidRDefault="00CB7F1F" w:rsidP="00A82125">
      <w:pPr>
        <w:rPr>
          <w:rFonts w:ascii="Arial" w:hAnsi="Arial" w:cs="Arial"/>
          <w:b/>
          <w:sz w:val="24"/>
          <w:szCs w:val="24"/>
        </w:rPr>
      </w:pPr>
    </w:p>
    <w:p w:rsidR="00CB74C7" w:rsidRPr="00CB74C7" w:rsidRDefault="00CB74C7" w:rsidP="00CB74C7">
      <w:pPr>
        <w:ind w:left="720"/>
        <w:rPr>
          <w:rFonts w:ascii="Arial" w:hAnsi="Arial" w:cs="Arial"/>
          <w:b/>
          <w:i/>
          <w:sz w:val="24"/>
          <w:szCs w:val="24"/>
        </w:rPr>
      </w:pPr>
      <w:r w:rsidRPr="00CB74C7">
        <w:rPr>
          <w:rFonts w:ascii="Arial" w:hAnsi="Arial" w:cs="Arial"/>
          <w:b/>
          <w:i/>
          <w:sz w:val="24"/>
          <w:szCs w:val="24"/>
        </w:rPr>
        <w:t>Principals</w:t>
      </w: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Number Age Experience of Principals, 2005-2006-2014-2015</w:t>
      </w:r>
    </w:p>
    <w:p w:rsidR="0068156F" w:rsidRDefault="0068156F" w:rsidP="00CB74C7">
      <w:pPr>
        <w:ind w:left="1440"/>
        <w:rPr>
          <w:rFonts w:ascii="Arial" w:hAnsi="Arial" w:cs="Arial"/>
          <w:sz w:val="24"/>
          <w:szCs w:val="24"/>
        </w:rPr>
      </w:pPr>
      <w:r w:rsidRPr="0068156F">
        <w:rPr>
          <w:rFonts w:ascii="Arial" w:hAnsi="Arial" w:cs="Arial"/>
          <w:sz w:val="24"/>
          <w:szCs w:val="24"/>
        </w:rPr>
        <w:t>Basic Characteristics of Principals:</w:t>
      </w:r>
      <w:r w:rsidRPr="0068156F">
        <w:t xml:space="preserve"> </w:t>
      </w:r>
      <w:r w:rsidRPr="0068156F">
        <w:rPr>
          <w:rFonts w:ascii="Arial" w:hAnsi="Arial" w:cs="Arial"/>
          <w:sz w:val="24"/>
          <w:szCs w:val="24"/>
        </w:rPr>
        <w:t>Demographics &amp; Work History, 2005-2006 to 2014-2015</w:t>
      </w:r>
    </w:p>
    <w:p w:rsidR="0068156F" w:rsidRPr="0068156F" w:rsidRDefault="0068156F" w:rsidP="00CB74C7">
      <w:pPr>
        <w:ind w:left="1440"/>
        <w:rPr>
          <w:rFonts w:ascii="Arial" w:hAnsi="Arial" w:cs="Arial"/>
          <w:sz w:val="24"/>
          <w:szCs w:val="24"/>
        </w:rPr>
      </w:pPr>
      <w:r w:rsidRPr="0068156F">
        <w:rPr>
          <w:rFonts w:ascii="Arial" w:hAnsi="Arial" w:cs="Arial"/>
          <w:sz w:val="24"/>
          <w:szCs w:val="24"/>
        </w:rPr>
        <w:t>Note: includes principals with less than one full year of experience.</w:t>
      </w:r>
    </w:p>
    <w:p w:rsidR="0068156F" w:rsidRPr="0068156F" w:rsidRDefault="0068156F" w:rsidP="00CB74C7">
      <w:pPr>
        <w:ind w:left="1440"/>
        <w:rPr>
          <w:rFonts w:ascii="Arial" w:hAnsi="Arial" w:cs="Arial"/>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Principals' Race and Ethnicity, 2014-2015</w:t>
      </w:r>
    </w:p>
    <w:p w:rsidR="0068156F" w:rsidRDefault="0068156F" w:rsidP="00CB74C7">
      <w:pPr>
        <w:ind w:left="1440"/>
        <w:rPr>
          <w:rFonts w:ascii="Arial" w:hAnsi="Arial" w:cs="Arial"/>
          <w:i/>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Tracking Principal Cohorts - Retention After First School Assignment, 2000-2001-2014-2015</w:t>
      </w:r>
    </w:p>
    <w:p w:rsidR="0068156F" w:rsidRPr="0068156F" w:rsidRDefault="0068156F" w:rsidP="00CB74C7">
      <w:pPr>
        <w:ind w:left="1440"/>
        <w:rPr>
          <w:rFonts w:ascii="Arial" w:hAnsi="Arial" w:cs="Arial"/>
          <w:sz w:val="24"/>
          <w:szCs w:val="24"/>
        </w:rPr>
      </w:pPr>
      <w:r w:rsidRPr="0068156F">
        <w:rPr>
          <w:rFonts w:ascii="Arial" w:hAnsi="Arial" w:cs="Arial"/>
          <w:sz w:val="24"/>
          <w:szCs w:val="24"/>
        </w:rPr>
        <w:t>Note: The percent who remained in NYC Traditional Public Schools includes individuals exployed by the Department of Education in any capacity.</w:t>
      </w:r>
    </w:p>
    <w:p w:rsidR="0068156F" w:rsidRDefault="0068156F" w:rsidP="00CB74C7">
      <w:pPr>
        <w:ind w:left="1440"/>
        <w:rPr>
          <w:rFonts w:ascii="Arial" w:hAnsi="Arial" w:cs="Arial"/>
          <w:i/>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Number Age Experience of Principals by Schools' Community Poverty Level, 2014-2015</w:t>
      </w:r>
    </w:p>
    <w:p w:rsidR="00FC0C4A" w:rsidRDefault="00FC0C4A" w:rsidP="00CB74C7">
      <w:pPr>
        <w:ind w:left="1440"/>
        <w:rPr>
          <w:rFonts w:ascii="Arial" w:hAnsi="Arial" w:cs="Arial"/>
          <w:i/>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Principals' Race and Ethnicity by Schools' Community Poverty Level, 2014-2015</w:t>
      </w:r>
    </w:p>
    <w:p w:rsidR="00FC0C4A" w:rsidRPr="00FC0C4A" w:rsidRDefault="00FC0C4A" w:rsidP="00CB74C7">
      <w:pPr>
        <w:ind w:left="1440"/>
        <w:rPr>
          <w:rFonts w:ascii="Arial" w:hAnsi="Arial" w:cs="Arial"/>
          <w:sz w:val="24"/>
          <w:szCs w:val="24"/>
        </w:rPr>
      </w:pPr>
      <w:r w:rsidRPr="00FC0C4A">
        <w:rPr>
          <w:rFonts w:ascii="Arial" w:hAnsi="Arial" w:cs="Arial"/>
          <w:sz w:val="24"/>
          <w:szCs w:val="24"/>
        </w:rPr>
        <w:t>Note: Table reflects only those principals in schools with a known poverty level.</w:t>
      </w:r>
    </w:p>
    <w:p w:rsidR="00FC0C4A" w:rsidRDefault="00FC0C4A" w:rsidP="00CB74C7">
      <w:pPr>
        <w:ind w:left="1440"/>
        <w:rPr>
          <w:rFonts w:ascii="Arial" w:hAnsi="Arial" w:cs="Arial"/>
          <w:i/>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Number Age Experience of Principals by Training Program, 2014-2015</w:t>
      </w:r>
    </w:p>
    <w:p w:rsidR="0068156F" w:rsidRPr="00E003BF" w:rsidRDefault="00E003BF" w:rsidP="00CB74C7">
      <w:pPr>
        <w:ind w:left="1440"/>
        <w:rPr>
          <w:rFonts w:ascii="Arial" w:hAnsi="Arial" w:cs="Arial"/>
          <w:sz w:val="24"/>
          <w:szCs w:val="24"/>
        </w:rPr>
      </w:pPr>
      <w:r w:rsidRPr="00E003BF">
        <w:rPr>
          <w:rFonts w:ascii="Arial" w:hAnsi="Arial" w:cs="Arial"/>
          <w:sz w:val="24"/>
          <w:szCs w:val="24"/>
        </w:rPr>
        <w:t>Basic Characteristics of Principals by Training Program, 2014-2015</w:t>
      </w:r>
    </w:p>
    <w:p w:rsidR="00E003BF" w:rsidRPr="00D052E0" w:rsidRDefault="00D052E0" w:rsidP="00CB74C7">
      <w:pPr>
        <w:ind w:left="1440"/>
        <w:rPr>
          <w:rFonts w:ascii="Arial" w:hAnsi="Arial" w:cs="Arial"/>
          <w:sz w:val="24"/>
          <w:szCs w:val="24"/>
        </w:rPr>
      </w:pPr>
      <w:r w:rsidRPr="00D052E0">
        <w:rPr>
          <w:rFonts w:ascii="Arial" w:hAnsi="Arial" w:cs="Arial"/>
          <w:sz w:val="24"/>
          <w:szCs w:val="24"/>
        </w:rPr>
        <w:t>Note: Includes principals with less than one full year of experience.</w:t>
      </w:r>
    </w:p>
    <w:p w:rsidR="00E003BF" w:rsidRDefault="00E003BF" w:rsidP="00CB74C7">
      <w:pPr>
        <w:ind w:left="1440"/>
        <w:rPr>
          <w:rFonts w:ascii="Arial" w:hAnsi="Arial" w:cs="Arial"/>
          <w:i/>
          <w:sz w:val="24"/>
          <w:szCs w:val="24"/>
        </w:rPr>
      </w:pPr>
    </w:p>
    <w:p w:rsidR="0068156F" w:rsidRPr="00A82125" w:rsidRDefault="0068156F" w:rsidP="00CB74C7">
      <w:pPr>
        <w:ind w:left="1440"/>
        <w:rPr>
          <w:rFonts w:ascii="Arial" w:hAnsi="Arial" w:cs="Arial"/>
          <w:b/>
          <w:sz w:val="24"/>
          <w:szCs w:val="24"/>
        </w:rPr>
      </w:pPr>
      <w:r w:rsidRPr="00A82125">
        <w:rPr>
          <w:rFonts w:ascii="Arial" w:hAnsi="Arial" w:cs="Arial"/>
          <w:b/>
          <w:sz w:val="24"/>
          <w:szCs w:val="24"/>
        </w:rPr>
        <w:t>Principal Training Program Graduates by Schools' Community Poverty Level, 2014-2015</w:t>
      </w:r>
    </w:p>
    <w:p w:rsidR="0068156F" w:rsidRPr="00CB7F1F" w:rsidRDefault="003B05F9" w:rsidP="00CB74C7">
      <w:pPr>
        <w:ind w:left="1440"/>
        <w:rPr>
          <w:rFonts w:ascii="Arial" w:hAnsi="Arial" w:cs="Arial"/>
          <w:sz w:val="24"/>
          <w:szCs w:val="24"/>
        </w:rPr>
      </w:pPr>
      <w:r w:rsidRPr="003B05F9">
        <w:rPr>
          <w:rFonts w:ascii="Arial" w:hAnsi="Arial" w:cs="Arial"/>
          <w:sz w:val="24"/>
          <w:szCs w:val="24"/>
        </w:rPr>
        <w:lastRenderedPageBreak/>
        <w:t>Note: Table reflects only those principals in schools with a known poverty level.</w:t>
      </w:r>
    </w:p>
    <w:p w:rsidR="00CB74C7" w:rsidRDefault="00CB74C7" w:rsidP="00CB74C7">
      <w:pPr>
        <w:rPr>
          <w:rFonts w:ascii="Arial" w:hAnsi="Arial" w:cs="Arial"/>
          <w:b/>
          <w:sz w:val="24"/>
          <w:szCs w:val="24"/>
        </w:rPr>
      </w:pPr>
    </w:p>
    <w:p w:rsidR="00CB74C7" w:rsidRPr="00CB74C7" w:rsidRDefault="00CB74C7" w:rsidP="00CB74C7">
      <w:pPr>
        <w:ind w:left="720"/>
        <w:rPr>
          <w:rFonts w:ascii="Arial" w:hAnsi="Arial" w:cs="Arial"/>
          <w:b/>
          <w:i/>
          <w:sz w:val="24"/>
          <w:szCs w:val="24"/>
        </w:rPr>
      </w:pPr>
      <w:r w:rsidRPr="00CB74C7">
        <w:rPr>
          <w:rFonts w:ascii="Arial" w:hAnsi="Arial" w:cs="Arial"/>
          <w:b/>
          <w:i/>
          <w:sz w:val="24"/>
          <w:szCs w:val="24"/>
        </w:rPr>
        <w:t>Buildings and Schools</w:t>
      </w:r>
    </w:p>
    <w:p w:rsidR="00C95A94" w:rsidRPr="00A82125" w:rsidRDefault="00C95A94" w:rsidP="00CB74C7">
      <w:pPr>
        <w:ind w:left="1350"/>
        <w:rPr>
          <w:rFonts w:ascii="Arial" w:hAnsi="Arial" w:cs="Arial"/>
          <w:b/>
          <w:i/>
          <w:sz w:val="24"/>
          <w:szCs w:val="24"/>
        </w:rPr>
      </w:pPr>
      <w:r w:rsidRPr="00A82125">
        <w:rPr>
          <w:rFonts w:ascii="Arial" w:hAnsi="Arial" w:cs="Arial"/>
          <w:b/>
          <w:sz w:val="24"/>
          <w:szCs w:val="24"/>
        </w:rPr>
        <w:t>Building Utilization Rates - Number and Cumulative Percent of Buildings, 2014-</w:t>
      </w:r>
      <w:r w:rsidRPr="00A82125">
        <w:rPr>
          <w:rFonts w:ascii="Arial" w:hAnsi="Arial" w:cs="Arial"/>
          <w:b/>
          <w:i/>
          <w:sz w:val="24"/>
          <w:szCs w:val="24"/>
        </w:rPr>
        <w:t>2015</w:t>
      </w:r>
    </w:p>
    <w:p w:rsidR="00D74C82" w:rsidRPr="00D74C82" w:rsidRDefault="00D74C82" w:rsidP="00CB74C7">
      <w:pPr>
        <w:ind w:left="1350"/>
        <w:rPr>
          <w:rFonts w:ascii="Arial" w:hAnsi="Arial" w:cs="Arial"/>
          <w:i/>
          <w:sz w:val="24"/>
          <w:szCs w:val="24"/>
        </w:rPr>
      </w:pPr>
    </w:p>
    <w:p w:rsidR="00C95A94" w:rsidRPr="00A82125" w:rsidRDefault="00D74C82" w:rsidP="00CB74C7">
      <w:pPr>
        <w:ind w:left="1350"/>
        <w:rPr>
          <w:rFonts w:ascii="Arial" w:hAnsi="Arial" w:cs="Arial"/>
          <w:b/>
          <w:sz w:val="24"/>
          <w:szCs w:val="24"/>
        </w:rPr>
      </w:pPr>
      <w:r w:rsidRPr="00A82125">
        <w:rPr>
          <w:rFonts w:ascii="Arial" w:hAnsi="Arial" w:cs="Arial"/>
          <w:b/>
          <w:sz w:val="24"/>
          <w:szCs w:val="24"/>
        </w:rPr>
        <w:t>Number and Percent of Over Utilized Buildings, and Share of Students, 2007-2008-2014-2015</w:t>
      </w:r>
    </w:p>
    <w:p w:rsidR="00D74C82" w:rsidRPr="00D74C82" w:rsidRDefault="00D74C82" w:rsidP="00CB74C7">
      <w:pPr>
        <w:ind w:left="1350"/>
        <w:rPr>
          <w:rFonts w:ascii="Arial" w:hAnsi="Arial" w:cs="Arial"/>
          <w:sz w:val="24"/>
          <w:szCs w:val="24"/>
        </w:rPr>
      </w:pPr>
    </w:p>
    <w:p w:rsidR="00D74C82" w:rsidRPr="00A82125" w:rsidRDefault="00D74C82" w:rsidP="00CB74C7">
      <w:pPr>
        <w:ind w:left="1350"/>
        <w:rPr>
          <w:rFonts w:ascii="Arial" w:hAnsi="Arial" w:cs="Arial"/>
          <w:b/>
          <w:sz w:val="24"/>
          <w:szCs w:val="24"/>
        </w:rPr>
      </w:pPr>
      <w:r w:rsidRPr="00A82125">
        <w:rPr>
          <w:rFonts w:ascii="Arial" w:hAnsi="Arial" w:cs="Arial"/>
          <w:b/>
          <w:sz w:val="24"/>
          <w:szCs w:val="24"/>
        </w:rPr>
        <w:t>Median Utilization Rate of Buildings by Co-location Status, and Share of Students, 2014-2015</w:t>
      </w:r>
    </w:p>
    <w:p w:rsidR="00D74C82" w:rsidRPr="00D74C82" w:rsidRDefault="00D74C82" w:rsidP="00CB74C7">
      <w:pPr>
        <w:ind w:left="1350"/>
        <w:rPr>
          <w:rFonts w:ascii="Arial" w:hAnsi="Arial" w:cs="Arial"/>
          <w:i/>
          <w:sz w:val="24"/>
          <w:szCs w:val="24"/>
        </w:rPr>
      </w:pPr>
    </w:p>
    <w:p w:rsidR="00D74C82" w:rsidRPr="00A82125" w:rsidRDefault="00D74C82" w:rsidP="00CB74C7">
      <w:pPr>
        <w:ind w:left="1350"/>
        <w:rPr>
          <w:rFonts w:ascii="Arial" w:hAnsi="Arial" w:cs="Arial"/>
          <w:b/>
          <w:sz w:val="24"/>
          <w:szCs w:val="24"/>
        </w:rPr>
      </w:pPr>
      <w:r w:rsidRPr="00A82125">
        <w:rPr>
          <w:rFonts w:ascii="Arial" w:hAnsi="Arial" w:cs="Arial"/>
          <w:b/>
          <w:sz w:val="24"/>
          <w:szCs w:val="24"/>
        </w:rPr>
        <w:t>Percent of Over Utilized Buildings, Underutilized Buildings, and Buildings Within Cap By District, 2014-2015</w:t>
      </w:r>
    </w:p>
    <w:p w:rsidR="00F3404F" w:rsidRPr="00AF2DFA" w:rsidRDefault="00AF2DFA" w:rsidP="00CB74C7">
      <w:pPr>
        <w:ind w:left="1350"/>
        <w:rPr>
          <w:rFonts w:ascii="Arial" w:hAnsi="Arial" w:cs="Arial"/>
          <w:sz w:val="24"/>
          <w:szCs w:val="24"/>
        </w:rPr>
      </w:pPr>
      <w:r>
        <w:rPr>
          <w:rFonts w:ascii="Arial" w:hAnsi="Arial" w:cs="Arial"/>
          <w:sz w:val="24"/>
          <w:szCs w:val="24"/>
        </w:rPr>
        <w:t>Note</w:t>
      </w:r>
      <w:r w:rsidRPr="00AF2DFA">
        <w:rPr>
          <w:rFonts w:ascii="Arial" w:hAnsi="Arial" w:cs="Arial"/>
          <w:sz w:val="24"/>
          <w:szCs w:val="24"/>
        </w:rPr>
        <w:t>: IBO defines a building as over-utilized if its utilization rate exceeds 102.5 percent. Underutilized buildings have at least 150 open seats. Buildings within capacity are neither over-utilized nor underutilized.</w:t>
      </w:r>
    </w:p>
    <w:p w:rsidR="00F3404F" w:rsidRPr="00D74C82" w:rsidRDefault="00F3404F" w:rsidP="00CB74C7">
      <w:pPr>
        <w:ind w:left="1350"/>
        <w:rPr>
          <w:rFonts w:ascii="Arial" w:hAnsi="Arial" w:cs="Arial"/>
          <w:i/>
          <w:sz w:val="24"/>
          <w:szCs w:val="24"/>
        </w:rPr>
      </w:pPr>
    </w:p>
    <w:p w:rsidR="00C95A94" w:rsidRPr="00A82125" w:rsidRDefault="00D74C82" w:rsidP="00CB74C7">
      <w:pPr>
        <w:ind w:left="1350"/>
        <w:rPr>
          <w:rFonts w:ascii="Arial" w:hAnsi="Arial" w:cs="Arial"/>
          <w:b/>
          <w:sz w:val="24"/>
          <w:szCs w:val="24"/>
        </w:rPr>
      </w:pPr>
      <w:r w:rsidRPr="00A82125">
        <w:rPr>
          <w:rFonts w:ascii="Arial" w:hAnsi="Arial" w:cs="Arial"/>
          <w:b/>
          <w:sz w:val="24"/>
          <w:szCs w:val="24"/>
        </w:rPr>
        <w:t>Percent of Students in Buildings Over Under and Within Cap By District, 2014-2015</w:t>
      </w:r>
    </w:p>
    <w:p w:rsidR="00D34DA5" w:rsidRDefault="00D34DA5" w:rsidP="00CB74C7">
      <w:pPr>
        <w:ind w:left="1350"/>
        <w:rPr>
          <w:rFonts w:ascii="Arial" w:hAnsi="Arial" w:cs="Arial"/>
          <w:sz w:val="24"/>
          <w:szCs w:val="24"/>
        </w:rPr>
      </w:pPr>
      <w:r w:rsidRPr="00D34DA5">
        <w:rPr>
          <w:rFonts w:ascii="Arial" w:hAnsi="Arial" w:cs="Arial"/>
          <w:sz w:val="24"/>
          <w:szCs w:val="24"/>
        </w:rPr>
        <w:t>Percent of Students in Buildings that are Over-utilized, Underutilized, and Within Capacity By School District, 2014-2015</w:t>
      </w:r>
    </w:p>
    <w:p w:rsidR="00A82125" w:rsidRDefault="00A82125" w:rsidP="00CB74C7">
      <w:pPr>
        <w:ind w:left="1350"/>
        <w:rPr>
          <w:rFonts w:ascii="Arial" w:hAnsi="Arial" w:cs="Arial"/>
          <w:sz w:val="24"/>
          <w:szCs w:val="24"/>
        </w:rPr>
      </w:pPr>
    </w:p>
    <w:p w:rsidR="00C95A94" w:rsidRPr="00D34DA5" w:rsidRDefault="00D34DA5" w:rsidP="00CB74C7">
      <w:pPr>
        <w:ind w:left="1350"/>
        <w:rPr>
          <w:rFonts w:ascii="Arial" w:hAnsi="Arial" w:cs="Arial"/>
          <w:sz w:val="24"/>
          <w:szCs w:val="24"/>
        </w:rPr>
      </w:pPr>
      <w:r w:rsidRPr="00D34DA5">
        <w:rPr>
          <w:rFonts w:ascii="Arial" w:hAnsi="Arial" w:cs="Arial"/>
          <w:sz w:val="24"/>
          <w:szCs w:val="24"/>
        </w:rPr>
        <w:t>Note: IBO defines a building as over utilized if its utilization rate exceeds 102.5 percent. Underutilized buildings have at least 150 open seats. Buildings within capacity are neither over-utilized nor underutilized.</w:t>
      </w:r>
    </w:p>
    <w:p w:rsidR="00D74C82" w:rsidRDefault="00D74C82" w:rsidP="00CB74C7">
      <w:pPr>
        <w:ind w:left="1350"/>
        <w:rPr>
          <w:rFonts w:ascii="Arial" w:hAnsi="Arial" w:cs="Arial"/>
          <w:b/>
          <w:sz w:val="24"/>
          <w:szCs w:val="24"/>
        </w:rPr>
      </w:pPr>
    </w:p>
    <w:p w:rsidR="009C02E6" w:rsidRPr="00A82125" w:rsidRDefault="009C02E6" w:rsidP="00CB74C7">
      <w:pPr>
        <w:ind w:left="1350"/>
        <w:rPr>
          <w:rFonts w:ascii="Arial" w:hAnsi="Arial" w:cs="Arial"/>
          <w:b/>
          <w:sz w:val="24"/>
          <w:szCs w:val="24"/>
        </w:rPr>
      </w:pPr>
      <w:r w:rsidRPr="00A82125">
        <w:rPr>
          <w:rFonts w:ascii="Arial" w:hAnsi="Arial" w:cs="Arial"/>
          <w:b/>
          <w:sz w:val="24"/>
          <w:szCs w:val="24"/>
        </w:rPr>
        <w:t>School Utilization Rates - Number and Cumulative Percent of Schools, 2014-2015</w:t>
      </w:r>
    </w:p>
    <w:p w:rsidR="009C02E6" w:rsidRPr="009C02E6" w:rsidRDefault="009C02E6" w:rsidP="00CB74C7">
      <w:pPr>
        <w:ind w:left="1350"/>
        <w:rPr>
          <w:rFonts w:ascii="Arial" w:hAnsi="Arial" w:cs="Arial"/>
          <w:i/>
          <w:sz w:val="24"/>
          <w:szCs w:val="24"/>
        </w:rPr>
      </w:pPr>
    </w:p>
    <w:p w:rsidR="009C02E6" w:rsidRPr="00A82125" w:rsidRDefault="009C02E6" w:rsidP="00CB74C7">
      <w:pPr>
        <w:ind w:left="1350"/>
        <w:rPr>
          <w:rFonts w:ascii="Arial" w:hAnsi="Arial" w:cs="Arial"/>
          <w:b/>
          <w:sz w:val="24"/>
          <w:szCs w:val="24"/>
        </w:rPr>
      </w:pPr>
      <w:r w:rsidRPr="00A82125">
        <w:rPr>
          <w:rFonts w:ascii="Arial" w:hAnsi="Arial" w:cs="Arial"/>
          <w:b/>
          <w:sz w:val="24"/>
          <w:szCs w:val="24"/>
        </w:rPr>
        <w:t>Median Utilization Rate of Schools by School Level, 2014-2015</w:t>
      </w:r>
    </w:p>
    <w:p w:rsidR="009C02E6" w:rsidRDefault="009C02E6" w:rsidP="00CB74C7">
      <w:pPr>
        <w:ind w:left="1350"/>
        <w:rPr>
          <w:rFonts w:ascii="Arial" w:hAnsi="Arial" w:cs="Arial"/>
          <w:i/>
          <w:sz w:val="24"/>
          <w:szCs w:val="24"/>
        </w:rPr>
      </w:pPr>
    </w:p>
    <w:p w:rsidR="009C02E6" w:rsidRPr="00A82125" w:rsidRDefault="009C02E6" w:rsidP="00CB74C7">
      <w:pPr>
        <w:ind w:left="1350"/>
        <w:rPr>
          <w:rFonts w:ascii="Arial" w:hAnsi="Arial" w:cs="Arial"/>
          <w:b/>
          <w:sz w:val="24"/>
          <w:szCs w:val="24"/>
        </w:rPr>
      </w:pPr>
      <w:r w:rsidRPr="00A82125">
        <w:rPr>
          <w:rFonts w:ascii="Arial" w:hAnsi="Arial" w:cs="Arial"/>
          <w:b/>
          <w:sz w:val="24"/>
          <w:szCs w:val="24"/>
        </w:rPr>
        <w:t>Median Utilization Rate of Schools in Buildings with Co-located Charters, 2014-2015</w:t>
      </w:r>
    </w:p>
    <w:p w:rsidR="00A67C83" w:rsidRPr="00A67C83" w:rsidRDefault="00A67C83" w:rsidP="00CB74C7">
      <w:pPr>
        <w:ind w:left="1350"/>
        <w:rPr>
          <w:rFonts w:ascii="Arial" w:hAnsi="Arial" w:cs="Arial"/>
          <w:sz w:val="24"/>
          <w:szCs w:val="24"/>
        </w:rPr>
      </w:pPr>
      <w:r w:rsidRPr="00A67C83">
        <w:rPr>
          <w:rFonts w:ascii="Arial" w:hAnsi="Arial" w:cs="Arial"/>
          <w:sz w:val="24"/>
          <w:szCs w:val="24"/>
        </w:rPr>
        <w:t>NOTE: Co-located Charter Schools share a building with at least one other Traditional Public School. Co-lo</w:t>
      </w:r>
      <w:r w:rsidR="00A82125">
        <w:rPr>
          <w:rFonts w:ascii="Arial" w:hAnsi="Arial" w:cs="Arial"/>
          <w:sz w:val="24"/>
          <w:szCs w:val="24"/>
        </w:rPr>
        <w:t>c</w:t>
      </w:r>
      <w:r w:rsidRPr="00A67C83">
        <w:rPr>
          <w:rFonts w:ascii="Arial" w:hAnsi="Arial" w:cs="Arial"/>
          <w:sz w:val="24"/>
          <w:szCs w:val="24"/>
        </w:rPr>
        <w:t>ated Traditional Public Schools share a building with at least one other Charter School.</w:t>
      </w:r>
    </w:p>
    <w:p w:rsidR="009C02E6" w:rsidRDefault="009C02E6" w:rsidP="00CB74C7">
      <w:pPr>
        <w:ind w:left="1350"/>
        <w:rPr>
          <w:rFonts w:ascii="Arial" w:hAnsi="Arial" w:cs="Arial"/>
          <w:i/>
          <w:sz w:val="24"/>
          <w:szCs w:val="24"/>
        </w:rPr>
      </w:pPr>
    </w:p>
    <w:p w:rsidR="009C02E6" w:rsidRPr="00A82125" w:rsidRDefault="009C02E6" w:rsidP="00CB74C7">
      <w:pPr>
        <w:ind w:left="1350"/>
        <w:rPr>
          <w:rFonts w:ascii="Arial" w:hAnsi="Arial" w:cs="Arial"/>
          <w:b/>
          <w:sz w:val="24"/>
          <w:szCs w:val="24"/>
        </w:rPr>
      </w:pPr>
      <w:r w:rsidRPr="00A82125">
        <w:rPr>
          <w:rFonts w:ascii="Arial" w:hAnsi="Arial" w:cs="Arial"/>
          <w:b/>
          <w:sz w:val="24"/>
          <w:szCs w:val="24"/>
        </w:rPr>
        <w:t>School Utilization by Schools' Average Community Income, 2014-2015</w:t>
      </w:r>
    </w:p>
    <w:p w:rsidR="00A67C83" w:rsidRPr="00A67C83" w:rsidRDefault="00A67C83" w:rsidP="00CB74C7">
      <w:pPr>
        <w:ind w:left="1350"/>
        <w:rPr>
          <w:rFonts w:ascii="Arial" w:hAnsi="Arial" w:cs="Arial"/>
          <w:sz w:val="24"/>
          <w:szCs w:val="24"/>
        </w:rPr>
      </w:pPr>
      <w:r w:rsidRPr="00A67C83">
        <w:rPr>
          <w:rFonts w:ascii="Arial" w:hAnsi="Arial" w:cs="Arial"/>
          <w:sz w:val="24"/>
          <w:szCs w:val="24"/>
        </w:rPr>
        <w:t>Note: The average community income of each school is a measure of the aggregated median household income of the census tracts in which students reside. For more information, see the section</w:t>
      </w:r>
      <w:r w:rsidR="00C95A94">
        <w:rPr>
          <w:rFonts w:ascii="Arial" w:hAnsi="Arial" w:cs="Arial"/>
          <w:sz w:val="24"/>
          <w:szCs w:val="24"/>
        </w:rPr>
        <w:t xml:space="preserve"> “How is Data Collected”</w:t>
      </w:r>
      <w:r w:rsidRPr="00A67C83">
        <w:rPr>
          <w:rFonts w:ascii="Arial" w:hAnsi="Arial" w:cs="Arial"/>
          <w:sz w:val="24"/>
          <w:szCs w:val="24"/>
        </w:rPr>
        <w:t>.</w:t>
      </w:r>
    </w:p>
    <w:p w:rsidR="00A67C83" w:rsidRDefault="00A67C83" w:rsidP="00CB74C7">
      <w:pPr>
        <w:ind w:left="1350"/>
        <w:rPr>
          <w:rFonts w:ascii="Arial" w:hAnsi="Arial" w:cs="Arial"/>
          <w:i/>
          <w:sz w:val="24"/>
          <w:szCs w:val="24"/>
        </w:rPr>
      </w:pPr>
    </w:p>
    <w:p w:rsidR="00AA16CA" w:rsidRPr="00A82125" w:rsidRDefault="00AA16CA" w:rsidP="00CB74C7">
      <w:pPr>
        <w:ind w:left="1350"/>
        <w:rPr>
          <w:rFonts w:ascii="Arial" w:hAnsi="Arial" w:cs="Arial"/>
          <w:b/>
          <w:sz w:val="24"/>
          <w:szCs w:val="24"/>
        </w:rPr>
      </w:pPr>
      <w:r w:rsidRPr="00A82125">
        <w:rPr>
          <w:rFonts w:ascii="Arial" w:hAnsi="Arial" w:cs="Arial"/>
          <w:b/>
          <w:sz w:val="24"/>
          <w:szCs w:val="24"/>
        </w:rPr>
        <w:lastRenderedPageBreak/>
        <w:t>Total Number of Traditional Public Schools, and Number that Opened and Closed, 2002-2003-2014-2015</w:t>
      </w:r>
    </w:p>
    <w:p w:rsidR="00AA16CA" w:rsidRPr="00AA16CA" w:rsidRDefault="00AA16CA" w:rsidP="00CB74C7">
      <w:pPr>
        <w:ind w:left="1350" w:firstLine="720"/>
        <w:rPr>
          <w:rFonts w:ascii="Arial" w:hAnsi="Arial" w:cs="Arial"/>
          <w:sz w:val="24"/>
          <w:szCs w:val="24"/>
        </w:rPr>
      </w:pPr>
      <w:r w:rsidRPr="00AA16CA">
        <w:rPr>
          <w:rFonts w:ascii="Arial" w:hAnsi="Arial" w:cs="Arial"/>
          <w:sz w:val="24"/>
          <w:szCs w:val="24"/>
        </w:rPr>
        <w:t>Note: Data on the number of schools closed in 2002-2003 is not available.</w:t>
      </w:r>
    </w:p>
    <w:p w:rsidR="00AA16CA" w:rsidRPr="00AA16CA" w:rsidRDefault="00AA16CA" w:rsidP="00CB74C7">
      <w:pPr>
        <w:ind w:left="1350"/>
        <w:rPr>
          <w:rFonts w:ascii="Arial" w:hAnsi="Arial" w:cs="Arial"/>
          <w:sz w:val="24"/>
          <w:szCs w:val="24"/>
        </w:rPr>
      </w:pPr>
    </w:p>
    <w:p w:rsidR="00AA16CA" w:rsidRPr="00A82125" w:rsidRDefault="00AA16CA" w:rsidP="00CB74C7">
      <w:pPr>
        <w:ind w:left="1350"/>
        <w:rPr>
          <w:rFonts w:ascii="Arial" w:hAnsi="Arial" w:cs="Arial"/>
          <w:b/>
          <w:sz w:val="24"/>
          <w:szCs w:val="24"/>
        </w:rPr>
      </w:pPr>
      <w:r w:rsidRPr="00A82125">
        <w:rPr>
          <w:rFonts w:ascii="Arial" w:hAnsi="Arial" w:cs="Arial"/>
          <w:b/>
          <w:sz w:val="24"/>
          <w:szCs w:val="24"/>
        </w:rPr>
        <w:t>Total Number of Charter Schools, 1999-2000-2014-2015</w:t>
      </w:r>
    </w:p>
    <w:p w:rsidR="00AA16CA" w:rsidRPr="00AA16CA" w:rsidRDefault="00AA16CA" w:rsidP="00CB74C7">
      <w:pPr>
        <w:ind w:left="1350"/>
        <w:rPr>
          <w:rFonts w:ascii="Arial" w:hAnsi="Arial" w:cs="Arial"/>
          <w:i/>
          <w:sz w:val="24"/>
          <w:szCs w:val="24"/>
        </w:rPr>
      </w:pPr>
    </w:p>
    <w:p w:rsidR="00AA16CA" w:rsidRPr="00A82125" w:rsidRDefault="00AA16CA" w:rsidP="00CB74C7">
      <w:pPr>
        <w:ind w:left="1350"/>
        <w:rPr>
          <w:rFonts w:ascii="Arial" w:hAnsi="Arial" w:cs="Arial"/>
          <w:b/>
          <w:sz w:val="24"/>
          <w:szCs w:val="24"/>
        </w:rPr>
      </w:pPr>
      <w:r w:rsidRPr="00A82125">
        <w:rPr>
          <w:rFonts w:ascii="Arial" w:hAnsi="Arial" w:cs="Arial"/>
          <w:b/>
          <w:sz w:val="24"/>
          <w:szCs w:val="24"/>
        </w:rPr>
        <w:t>Average Class Size, 2011-2012-2014-2015</w:t>
      </w:r>
    </w:p>
    <w:p w:rsidR="00AA16CA" w:rsidRDefault="00AA16CA" w:rsidP="00CB74C7">
      <w:pPr>
        <w:ind w:left="1350"/>
        <w:rPr>
          <w:rFonts w:ascii="Arial" w:hAnsi="Arial" w:cs="Arial"/>
          <w:sz w:val="24"/>
          <w:szCs w:val="24"/>
        </w:rPr>
      </w:pPr>
      <w:r w:rsidRPr="00AA16CA">
        <w:rPr>
          <w:rFonts w:ascii="Arial" w:hAnsi="Arial" w:cs="Arial"/>
          <w:sz w:val="24"/>
          <w:szCs w:val="24"/>
        </w:rPr>
        <w:t>Average Class Size in Traditional Public Schools, 2011-2012 to 2014-2015</w:t>
      </w:r>
    </w:p>
    <w:p w:rsidR="00AA16CA" w:rsidRPr="00AA16CA" w:rsidRDefault="00AA16CA" w:rsidP="00CB74C7">
      <w:pPr>
        <w:ind w:left="1350"/>
        <w:rPr>
          <w:rFonts w:ascii="Arial" w:hAnsi="Arial" w:cs="Arial"/>
          <w:sz w:val="24"/>
          <w:szCs w:val="24"/>
        </w:rPr>
      </w:pPr>
      <w:r w:rsidRPr="00AA16CA">
        <w:rPr>
          <w:rFonts w:ascii="Arial" w:hAnsi="Arial" w:cs="Arial"/>
          <w:sz w:val="24"/>
          <w:szCs w:val="24"/>
        </w:rPr>
        <w:t>Note: Includes general education, gifted and talented, and collaborative team teaching classes.</w:t>
      </w:r>
    </w:p>
    <w:p w:rsidR="00AA16CA" w:rsidRDefault="00AA16CA" w:rsidP="00CB74C7">
      <w:pPr>
        <w:rPr>
          <w:rFonts w:ascii="Arial" w:hAnsi="Arial" w:cs="Arial"/>
          <w:i/>
          <w:sz w:val="24"/>
          <w:szCs w:val="24"/>
        </w:rPr>
      </w:pPr>
    </w:p>
    <w:p w:rsidR="00CB74C7" w:rsidRDefault="00CB74C7" w:rsidP="00CB74C7">
      <w:pPr>
        <w:ind w:left="720"/>
        <w:rPr>
          <w:rFonts w:ascii="Arial" w:hAnsi="Arial" w:cs="Arial"/>
          <w:i/>
          <w:sz w:val="24"/>
          <w:szCs w:val="24"/>
        </w:rPr>
      </w:pPr>
      <w:r>
        <w:rPr>
          <w:rFonts w:ascii="Arial" w:hAnsi="Arial" w:cs="Arial"/>
          <w:i/>
          <w:sz w:val="24"/>
          <w:szCs w:val="24"/>
        </w:rPr>
        <w:t>Specialized Facilities</w:t>
      </w:r>
    </w:p>
    <w:p w:rsidR="001F5149" w:rsidRPr="00A82125" w:rsidRDefault="001F5149" w:rsidP="00CB74C7">
      <w:pPr>
        <w:ind w:left="1440"/>
        <w:rPr>
          <w:rFonts w:ascii="Arial" w:hAnsi="Arial" w:cs="Arial"/>
          <w:b/>
          <w:sz w:val="24"/>
          <w:szCs w:val="24"/>
        </w:rPr>
      </w:pPr>
      <w:r w:rsidRPr="00A82125">
        <w:rPr>
          <w:rFonts w:ascii="Arial" w:hAnsi="Arial" w:cs="Arial"/>
          <w:b/>
          <w:sz w:val="24"/>
          <w:szCs w:val="24"/>
        </w:rPr>
        <w:t>Availability of Art Rooms by School Type, 2014-2015</w:t>
      </w:r>
    </w:p>
    <w:p w:rsidR="001F5149" w:rsidRDefault="001F5149" w:rsidP="00CB74C7">
      <w:pPr>
        <w:ind w:left="1440"/>
        <w:rPr>
          <w:rFonts w:ascii="Arial" w:hAnsi="Arial" w:cs="Arial"/>
          <w:sz w:val="24"/>
          <w:szCs w:val="24"/>
        </w:rPr>
      </w:pPr>
      <w:r w:rsidRPr="001F5149">
        <w:rPr>
          <w:rFonts w:ascii="Arial" w:hAnsi="Arial" w:cs="Arial"/>
          <w:sz w:val="24"/>
          <w:szCs w:val="24"/>
        </w:rPr>
        <w:t>Percent of Schools With At Least One Art Room by School Type, 2014-2015</w:t>
      </w:r>
    </w:p>
    <w:p w:rsidR="001F5149" w:rsidRPr="001F5149" w:rsidRDefault="001F5149" w:rsidP="00CB74C7">
      <w:pPr>
        <w:ind w:left="1440"/>
        <w:rPr>
          <w:rFonts w:ascii="Arial" w:hAnsi="Arial" w:cs="Arial"/>
          <w:sz w:val="24"/>
          <w:szCs w:val="24"/>
        </w:rPr>
      </w:pPr>
    </w:p>
    <w:p w:rsidR="001F5149" w:rsidRPr="00A82125" w:rsidRDefault="001F5149" w:rsidP="00CB74C7">
      <w:pPr>
        <w:ind w:left="1440"/>
        <w:rPr>
          <w:rFonts w:ascii="Arial" w:hAnsi="Arial" w:cs="Arial"/>
          <w:b/>
          <w:sz w:val="24"/>
          <w:szCs w:val="24"/>
        </w:rPr>
      </w:pPr>
      <w:r w:rsidRPr="00A82125">
        <w:rPr>
          <w:rFonts w:ascii="Arial" w:hAnsi="Arial" w:cs="Arial"/>
          <w:b/>
          <w:sz w:val="24"/>
          <w:szCs w:val="24"/>
        </w:rPr>
        <w:t>Availability of Science Rooms by School Type, 2014-2015</w:t>
      </w:r>
    </w:p>
    <w:p w:rsidR="001F5149" w:rsidRPr="001F5149" w:rsidRDefault="001F5149" w:rsidP="00CB74C7">
      <w:pPr>
        <w:ind w:left="1440"/>
        <w:rPr>
          <w:rFonts w:ascii="Arial" w:hAnsi="Arial" w:cs="Arial"/>
          <w:sz w:val="24"/>
          <w:szCs w:val="24"/>
        </w:rPr>
      </w:pPr>
      <w:r w:rsidRPr="001F5149">
        <w:rPr>
          <w:rFonts w:ascii="Arial" w:hAnsi="Arial" w:cs="Arial"/>
          <w:sz w:val="24"/>
          <w:szCs w:val="24"/>
        </w:rPr>
        <w:t>Percent of Schools With</w:t>
      </w:r>
      <w:r>
        <w:rPr>
          <w:rFonts w:ascii="Arial" w:hAnsi="Arial" w:cs="Arial"/>
          <w:sz w:val="24"/>
          <w:szCs w:val="24"/>
        </w:rPr>
        <w:t xml:space="preserve"> a Lab, Demo Room, or Prep Room </w:t>
      </w:r>
      <w:r w:rsidRPr="001F5149">
        <w:rPr>
          <w:rFonts w:ascii="Arial" w:hAnsi="Arial" w:cs="Arial"/>
          <w:sz w:val="24"/>
          <w:szCs w:val="24"/>
        </w:rPr>
        <w:t>Among Schools With a Dedicated Science Room</w:t>
      </w:r>
    </w:p>
    <w:p w:rsidR="001F5149" w:rsidRPr="001F5149" w:rsidRDefault="001F5149" w:rsidP="00CB74C7">
      <w:pPr>
        <w:ind w:left="1440"/>
        <w:rPr>
          <w:rFonts w:ascii="Arial" w:hAnsi="Arial" w:cs="Arial"/>
          <w:sz w:val="24"/>
          <w:szCs w:val="24"/>
        </w:rPr>
      </w:pPr>
      <w:r w:rsidRPr="001F5149">
        <w:rPr>
          <w:rFonts w:ascii="Arial" w:hAnsi="Arial" w:cs="Arial"/>
          <w:sz w:val="24"/>
          <w:szCs w:val="24"/>
        </w:rPr>
        <w:t xml:space="preserve">Note: Science rooms can be either science classrooms or Dedicated Science Rooms. </w:t>
      </w:r>
    </w:p>
    <w:p w:rsidR="001F5149" w:rsidRDefault="001F5149" w:rsidP="00CB74C7">
      <w:pPr>
        <w:ind w:left="1440"/>
        <w:rPr>
          <w:rFonts w:ascii="Arial" w:hAnsi="Arial" w:cs="Arial"/>
          <w:sz w:val="24"/>
          <w:szCs w:val="24"/>
        </w:rPr>
      </w:pPr>
      <w:r w:rsidRPr="001F5149">
        <w:rPr>
          <w:rFonts w:ascii="Arial" w:hAnsi="Arial" w:cs="Arial"/>
          <w:sz w:val="24"/>
          <w:szCs w:val="24"/>
        </w:rPr>
        <w:t>Dedicated Science Rooms include Labs, Demo Rooms, and Prep Rooms.</w:t>
      </w:r>
    </w:p>
    <w:sectPr w:rsidR="001F5149">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A00" w:rsidRDefault="000701DB">
      <w:r>
        <w:separator/>
      </w:r>
    </w:p>
  </w:endnote>
  <w:endnote w:type="continuationSeparator" w:id="0">
    <w:p w:rsidR="00C16A00" w:rsidRDefault="0007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17798"/>
      <w:docPartObj>
        <w:docPartGallery w:val="Page Numbers (Bottom of Page)"/>
        <w:docPartUnique/>
      </w:docPartObj>
    </w:sdtPr>
    <w:sdtEndPr>
      <w:rPr>
        <w:noProof/>
      </w:rPr>
    </w:sdtEndPr>
    <w:sdtContent>
      <w:p w:rsidR="00A62815" w:rsidRDefault="00A62815">
        <w:pPr>
          <w:pStyle w:val="Footer"/>
          <w:jc w:val="center"/>
        </w:pPr>
        <w:r>
          <w:fldChar w:fldCharType="begin"/>
        </w:r>
        <w:r>
          <w:instrText xml:space="preserve"> PAGE   \* MERGEFORMAT </w:instrText>
        </w:r>
        <w:r>
          <w:fldChar w:fldCharType="separate"/>
        </w:r>
        <w:r w:rsidR="00325833">
          <w:rPr>
            <w:noProof/>
          </w:rPr>
          <w:t>1</w:t>
        </w:r>
        <w:r>
          <w:rPr>
            <w:noProof/>
          </w:rPr>
          <w:fldChar w:fldCharType="end"/>
        </w:r>
      </w:p>
    </w:sdtContent>
  </w:sdt>
  <w:p w:rsidR="00A62815" w:rsidRDefault="00A628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A00" w:rsidRDefault="000701DB">
      <w:r>
        <w:separator/>
      </w:r>
    </w:p>
  </w:footnote>
  <w:footnote w:type="continuationSeparator" w:id="0">
    <w:p w:rsidR="00C16A00" w:rsidRDefault="000701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89F" w:rsidRDefault="00042034">
    <w:r>
      <w:rPr>
        <w:noProof/>
      </w:rPr>
      <w:drawing>
        <wp:inline distT="114300" distB="114300" distL="114300" distR="114300" wp14:anchorId="0926ECF0" wp14:editId="355C7BDE">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5A8"/>
    <w:multiLevelType w:val="multilevel"/>
    <w:tmpl w:val="01DE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B4852"/>
    <w:multiLevelType w:val="multilevel"/>
    <w:tmpl w:val="63A6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6F07AE"/>
    <w:multiLevelType w:val="hybridMultilevel"/>
    <w:tmpl w:val="588A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34"/>
    <w:rsid w:val="000054FD"/>
    <w:rsid w:val="00007CBF"/>
    <w:rsid w:val="00040F5A"/>
    <w:rsid w:val="00042034"/>
    <w:rsid w:val="000701DB"/>
    <w:rsid w:val="00180EE9"/>
    <w:rsid w:val="001D6D55"/>
    <w:rsid w:val="001F5149"/>
    <w:rsid w:val="002155A1"/>
    <w:rsid w:val="00227338"/>
    <w:rsid w:val="00267B88"/>
    <w:rsid w:val="00283312"/>
    <w:rsid w:val="002B0C7D"/>
    <w:rsid w:val="00304E53"/>
    <w:rsid w:val="00317C23"/>
    <w:rsid w:val="00325833"/>
    <w:rsid w:val="00335B65"/>
    <w:rsid w:val="00362622"/>
    <w:rsid w:val="003B05F9"/>
    <w:rsid w:val="003E4D4D"/>
    <w:rsid w:val="00673A9B"/>
    <w:rsid w:val="0068156F"/>
    <w:rsid w:val="006906E4"/>
    <w:rsid w:val="006A2FAD"/>
    <w:rsid w:val="007F17CC"/>
    <w:rsid w:val="008437CA"/>
    <w:rsid w:val="00853AAC"/>
    <w:rsid w:val="0092327E"/>
    <w:rsid w:val="00986E35"/>
    <w:rsid w:val="009A4CB1"/>
    <w:rsid w:val="009C02E6"/>
    <w:rsid w:val="009D1EF9"/>
    <w:rsid w:val="009D4D5D"/>
    <w:rsid w:val="00A62815"/>
    <w:rsid w:val="00A67C83"/>
    <w:rsid w:val="00A82125"/>
    <w:rsid w:val="00AA16CA"/>
    <w:rsid w:val="00AF2DFA"/>
    <w:rsid w:val="00C073BB"/>
    <w:rsid w:val="00C16A00"/>
    <w:rsid w:val="00C74881"/>
    <w:rsid w:val="00C93EB9"/>
    <w:rsid w:val="00C95A94"/>
    <w:rsid w:val="00CA55D5"/>
    <w:rsid w:val="00CB74C7"/>
    <w:rsid w:val="00CB7F1F"/>
    <w:rsid w:val="00CC2186"/>
    <w:rsid w:val="00D052E0"/>
    <w:rsid w:val="00D170AC"/>
    <w:rsid w:val="00D32127"/>
    <w:rsid w:val="00D34DA5"/>
    <w:rsid w:val="00D74C82"/>
    <w:rsid w:val="00D80581"/>
    <w:rsid w:val="00DA436C"/>
    <w:rsid w:val="00DC5791"/>
    <w:rsid w:val="00E003BF"/>
    <w:rsid w:val="00E27579"/>
    <w:rsid w:val="00E90955"/>
    <w:rsid w:val="00EB7D28"/>
    <w:rsid w:val="00EC35A5"/>
    <w:rsid w:val="00F3404F"/>
    <w:rsid w:val="00F6027A"/>
    <w:rsid w:val="00FC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00BB"/>
  <w15:chartTrackingRefBased/>
  <w15:docId w15:val="{A10D9E55-FA2A-4FC4-B34B-7265271B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03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034"/>
    <w:rPr>
      <w:strike w:val="0"/>
      <w:dstrike w:val="0"/>
      <w:color w:val="0000FF"/>
      <w:u w:val="none"/>
      <w:effect w:val="none"/>
    </w:rPr>
  </w:style>
  <w:style w:type="paragraph" w:styleId="NormalWeb">
    <w:name w:val="Normal (Web)"/>
    <w:basedOn w:val="Normal"/>
    <w:uiPriority w:val="99"/>
    <w:semiHidden/>
    <w:unhideWhenUsed/>
    <w:rsid w:val="0004203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2034"/>
    <w:rPr>
      <w:b/>
      <w:bCs/>
    </w:rPr>
  </w:style>
  <w:style w:type="paragraph" w:styleId="Header">
    <w:name w:val="header"/>
    <w:basedOn w:val="Normal"/>
    <w:link w:val="HeaderChar"/>
    <w:uiPriority w:val="99"/>
    <w:unhideWhenUsed/>
    <w:rsid w:val="00A62815"/>
    <w:pPr>
      <w:tabs>
        <w:tab w:val="center" w:pos="4680"/>
        <w:tab w:val="right" w:pos="9360"/>
      </w:tabs>
    </w:pPr>
  </w:style>
  <w:style w:type="character" w:customStyle="1" w:styleId="HeaderChar">
    <w:name w:val="Header Char"/>
    <w:basedOn w:val="DefaultParagraphFont"/>
    <w:link w:val="Header"/>
    <w:uiPriority w:val="99"/>
    <w:rsid w:val="00A62815"/>
    <w:rPr>
      <w:rFonts w:ascii="Calibri" w:hAnsi="Calibri" w:cs="Calibri"/>
    </w:rPr>
  </w:style>
  <w:style w:type="paragraph" w:styleId="Footer">
    <w:name w:val="footer"/>
    <w:basedOn w:val="Normal"/>
    <w:link w:val="FooterChar"/>
    <w:uiPriority w:val="99"/>
    <w:unhideWhenUsed/>
    <w:rsid w:val="00A62815"/>
    <w:pPr>
      <w:tabs>
        <w:tab w:val="center" w:pos="4680"/>
        <w:tab w:val="right" w:pos="9360"/>
      </w:tabs>
    </w:pPr>
  </w:style>
  <w:style w:type="character" w:customStyle="1" w:styleId="FooterChar">
    <w:name w:val="Footer Char"/>
    <w:basedOn w:val="DefaultParagraphFont"/>
    <w:link w:val="Footer"/>
    <w:uiPriority w:val="99"/>
    <w:rsid w:val="00A62815"/>
    <w:rPr>
      <w:rFonts w:ascii="Calibri" w:hAnsi="Calibri" w:cs="Calibri"/>
    </w:rPr>
  </w:style>
  <w:style w:type="paragraph" w:styleId="ListParagraph">
    <w:name w:val="List Paragraph"/>
    <w:basedOn w:val="Normal"/>
    <w:uiPriority w:val="34"/>
    <w:qFormat/>
    <w:rsid w:val="0068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71338">
      <w:bodyDiv w:val="1"/>
      <w:marLeft w:val="0"/>
      <w:marRight w:val="0"/>
      <w:marTop w:val="0"/>
      <w:marBottom w:val="0"/>
      <w:divBdr>
        <w:top w:val="none" w:sz="0" w:space="0" w:color="auto"/>
        <w:left w:val="none" w:sz="0" w:space="0" w:color="auto"/>
        <w:bottom w:val="none" w:sz="0" w:space="0" w:color="auto"/>
        <w:right w:val="none" w:sz="0" w:space="0" w:color="auto"/>
      </w:divBdr>
    </w:div>
    <w:div w:id="1267083886">
      <w:bodyDiv w:val="1"/>
      <w:marLeft w:val="0"/>
      <w:marRight w:val="0"/>
      <w:marTop w:val="0"/>
      <w:marBottom w:val="0"/>
      <w:divBdr>
        <w:top w:val="none" w:sz="0" w:space="0" w:color="auto"/>
        <w:left w:val="none" w:sz="0" w:space="0" w:color="auto"/>
        <w:bottom w:val="none" w:sz="0" w:space="0" w:color="auto"/>
        <w:right w:val="none" w:sz="0" w:space="0" w:color="auto"/>
      </w:divBdr>
      <w:divsChild>
        <w:div w:id="1013073987">
          <w:marLeft w:val="0"/>
          <w:marRight w:val="0"/>
          <w:marTop w:val="0"/>
          <w:marBottom w:val="0"/>
          <w:divBdr>
            <w:top w:val="none" w:sz="0" w:space="0" w:color="auto"/>
            <w:left w:val="none" w:sz="0" w:space="0" w:color="auto"/>
            <w:bottom w:val="none" w:sz="0" w:space="0" w:color="auto"/>
            <w:right w:val="none" w:sz="0" w:space="0" w:color="auto"/>
          </w:divBdr>
          <w:divsChild>
            <w:div w:id="607129179">
              <w:marLeft w:val="0"/>
              <w:marRight w:val="0"/>
              <w:marTop w:val="0"/>
              <w:marBottom w:val="0"/>
              <w:divBdr>
                <w:top w:val="none" w:sz="0" w:space="0" w:color="auto"/>
                <w:left w:val="none" w:sz="0" w:space="0" w:color="auto"/>
                <w:bottom w:val="none" w:sz="0" w:space="0" w:color="auto"/>
                <w:right w:val="none" w:sz="0" w:space="0" w:color="auto"/>
              </w:divBdr>
              <w:divsChild>
                <w:div w:id="872353417">
                  <w:marLeft w:val="450"/>
                  <w:marRight w:val="450"/>
                  <w:marTop w:val="450"/>
                  <w:marBottom w:val="450"/>
                  <w:divBdr>
                    <w:top w:val="none" w:sz="0" w:space="0" w:color="auto"/>
                    <w:left w:val="none" w:sz="0" w:space="0" w:color="auto"/>
                    <w:bottom w:val="none" w:sz="0" w:space="0" w:color="auto"/>
                    <w:right w:val="none" w:sz="0" w:space="0" w:color="auto"/>
                  </w:divBdr>
                  <w:divsChild>
                    <w:div w:id="697466874">
                      <w:marLeft w:val="0"/>
                      <w:marRight w:val="0"/>
                      <w:marTop w:val="0"/>
                      <w:marBottom w:val="0"/>
                      <w:divBdr>
                        <w:top w:val="none" w:sz="0" w:space="0" w:color="auto"/>
                        <w:left w:val="none" w:sz="0" w:space="0" w:color="auto"/>
                        <w:bottom w:val="none" w:sz="0" w:space="0" w:color="auto"/>
                        <w:right w:val="none" w:sz="0" w:space="0" w:color="auto"/>
                      </w:divBdr>
                      <w:divsChild>
                        <w:div w:id="1401177991">
                          <w:marLeft w:val="0"/>
                          <w:marRight w:val="0"/>
                          <w:marTop w:val="0"/>
                          <w:marBottom w:val="0"/>
                          <w:divBdr>
                            <w:top w:val="none" w:sz="0" w:space="0" w:color="auto"/>
                            <w:left w:val="none" w:sz="0" w:space="0" w:color="auto"/>
                            <w:bottom w:val="none" w:sz="0" w:space="0" w:color="auto"/>
                            <w:right w:val="none" w:sz="0" w:space="0" w:color="auto"/>
                          </w:divBdr>
                          <w:divsChild>
                            <w:div w:id="12771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666">
                      <w:marLeft w:val="0"/>
                      <w:marRight w:val="0"/>
                      <w:marTop w:val="0"/>
                      <w:marBottom w:val="0"/>
                      <w:divBdr>
                        <w:top w:val="none" w:sz="0" w:space="0" w:color="auto"/>
                        <w:left w:val="none" w:sz="0" w:space="0" w:color="auto"/>
                        <w:bottom w:val="none" w:sz="0" w:space="0" w:color="auto"/>
                        <w:right w:val="none" w:sz="0" w:space="0" w:color="auto"/>
                      </w:divBdr>
                      <w:divsChild>
                        <w:div w:id="925841330">
                          <w:marLeft w:val="0"/>
                          <w:marRight w:val="0"/>
                          <w:marTop w:val="0"/>
                          <w:marBottom w:val="0"/>
                          <w:divBdr>
                            <w:top w:val="none" w:sz="0" w:space="0" w:color="auto"/>
                            <w:left w:val="none" w:sz="0" w:space="0" w:color="auto"/>
                            <w:bottom w:val="none" w:sz="0" w:space="0" w:color="auto"/>
                            <w:right w:val="none" w:sz="0" w:space="0" w:color="auto"/>
                          </w:divBdr>
                          <w:divsChild>
                            <w:div w:id="897017101">
                              <w:marLeft w:val="0"/>
                              <w:marRight w:val="0"/>
                              <w:marTop w:val="0"/>
                              <w:marBottom w:val="0"/>
                              <w:divBdr>
                                <w:top w:val="none" w:sz="0" w:space="0" w:color="auto"/>
                                <w:left w:val="none" w:sz="0" w:space="0" w:color="auto"/>
                                <w:bottom w:val="none" w:sz="0" w:space="0" w:color="auto"/>
                                <w:right w:val="none" w:sz="0" w:space="0" w:color="auto"/>
                              </w:divBdr>
                              <w:divsChild>
                                <w:div w:id="364991729">
                                  <w:marLeft w:val="0"/>
                                  <w:marRight w:val="0"/>
                                  <w:marTop w:val="0"/>
                                  <w:marBottom w:val="0"/>
                                  <w:divBdr>
                                    <w:top w:val="none" w:sz="0" w:space="0" w:color="auto"/>
                                    <w:left w:val="none" w:sz="0" w:space="0" w:color="auto"/>
                                    <w:bottom w:val="none" w:sz="0" w:space="0" w:color="auto"/>
                                    <w:right w:val="none" w:sz="0" w:space="0" w:color="auto"/>
                                  </w:divBdr>
                                  <w:divsChild>
                                    <w:div w:id="1510290680">
                                      <w:marLeft w:val="0"/>
                                      <w:marRight w:val="0"/>
                                      <w:marTop w:val="0"/>
                                      <w:marBottom w:val="0"/>
                                      <w:divBdr>
                                        <w:top w:val="none" w:sz="0" w:space="0" w:color="auto"/>
                                        <w:left w:val="none" w:sz="0" w:space="0" w:color="auto"/>
                                        <w:bottom w:val="none" w:sz="0" w:space="0" w:color="auto"/>
                                        <w:right w:val="none" w:sz="0" w:space="0" w:color="auto"/>
                                      </w:divBdr>
                                      <w:divsChild>
                                        <w:div w:id="14813767">
                                          <w:marLeft w:val="0"/>
                                          <w:marRight w:val="0"/>
                                          <w:marTop w:val="0"/>
                                          <w:marBottom w:val="0"/>
                                          <w:divBdr>
                                            <w:top w:val="none" w:sz="0" w:space="0" w:color="auto"/>
                                            <w:left w:val="none" w:sz="0" w:space="0" w:color="auto"/>
                                            <w:bottom w:val="none" w:sz="0" w:space="0" w:color="auto"/>
                                            <w:right w:val="none" w:sz="0" w:space="0" w:color="auto"/>
                                          </w:divBdr>
                                          <w:divsChild>
                                            <w:div w:id="1169101358">
                                              <w:marLeft w:val="0"/>
                                              <w:marRight w:val="0"/>
                                              <w:marTop w:val="0"/>
                                              <w:marBottom w:val="0"/>
                                              <w:divBdr>
                                                <w:top w:val="none" w:sz="0" w:space="0" w:color="auto"/>
                                                <w:left w:val="none" w:sz="0" w:space="0" w:color="auto"/>
                                                <w:bottom w:val="none" w:sz="0" w:space="0" w:color="auto"/>
                                                <w:right w:val="none" w:sz="0" w:space="0" w:color="auto"/>
                                              </w:divBdr>
                                            </w:div>
                                            <w:div w:id="1860391842">
                                              <w:marLeft w:val="0"/>
                                              <w:marRight w:val="0"/>
                                              <w:marTop w:val="150"/>
                                              <w:marBottom w:val="0"/>
                                              <w:divBdr>
                                                <w:top w:val="none" w:sz="0" w:space="0" w:color="auto"/>
                                                <w:left w:val="none" w:sz="0" w:space="0" w:color="auto"/>
                                                <w:bottom w:val="none" w:sz="0" w:space="0" w:color="auto"/>
                                                <w:right w:val="none" w:sz="0" w:space="0" w:color="auto"/>
                                              </w:divBdr>
                                            </w:div>
                                          </w:divsChild>
                                        </w:div>
                                        <w:div w:id="1161769500">
                                          <w:marLeft w:val="0"/>
                                          <w:marRight w:val="0"/>
                                          <w:marTop w:val="0"/>
                                          <w:marBottom w:val="0"/>
                                          <w:divBdr>
                                            <w:top w:val="none" w:sz="0" w:space="0" w:color="auto"/>
                                            <w:left w:val="none" w:sz="0" w:space="0" w:color="auto"/>
                                            <w:bottom w:val="none" w:sz="0" w:space="0" w:color="auto"/>
                                            <w:right w:val="none" w:sz="0" w:space="0" w:color="auto"/>
                                          </w:divBdr>
                                          <w:divsChild>
                                            <w:div w:id="1663849723">
                                              <w:marLeft w:val="0"/>
                                              <w:marRight w:val="0"/>
                                              <w:marTop w:val="0"/>
                                              <w:marBottom w:val="0"/>
                                              <w:divBdr>
                                                <w:top w:val="none" w:sz="0" w:space="0" w:color="auto"/>
                                                <w:left w:val="none" w:sz="0" w:space="0" w:color="auto"/>
                                                <w:bottom w:val="none" w:sz="0" w:space="0" w:color="auto"/>
                                                <w:right w:val="none" w:sz="0" w:space="0" w:color="auto"/>
                                              </w:divBdr>
                                            </w:div>
                                            <w:div w:id="1353149633">
                                              <w:marLeft w:val="0"/>
                                              <w:marRight w:val="0"/>
                                              <w:marTop w:val="150"/>
                                              <w:marBottom w:val="0"/>
                                              <w:divBdr>
                                                <w:top w:val="none" w:sz="0" w:space="0" w:color="auto"/>
                                                <w:left w:val="none" w:sz="0" w:space="0" w:color="auto"/>
                                                <w:bottom w:val="none" w:sz="0" w:space="0" w:color="auto"/>
                                                <w:right w:val="none" w:sz="0" w:space="0" w:color="auto"/>
                                              </w:divBdr>
                                            </w:div>
                                          </w:divsChild>
                                        </w:div>
                                        <w:div w:id="156044788">
                                          <w:marLeft w:val="0"/>
                                          <w:marRight w:val="0"/>
                                          <w:marTop w:val="0"/>
                                          <w:marBottom w:val="0"/>
                                          <w:divBdr>
                                            <w:top w:val="none" w:sz="0" w:space="0" w:color="auto"/>
                                            <w:left w:val="none" w:sz="0" w:space="0" w:color="auto"/>
                                            <w:bottom w:val="none" w:sz="0" w:space="0" w:color="auto"/>
                                            <w:right w:val="none" w:sz="0" w:space="0" w:color="auto"/>
                                          </w:divBdr>
                                          <w:divsChild>
                                            <w:div w:id="65346587">
                                              <w:marLeft w:val="0"/>
                                              <w:marRight w:val="0"/>
                                              <w:marTop w:val="0"/>
                                              <w:marBottom w:val="0"/>
                                              <w:divBdr>
                                                <w:top w:val="none" w:sz="0" w:space="0" w:color="auto"/>
                                                <w:left w:val="none" w:sz="0" w:space="0" w:color="auto"/>
                                                <w:bottom w:val="none" w:sz="0" w:space="0" w:color="auto"/>
                                                <w:right w:val="none" w:sz="0" w:space="0" w:color="auto"/>
                                              </w:divBdr>
                                            </w:div>
                                            <w:div w:id="1062213917">
                                              <w:marLeft w:val="0"/>
                                              <w:marRight w:val="0"/>
                                              <w:marTop w:val="150"/>
                                              <w:marBottom w:val="0"/>
                                              <w:divBdr>
                                                <w:top w:val="none" w:sz="0" w:space="0" w:color="auto"/>
                                                <w:left w:val="none" w:sz="0" w:space="0" w:color="auto"/>
                                                <w:bottom w:val="none" w:sz="0" w:space="0" w:color="auto"/>
                                                <w:right w:val="none" w:sz="0" w:space="0" w:color="auto"/>
                                              </w:divBdr>
                                            </w:div>
                                          </w:divsChild>
                                        </w:div>
                                        <w:div w:id="1237084123">
                                          <w:marLeft w:val="0"/>
                                          <w:marRight w:val="0"/>
                                          <w:marTop w:val="0"/>
                                          <w:marBottom w:val="0"/>
                                          <w:divBdr>
                                            <w:top w:val="none" w:sz="0" w:space="0" w:color="auto"/>
                                            <w:left w:val="none" w:sz="0" w:space="0" w:color="auto"/>
                                            <w:bottom w:val="none" w:sz="0" w:space="0" w:color="auto"/>
                                            <w:right w:val="none" w:sz="0" w:space="0" w:color="auto"/>
                                          </w:divBdr>
                                          <w:divsChild>
                                            <w:div w:id="1537543384">
                                              <w:marLeft w:val="0"/>
                                              <w:marRight w:val="0"/>
                                              <w:marTop w:val="0"/>
                                              <w:marBottom w:val="0"/>
                                              <w:divBdr>
                                                <w:top w:val="none" w:sz="0" w:space="0" w:color="auto"/>
                                                <w:left w:val="none" w:sz="0" w:space="0" w:color="auto"/>
                                                <w:bottom w:val="none" w:sz="0" w:space="0" w:color="auto"/>
                                                <w:right w:val="none" w:sz="0" w:space="0" w:color="auto"/>
                                              </w:divBdr>
                                            </w:div>
                                            <w:div w:id="11484040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20123">
                      <w:marLeft w:val="0"/>
                      <w:marRight w:val="0"/>
                      <w:marTop w:val="0"/>
                      <w:marBottom w:val="0"/>
                      <w:divBdr>
                        <w:top w:val="none" w:sz="0" w:space="0" w:color="auto"/>
                        <w:left w:val="none" w:sz="0" w:space="0" w:color="auto"/>
                        <w:bottom w:val="none" w:sz="0" w:space="0" w:color="auto"/>
                        <w:right w:val="none" w:sz="0" w:space="0" w:color="auto"/>
                      </w:divBdr>
                      <w:divsChild>
                        <w:div w:id="143595013">
                          <w:marLeft w:val="0"/>
                          <w:marRight w:val="0"/>
                          <w:marTop w:val="0"/>
                          <w:marBottom w:val="0"/>
                          <w:divBdr>
                            <w:top w:val="none" w:sz="0" w:space="0" w:color="auto"/>
                            <w:left w:val="none" w:sz="0" w:space="0" w:color="auto"/>
                            <w:bottom w:val="none" w:sz="0" w:space="0" w:color="auto"/>
                            <w:right w:val="none" w:sz="0" w:space="0" w:color="auto"/>
                          </w:divBdr>
                          <w:divsChild>
                            <w:div w:id="1543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947">
                      <w:marLeft w:val="0"/>
                      <w:marRight w:val="0"/>
                      <w:marTop w:val="0"/>
                      <w:marBottom w:val="0"/>
                      <w:divBdr>
                        <w:top w:val="none" w:sz="0" w:space="0" w:color="auto"/>
                        <w:left w:val="none" w:sz="0" w:space="0" w:color="auto"/>
                        <w:bottom w:val="none" w:sz="0" w:space="0" w:color="auto"/>
                        <w:right w:val="none" w:sz="0" w:space="0" w:color="auto"/>
                      </w:divBdr>
                      <w:divsChild>
                        <w:div w:id="919675594">
                          <w:marLeft w:val="0"/>
                          <w:marRight w:val="0"/>
                          <w:marTop w:val="0"/>
                          <w:marBottom w:val="0"/>
                          <w:divBdr>
                            <w:top w:val="none" w:sz="0" w:space="0" w:color="auto"/>
                            <w:left w:val="none" w:sz="0" w:space="0" w:color="auto"/>
                            <w:bottom w:val="none" w:sz="0" w:space="0" w:color="auto"/>
                            <w:right w:val="none" w:sz="0" w:space="0" w:color="auto"/>
                          </w:divBdr>
                          <w:divsChild>
                            <w:div w:id="1694724626">
                              <w:marLeft w:val="0"/>
                              <w:marRight w:val="0"/>
                              <w:marTop w:val="0"/>
                              <w:marBottom w:val="0"/>
                              <w:divBdr>
                                <w:top w:val="none" w:sz="0" w:space="0" w:color="auto"/>
                                <w:left w:val="none" w:sz="0" w:space="0" w:color="auto"/>
                                <w:bottom w:val="none" w:sz="0" w:space="0" w:color="auto"/>
                                <w:right w:val="none" w:sz="0" w:space="0" w:color="auto"/>
                              </w:divBdr>
                              <w:divsChild>
                                <w:div w:id="1103502597">
                                  <w:marLeft w:val="0"/>
                                  <w:marRight w:val="0"/>
                                  <w:marTop w:val="0"/>
                                  <w:marBottom w:val="0"/>
                                  <w:divBdr>
                                    <w:top w:val="none" w:sz="0" w:space="0" w:color="auto"/>
                                    <w:left w:val="none" w:sz="0" w:space="0" w:color="auto"/>
                                    <w:bottom w:val="none" w:sz="0" w:space="0" w:color="auto"/>
                                    <w:right w:val="none" w:sz="0" w:space="0" w:color="auto"/>
                                  </w:divBdr>
                                  <w:divsChild>
                                    <w:div w:id="1454977663">
                                      <w:marLeft w:val="0"/>
                                      <w:marRight w:val="0"/>
                                      <w:marTop w:val="0"/>
                                      <w:marBottom w:val="0"/>
                                      <w:divBdr>
                                        <w:top w:val="none" w:sz="0" w:space="0" w:color="auto"/>
                                        <w:left w:val="none" w:sz="0" w:space="0" w:color="auto"/>
                                        <w:bottom w:val="none" w:sz="0" w:space="0" w:color="auto"/>
                                        <w:right w:val="none" w:sz="0" w:space="0" w:color="auto"/>
                                      </w:divBdr>
                                      <w:divsChild>
                                        <w:div w:id="234753343">
                                          <w:marLeft w:val="0"/>
                                          <w:marRight w:val="0"/>
                                          <w:marTop w:val="0"/>
                                          <w:marBottom w:val="0"/>
                                          <w:divBdr>
                                            <w:top w:val="none" w:sz="0" w:space="0" w:color="auto"/>
                                            <w:left w:val="none" w:sz="0" w:space="0" w:color="auto"/>
                                            <w:bottom w:val="none" w:sz="0" w:space="0" w:color="auto"/>
                                            <w:right w:val="none" w:sz="0" w:space="0" w:color="auto"/>
                                          </w:divBdr>
                                          <w:divsChild>
                                            <w:div w:id="1914388625">
                                              <w:marLeft w:val="0"/>
                                              <w:marRight w:val="0"/>
                                              <w:marTop w:val="0"/>
                                              <w:marBottom w:val="0"/>
                                              <w:divBdr>
                                                <w:top w:val="none" w:sz="0" w:space="0" w:color="auto"/>
                                                <w:left w:val="none" w:sz="0" w:space="0" w:color="auto"/>
                                                <w:bottom w:val="none" w:sz="0" w:space="0" w:color="auto"/>
                                                <w:right w:val="none" w:sz="0" w:space="0" w:color="auto"/>
                                              </w:divBdr>
                                            </w:div>
                                            <w:div w:id="146092269">
                                              <w:marLeft w:val="0"/>
                                              <w:marRight w:val="0"/>
                                              <w:marTop w:val="150"/>
                                              <w:marBottom w:val="0"/>
                                              <w:divBdr>
                                                <w:top w:val="none" w:sz="0" w:space="0" w:color="auto"/>
                                                <w:left w:val="none" w:sz="0" w:space="0" w:color="auto"/>
                                                <w:bottom w:val="none" w:sz="0" w:space="0" w:color="auto"/>
                                                <w:right w:val="none" w:sz="0" w:space="0" w:color="auto"/>
                                              </w:divBdr>
                                            </w:div>
                                          </w:divsChild>
                                        </w:div>
                                        <w:div w:id="449663487">
                                          <w:marLeft w:val="0"/>
                                          <w:marRight w:val="0"/>
                                          <w:marTop w:val="0"/>
                                          <w:marBottom w:val="0"/>
                                          <w:divBdr>
                                            <w:top w:val="none" w:sz="0" w:space="0" w:color="auto"/>
                                            <w:left w:val="none" w:sz="0" w:space="0" w:color="auto"/>
                                            <w:bottom w:val="none" w:sz="0" w:space="0" w:color="auto"/>
                                            <w:right w:val="none" w:sz="0" w:space="0" w:color="auto"/>
                                          </w:divBdr>
                                          <w:divsChild>
                                            <w:div w:id="941843232">
                                              <w:marLeft w:val="0"/>
                                              <w:marRight w:val="0"/>
                                              <w:marTop w:val="0"/>
                                              <w:marBottom w:val="0"/>
                                              <w:divBdr>
                                                <w:top w:val="none" w:sz="0" w:space="0" w:color="auto"/>
                                                <w:left w:val="none" w:sz="0" w:space="0" w:color="auto"/>
                                                <w:bottom w:val="none" w:sz="0" w:space="0" w:color="auto"/>
                                                <w:right w:val="none" w:sz="0" w:space="0" w:color="auto"/>
                                              </w:divBdr>
                                            </w:div>
                                            <w:div w:id="1718814714">
                                              <w:marLeft w:val="0"/>
                                              <w:marRight w:val="0"/>
                                              <w:marTop w:val="150"/>
                                              <w:marBottom w:val="0"/>
                                              <w:divBdr>
                                                <w:top w:val="none" w:sz="0" w:space="0" w:color="auto"/>
                                                <w:left w:val="none" w:sz="0" w:space="0" w:color="auto"/>
                                                <w:bottom w:val="none" w:sz="0" w:space="0" w:color="auto"/>
                                                <w:right w:val="none" w:sz="0" w:space="0" w:color="auto"/>
                                              </w:divBdr>
                                            </w:div>
                                          </w:divsChild>
                                        </w:div>
                                        <w:div w:id="984120762">
                                          <w:marLeft w:val="0"/>
                                          <w:marRight w:val="0"/>
                                          <w:marTop w:val="0"/>
                                          <w:marBottom w:val="0"/>
                                          <w:divBdr>
                                            <w:top w:val="none" w:sz="0" w:space="0" w:color="auto"/>
                                            <w:left w:val="none" w:sz="0" w:space="0" w:color="auto"/>
                                            <w:bottom w:val="none" w:sz="0" w:space="0" w:color="auto"/>
                                            <w:right w:val="none" w:sz="0" w:space="0" w:color="auto"/>
                                          </w:divBdr>
                                          <w:divsChild>
                                            <w:div w:id="1102651684">
                                              <w:marLeft w:val="0"/>
                                              <w:marRight w:val="0"/>
                                              <w:marTop w:val="0"/>
                                              <w:marBottom w:val="0"/>
                                              <w:divBdr>
                                                <w:top w:val="none" w:sz="0" w:space="0" w:color="auto"/>
                                                <w:left w:val="none" w:sz="0" w:space="0" w:color="auto"/>
                                                <w:bottom w:val="none" w:sz="0" w:space="0" w:color="auto"/>
                                                <w:right w:val="none" w:sz="0" w:space="0" w:color="auto"/>
                                              </w:divBdr>
                                            </w:div>
                                            <w:div w:id="1687556969">
                                              <w:marLeft w:val="0"/>
                                              <w:marRight w:val="0"/>
                                              <w:marTop w:val="150"/>
                                              <w:marBottom w:val="0"/>
                                              <w:divBdr>
                                                <w:top w:val="none" w:sz="0" w:space="0" w:color="auto"/>
                                                <w:left w:val="none" w:sz="0" w:space="0" w:color="auto"/>
                                                <w:bottom w:val="none" w:sz="0" w:space="0" w:color="auto"/>
                                                <w:right w:val="none" w:sz="0" w:space="0" w:color="auto"/>
                                              </w:divBdr>
                                            </w:div>
                                          </w:divsChild>
                                        </w:div>
                                        <w:div w:id="492650874">
                                          <w:marLeft w:val="0"/>
                                          <w:marRight w:val="0"/>
                                          <w:marTop w:val="0"/>
                                          <w:marBottom w:val="0"/>
                                          <w:divBdr>
                                            <w:top w:val="none" w:sz="0" w:space="0" w:color="auto"/>
                                            <w:left w:val="none" w:sz="0" w:space="0" w:color="auto"/>
                                            <w:bottom w:val="none" w:sz="0" w:space="0" w:color="auto"/>
                                            <w:right w:val="none" w:sz="0" w:space="0" w:color="auto"/>
                                          </w:divBdr>
                                          <w:divsChild>
                                            <w:div w:id="1839229645">
                                              <w:marLeft w:val="0"/>
                                              <w:marRight w:val="0"/>
                                              <w:marTop w:val="0"/>
                                              <w:marBottom w:val="0"/>
                                              <w:divBdr>
                                                <w:top w:val="none" w:sz="0" w:space="0" w:color="auto"/>
                                                <w:left w:val="none" w:sz="0" w:space="0" w:color="auto"/>
                                                <w:bottom w:val="none" w:sz="0" w:space="0" w:color="auto"/>
                                                <w:right w:val="none" w:sz="0" w:space="0" w:color="auto"/>
                                              </w:divBdr>
                                            </w:div>
                                            <w:div w:id="1345744631">
                                              <w:marLeft w:val="0"/>
                                              <w:marRight w:val="0"/>
                                              <w:marTop w:val="150"/>
                                              <w:marBottom w:val="0"/>
                                              <w:divBdr>
                                                <w:top w:val="none" w:sz="0" w:space="0" w:color="auto"/>
                                                <w:left w:val="none" w:sz="0" w:space="0" w:color="auto"/>
                                                <w:bottom w:val="none" w:sz="0" w:space="0" w:color="auto"/>
                                                <w:right w:val="none" w:sz="0" w:space="0" w:color="auto"/>
                                              </w:divBdr>
                                            </w:div>
                                          </w:divsChild>
                                        </w:div>
                                        <w:div w:id="2033416709">
                                          <w:marLeft w:val="0"/>
                                          <w:marRight w:val="0"/>
                                          <w:marTop w:val="0"/>
                                          <w:marBottom w:val="0"/>
                                          <w:divBdr>
                                            <w:top w:val="none" w:sz="0" w:space="0" w:color="auto"/>
                                            <w:left w:val="none" w:sz="0" w:space="0" w:color="auto"/>
                                            <w:bottom w:val="none" w:sz="0" w:space="0" w:color="auto"/>
                                            <w:right w:val="none" w:sz="0" w:space="0" w:color="auto"/>
                                          </w:divBdr>
                                          <w:divsChild>
                                            <w:div w:id="2103915862">
                                              <w:marLeft w:val="0"/>
                                              <w:marRight w:val="0"/>
                                              <w:marTop w:val="0"/>
                                              <w:marBottom w:val="0"/>
                                              <w:divBdr>
                                                <w:top w:val="none" w:sz="0" w:space="0" w:color="auto"/>
                                                <w:left w:val="none" w:sz="0" w:space="0" w:color="auto"/>
                                                <w:bottom w:val="none" w:sz="0" w:space="0" w:color="auto"/>
                                                <w:right w:val="none" w:sz="0" w:space="0" w:color="auto"/>
                                              </w:divBdr>
                                            </w:div>
                                            <w:div w:id="759987125">
                                              <w:marLeft w:val="0"/>
                                              <w:marRight w:val="0"/>
                                              <w:marTop w:val="150"/>
                                              <w:marBottom w:val="0"/>
                                              <w:divBdr>
                                                <w:top w:val="none" w:sz="0" w:space="0" w:color="auto"/>
                                                <w:left w:val="none" w:sz="0" w:space="0" w:color="auto"/>
                                                <w:bottom w:val="none" w:sz="0" w:space="0" w:color="auto"/>
                                                <w:right w:val="none" w:sz="0" w:space="0" w:color="auto"/>
                                              </w:divBdr>
                                            </w:div>
                                          </w:divsChild>
                                        </w:div>
                                        <w:div w:id="37584832">
                                          <w:marLeft w:val="0"/>
                                          <w:marRight w:val="0"/>
                                          <w:marTop w:val="0"/>
                                          <w:marBottom w:val="0"/>
                                          <w:divBdr>
                                            <w:top w:val="none" w:sz="0" w:space="0" w:color="auto"/>
                                            <w:left w:val="none" w:sz="0" w:space="0" w:color="auto"/>
                                            <w:bottom w:val="none" w:sz="0" w:space="0" w:color="auto"/>
                                            <w:right w:val="none" w:sz="0" w:space="0" w:color="auto"/>
                                          </w:divBdr>
                                          <w:divsChild>
                                            <w:div w:id="1294171799">
                                              <w:marLeft w:val="0"/>
                                              <w:marRight w:val="0"/>
                                              <w:marTop w:val="0"/>
                                              <w:marBottom w:val="0"/>
                                              <w:divBdr>
                                                <w:top w:val="none" w:sz="0" w:space="0" w:color="auto"/>
                                                <w:left w:val="none" w:sz="0" w:space="0" w:color="auto"/>
                                                <w:bottom w:val="none" w:sz="0" w:space="0" w:color="auto"/>
                                                <w:right w:val="none" w:sz="0" w:space="0" w:color="auto"/>
                                              </w:divBdr>
                                            </w:div>
                                            <w:div w:id="478689951">
                                              <w:marLeft w:val="0"/>
                                              <w:marRight w:val="0"/>
                                              <w:marTop w:val="150"/>
                                              <w:marBottom w:val="0"/>
                                              <w:divBdr>
                                                <w:top w:val="none" w:sz="0" w:space="0" w:color="auto"/>
                                                <w:left w:val="none" w:sz="0" w:space="0" w:color="auto"/>
                                                <w:bottom w:val="none" w:sz="0" w:space="0" w:color="auto"/>
                                                <w:right w:val="none" w:sz="0" w:space="0" w:color="auto"/>
                                              </w:divBdr>
                                            </w:div>
                                          </w:divsChild>
                                        </w:div>
                                        <w:div w:id="1510943601">
                                          <w:marLeft w:val="0"/>
                                          <w:marRight w:val="0"/>
                                          <w:marTop w:val="0"/>
                                          <w:marBottom w:val="0"/>
                                          <w:divBdr>
                                            <w:top w:val="none" w:sz="0" w:space="0" w:color="auto"/>
                                            <w:left w:val="none" w:sz="0" w:space="0" w:color="auto"/>
                                            <w:bottom w:val="none" w:sz="0" w:space="0" w:color="auto"/>
                                            <w:right w:val="none" w:sz="0" w:space="0" w:color="auto"/>
                                          </w:divBdr>
                                          <w:divsChild>
                                            <w:div w:id="356780530">
                                              <w:marLeft w:val="0"/>
                                              <w:marRight w:val="0"/>
                                              <w:marTop w:val="0"/>
                                              <w:marBottom w:val="0"/>
                                              <w:divBdr>
                                                <w:top w:val="none" w:sz="0" w:space="0" w:color="auto"/>
                                                <w:left w:val="none" w:sz="0" w:space="0" w:color="auto"/>
                                                <w:bottom w:val="none" w:sz="0" w:space="0" w:color="auto"/>
                                                <w:right w:val="none" w:sz="0" w:space="0" w:color="auto"/>
                                              </w:divBdr>
                                            </w:div>
                                            <w:div w:id="178398726">
                                              <w:marLeft w:val="0"/>
                                              <w:marRight w:val="0"/>
                                              <w:marTop w:val="150"/>
                                              <w:marBottom w:val="0"/>
                                              <w:divBdr>
                                                <w:top w:val="none" w:sz="0" w:space="0" w:color="auto"/>
                                                <w:left w:val="none" w:sz="0" w:space="0" w:color="auto"/>
                                                <w:bottom w:val="none" w:sz="0" w:space="0" w:color="auto"/>
                                                <w:right w:val="none" w:sz="0" w:space="0" w:color="auto"/>
                                              </w:divBdr>
                                            </w:div>
                                          </w:divsChild>
                                        </w:div>
                                        <w:div w:id="1514414261">
                                          <w:marLeft w:val="0"/>
                                          <w:marRight w:val="0"/>
                                          <w:marTop w:val="0"/>
                                          <w:marBottom w:val="0"/>
                                          <w:divBdr>
                                            <w:top w:val="none" w:sz="0" w:space="0" w:color="auto"/>
                                            <w:left w:val="none" w:sz="0" w:space="0" w:color="auto"/>
                                            <w:bottom w:val="none" w:sz="0" w:space="0" w:color="auto"/>
                                            <w:right w:val="none" w:sz="0" w:space="0" w:color="auto"/>
                                          </w:divBdr>
                                          <w:divsChild>
                                            <w:div w:id="455832542">
                                              <w:marLeft w:val="0"/>
                                              <w:marRight w:val="0"/>
                                              <w:marTop w:val="0"/>
                                              <w:marBottom w:val="0"/>
                                              <w:divBdr>
                                                <w:top w:val="none" w:sz="0" w:space="0" w:color="auto"/>
                                                <w:left w:val="none" w:sz="0" w:space="0" w:color="auto"/>
                                                <w:bottom w:val="none" w:sz="0" w:space="0" w:color="auto"/>
                                                <w:right w:val="none" w:sz="0" w:space="0" w:color="auto"/>
                                              </w:divBdr>
                                            </w:div>
                                            <w:div w:id="1147671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9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bonyc06\data2\Analyst%20Project%20Folders\TainaG\Open%20Data%20Docs\Oepn%20Data%20docs%202019\IBO%20Education%20Indica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ibonyc06\data2\Analyst%20Project%20Folders\TainaG\Open%20Data%20Docs\Oepn%20Data%20docs%202019\IBO%20Education%20Indica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bo.nyc.ny.us/iboreports/beyond-meal-status-a-new-measure-for-quantifying-poverty-levels-in-the-citys-schools-october-2015.htmlhttp:/www.ibo.nyc.ny.us/iboreports/beyond-meal-status-a-new-measure-for-quantifying-poverty-levels-in-the-citys-schools-october-201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IBO</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Taina Guarda</dc:creator>
  <cp:keywords/>
  <dc:description/>
  <cp:lastModifiedBy>Taina Guarda</cp:lastModifiedBy>
  <cp:revision>49</cp:revision>
  <dcterms:created xsi:type="dcterms:W3CDTF">2019-07-03T16:29:00Z</dcterms:created>
  <dcterms:modified xsi:type="dcterms:W3CDTF">2019-07-12T15:27:00Z</dcterms:modified>
</cp:coreProperties>
</file>