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36A763" w14:textId="77777777" w:rsidR="009A0852" w:rsidRDefault="009A0852" w:rsidP="009A0852">
      <w:pPr>
        <w:pStyle w:val="Heading1"/>
        <w:rPr>
          <w:color w:val="000000"/>
        </w:rPr>
      </w:pPr>
      <w:r>
        <w:rPr>
          <w:color w:val="000000"/>
        </w:rPr>
        <w:t>Metodologia</w:t>
      </w:r>
    </w:p>
    <w:p w14:paraId="06E3A75E" w14:textId="77777777" w:rsidR="009A0852" w:rsidRPr="00560C0D" w:rsidRDefault="009A0852" w:rsidP="009A08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60C0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Desenho do estudo</w:t>
      </w:r>
    </w:p>
    <w:p w14:paraId="669884E2" w14:textId="6AED7981" w:rsidR="009A0852" w:rsidRPr="00560C0D" w:rsidRDefault="009A0852" w:rsidP="009A085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60C0D">
        <w:rPr>
          <w:rFonts w:ascii="Times New Roman" w:eastAsia="Times New Roman" w:hAnsi="Times New Roman" w:cs="Times New Roman"/>
          <w:color w:val="000000"/>
        </w:rPr>
        <w:t xml:space="preserve">Trata-se de um estudo transversal, </w:t>
      </w:r>
      <w:r w:rsidR="006E3523">
        <w:rPr>
          <w:rFonts w:ascii="Times New Roman" w:eastAsia="Times New Roman" w:hAnsi="Times New Roman" w:cs="Times New Roman"/>
          <w:color w:val="000000"/>
          <w:lang w:val="pt-BR"/>
        </w:rPr>
        <w:t>representativo dos usuários da APS em Recife</w:t>
      </w:r>
      <w:r w:rsidRPr="00560C0D">
        <w:rPr>
          <w:rFonts w:ascii="Times New Roman" w:eastAsia="Times New Roman" w:hAnsi="Times New Roman" w:cs="Times New Roman"/>
          <w:color w:val="000000"/>
        </w:rPr>
        <w:t>, com abordagem quantitativa</w:t>
      </w:r>
      <w:r>
        <w:rPr>
          <w:rFonts w:ascii="Times New Roman" w:eastAsia="Times New Roman" w:hAnsi="Times New Roman" w:cs="Times New Roman"/>
          <w:color w:val="000000"/>
          <w:lang w:val="pt-BR"/>
        </w:rPr>
        <w:t>.</w:t>
      </w:r>
      <w:r w:rsidRPr="00560C0D">
        <w:rPr>
          <w:rFonts w:ascii="Times New Roman" w:eastAsia="Times New Roman" w:hAnsi="Times New Roman" w:cs="Times New Roman"/>
          <w:color w:val="000000"/>
        </w:rPr>
        <w:t xml:space="preserve"> O estudo tem por objetivo avaliar o acesso e a qualidade da Atenção Primária à Saúde (APS) no município de Recife, comparando Unidades de Saúde da Família convencionais (USF) e Unidades de Saúde da Família ampliadas (USF+), oriundas de um programa municipal de expansão e qualificação dos serviços.</w:t>
      </w:r>
    </w:p>
    <w:p w14:paraId="042EC21D" w14:textId="77777777" w:rsidR="009A0852" w:rsidRPr="00560C0D" w:rsidRDefault="009A0852" w:rsidP="009A085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560C0D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População e área de estudo</w:t>
      </w:r>
    </w:p>
    <w:p w14:paraId="10D98BEF" w14:textId="374388BC" w:rsidR="009A0852" w:rsidRPr="00560C0D" w:rsidRDefault="009A0852" w:rsidP="009A0852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560C0D">
        <w:rPr>
          <w:rFonts w:ascii="Times New Roman" w:eastAsia="Times New Roman" w:hAnsi="Times New Roman" w:cs="Times New Roman"/>
          <w:color w:val="000000"/>
        </w:rPr>
        <w:t>A população de estudo é composta por usuários adultos, com 18 anos ou mais, cadastrados nas USF e USF+ do município de Recife e que possu</w:t>
      </w:r>
      <w:r w:rsidR="002E12C3">
        <w:rPr>
          <w:rFonts w:ascii="Times New Roman" w:eastAsia="Times New Roman" w:hAnsi="Times New Roman" w:cs="Times New Roman"/>
          <w:color w:val="000000"/>
          <w:lang w:val="pt-BR"/>
        </w:rPr>
        <w:t>e</w:t>
      </w:r>
      <w:r w:rsidRPr="00560C0D">
        <w:rPr>
          <w:rFonts w:ascii="Times New Roman" w:eastAsia="Times New Roman" w:hAnsi="Times New Roman" w:cs="Times New Roman"/>
          <w:color w:val="000000"/>
        </w:rPr>
        <w:t>m número de telefone celular (WhatsApp) registrado nas bases da Prefeitura. O território de Recife está organizado em oito Distritos Sanitários (DS I a DS VIII), que constituem as unidades de planejamento da gestão em saúde e serão utilizados como estratos geográficos do plano amostral.</w:t>
      </w:r>
    </w:p>
    <w:p w14:paraId="01E174C2" w14:textId="77777777" w:rsidR="009A0852" w:rsidRDefault="009A0852" w:rsidP="009A0852">
      <w:pPr>
        <w:pStyle w:val="Heading2"/>
        <w:rPr>
          <w:color w:val="000000"/>
        </w:rPr>
      </w:pPr>
      <w:r>
        <w:rPr>
          <w:color w:val="000000"/>
        </w:rPr>
        <w:t>Plano amostral</w:t>
      </w:r>
    </w:p>
    <w:p w14:paraId="4148D4D3" w14:textId="77777777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t>A amostragem segue um desenho probabilístico estratificado em dois estágios. Os estratos são definidos pelo cruzamento entre Distrito Sanitário e tipo de unidade (USF ou USF+), resultando em até 16 estratos. No primeiro estágio, as Unidades de Saúde da Família são selecionadas dentro de cada estrato com probabilidade proporcional ao tamanho (PPT), adotando-se como medida de tamanho o número de usuários adultos cadastrados com telefone celular na unidade. No segundo estágio, realiza-se um sorteio aleatório simples dos usuários elegíveis dentro de cada unidade selecionada.</w:t>
      </w:r>
    </w:p>
    <w:p w14:paraId="22196BC9" w14:textId="77777777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t>Essa estrutura de amostragem é adequada por três razões. Primeiro, a população está naturalmente agrupada em unidades de saúde com territórios definidos, o que torna a amostragem por conglomerados operacionalmente viável. Segundo, a estratificação por tipo de unidade garante representatividade nos dois grupos de comparação (USF e USF+), assegurando poder estatístico para detectar diferenças entre eles. Terceiro, a estratificação por Distrito Sanitário controla a heterogeneidade territorial do município, evitando que diferenças socioeconômicas entre regiões contaminem a comparação entre os dois modelos de unidade.</w:t>
      </w:r>
    </w:p>
    <w:p w14:paraId="46F3172B" w14:textId="77777777" w:rsidR="007C76E5" w:rsidRDefault="007C76E5" w:rsidP="009A0852">
      <w:pPr>
        <w:pStyle w:val="NormalWeb"/>
        <w:rPr>
          <w:color w:val="000000"/>
        </w:rPr>
      </w:pPr>
    </w:p>
    <w:p w14:paraId="22CA7DAC" w14:textId="4D43F864" w:rsidR="007C76E5" w:rsidRDefault="007C76E5" w:rsidP="009A0852">
      <w:pPr>
        <w:pStyle w:val="NormalWeb"/>
        <w:rPr>
          <w:color w:val="000000"/>
        </w:rPr>
      </w:pPr>
      <w:r>
        <w:rPr>
          <w:color w:val="000000"/>
          <w:lang w:val="pt-BR"/>
        </w:rPr>
        <w:t>RECONSIDERAR FOCANDO NA OTIMIZAÇÃO DE TAXA DE RETORNO/QUESTIONÁRIO APLICADO.</w:t>
      </w:r>
    </w:p>
    <w:p w14:paraId="4448D34A" w14:textId="77777777" w:rsidR="009A0852" w:rsidRDefault="009A0852" w:rsidP="009A0852">
      <w:pPr>
        <w:pStyle w:val="Heading2"/>
        <w:rPr>
          <w:color w:val="000000"/>
        </w:rPr>
      </w:pPr>
      <w:r>
        <w:rPr>
          <w:color w:val="000000"/>
        </w:rPr>
        <w:t>Cálculo do tamanho da amostra</w:t>
      </w:r>
    </w:p>
    <w:p w14:paraId="38DE8C7C" w14:textId="77777777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lastRenderedPageBreak/>
        <w:t>O tamanho da amostra é calculado separadamente para cada grupo de comparação (USF e USF+), em três etapas sucessivas.</w:t>
      </w:r>
    </w:p>
    <w:p w14:paraId="4CC03947" w14:textId="77777777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t>Na primeira etapa, calcula-se a amostra base para uma amostra aleatória simples, utilizando a fórmula clássica para estimação de proporções:</w:t>
      </w:r>
    </w:p>
    <w:p w14:paraId="1989B8A7" w14:textId="77777777" w:rsidR="007C76E5" w:rsidRDefault="007C76E5" w:rsidP="007C76E5">
      <w:pPr>
        <w:pStyle w:val="font-claude-response-body"/>
        <w:rPr>
          <w:color w:val="000000"/>
        </w:rPr>
      </w:pPr>
    </w:p>
    <w:p w14:paraId="537DA566" w14:textId="77777777" w:rsidR="007C76E5" w:rsidRDefault="00000000" w:rsidP="007C76E5">
      <w:pPr>
        <w:pStyle w:val="font-claude-response-body"/>
        <w:rPr>
          <w:rStyle w:val="katex-mathml"/>
          <w:color w:val="000000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color w:val="000000"/>
                </w:rPr>
                <m:t>n</m:t>
              </m:r>
            </m:e>
            <m:sub>
              <m:r>
                <w:rPr>
                  <w:rStyle w:val="katex-mathml"/>
                  <w:rFonts w:ascii="Cambria Math" w:hAnsi="Cambria Math"/>
                  <w:color w:val="000000"/>
                </w:rPr>
                <m:t>0=</m:t>
              </m:r>
            </m:sub>
          </m:sSub>
          <m:f>
            <m:fPr>
              <m:ctrlPr>
                <w:rPr>
                  <w:rStyle w:val="katex-mathml"/>
                  <w:rFonts w:ascii="Cambria Math" w:hAnsi="Cambria Math"/>
                  <w:i/>
                  <w:color w:val="000000"/>
                </w:rPr>
              </m:ctrlPr>
            </m:fPr>
            <m:num>
              <m:sSup>
                <m:sSupPr>
                  <m:ctrlPr>
                    <w:rPr>
                      <w:rStyle w:val="katex-mathml"/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Style w:val="katex-mathml"/>
                      <w:rFonts w:ascii="Cambria Math" w:hAnsi="Cambria Math"/>
                      <w:color w:val="000000"/>
                    </w:rPr>
                    <m:t>z</m:t>
                  </m:r>
                </m:e>
                <m:sup>
                  <m:r>
                    <w:rPr>
                      <w:rStyle w:val="katex-mathml"/>
                      <w:rFonts w:ascii="Cambria Math" w:hAnsi="Cambria Math"/>
                      <w:color w:val="000000"/>
                    </w:rPr>
                    <m:t>2</m:t>
                  </m:r>
                </m:sup>
              </m:sSup>
              <m:r>
                <w:rPr>
                  <w:rStyle w:val="katex-mathml"/>
                  <w:rFonts w:ascii="Cambria Math" w:hAnsi="Cambria Math"/>
                  <w:color w:val="000000"/>
                </w:rPr>
                <m:t xml:space="preserve">.p(1-p) </m:t>
              </m:r>
            </m:num>
            <m:den>
              <m:sSup>
                <m:sSupPr>
                  <m:ctrlPr>
                    <w:rPr>
                      <w:rStyle w:val="katex-mathml"/>
                      <w:rFonts w:ascii="Cambria Math" w:hAnsi="Cambria Math"/>
                      <w:i/>
                      <w:color w:val="000000"/>
                    </w:rPr>
                  </m:ctrlPr>
                </m:sSupPr>
                <m:e>
                  <m:r>
                    <w:rPr>
                      <w:rStyle w:val="katex-mathml"/>
                      <w:rFonts w:ascii="Cambria Math" w:hAnsi="Cambria Math"/>
                      <w:color w:val="000000"/>
                    </w:rPr>
                    <m:t>e</m:t>
                  </m:r>
                </m:e>
                <m:sup>
                  <m:r>
                    <w:rPr>
                      <w:rStyle w:val="katex-mathml"/>
                      <w:rFonts w:ascii="Cambria Math" w:hAnsi="Cambria Math"/>
                      <w:color w:val="000000"/>
                    </w:rPr>
                    <m:t>2</m:t>
                  </m:r>
                </m:sup>
              </m:sSup>
            </m:den>
          </m:f>
        </m:oMath>
      </m:oMathPara>
    </w:p>
    <w:p w14:paraId="163F25E1" w14:textId="77777777" w:rsidR="007C76E5" w:rsidRDefault="007C76E5" w:rsidP="007C76E5">
      <w:pPr>
        <w:pStyle w:val="font-claude-response-body"/>
        <w:rPr>
          <w:color w:val="000000"/>
        </w:rPr>
      </w:pPr>
      <w:r>
        <w:rPr>
          <w:color w:val="000000"/>
        </w:rPr>
        <w:t>onde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z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é o valor crítico da distribuição normal associado ao nível de confiança (z = 1,96 para 95%),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p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é a proporção esperada do desfecho na população e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e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é a margem de erro máxima tolerada. Adotando-se p = 0,50 (cenário de máxima variabilidade, que produz o maior tamanho amostral possível) e e = 0,05, obtém-se uma amostra base de 384 indivíduos por grupo.</w:t>
      </w:r>
    </w:p>
    <w:p w14:paraId="0F9CEAD4" w14:textId="77777777" w:rsidR="007C76E5" w:rsidRDefault="007C76E5" w:rsidP="007C76E5">
      <w:pPr>
        <w:pStyle w:val="font-claude-response-body"/>
        <w:rPr>
          <w:color w:val="000000"/>
        </w:rPr>
      </w:pPr>
      <w:r>
        <w:rPr>
          <w:color w:val="000000"/>
        </w:rPr>
        <w:t>Na segunda etapa, aplica-se a correção pelo efeito do desenho (design effect — deff), que compensa a perda de eficiência decorrente da amostragem por conglomerados em relação à amostra aleatória simples:</w:t>
      </w:r>
    </w:p>
    <w:p w14:paraId="11E98270" w14:textId="77777777" w:rsidR="007C76E5" w:rsidRDefault="007C76E5" w:rsidP="007C76E5">
      <w:pPr>
        <w:pStyle w:val="font-claude-response-body"/>
        <w:jc w:val="center"/>
        <w:rPr>
          <w:color w:val="000000"/>
        </w:rPr>
      </w:pPr>
      <w:r>
        <w:rPr>
          <w:rStyle w:val="katex-mathml"/>
          <w:color w:val="000000"/>
        </w:rPr>
        <w:t>n1=n0×deff</w:t>
      </w:r>
    </w:p>
    <w:p w14:paraId="463DB7BD" w14:textId="77777777" w:rsidR="007C76E5" w:rsidRDefault="007C76E5" w:rsidP="007C76E5">
      <w:pPr>
        <w:pStyle w:val="font-claude-response-body"/>
        <w:rPr>
          <w:color w:val="000000"/>
        </w:rPr>
      </w:pPr>
      <w:r>
        <w:rPr>
          <w:color w:val="000000"/>
        </w:rPr>
        <w:t>O deff é estimado entre 1,5 e 2,0 para amostragens por conglomerados na APS, com base na literatura e em pesquisas anteriores. Com deff = 1,5, o número de respostas completas necessárias eleva-se para 576 por grupo; com deff = 2,0, para 768.</w:t>
      </w:r>
    </w:p>
    <w:p w14:paraId="48BE9837" w14:textId="77777777" w:rsidR="007C76E5" w:rsidRDefault="007C76E5" w:rsidP="007C76E5">
      <w:pPr>
        <w:pStyle w:val="font-claude-response-body"/>
        <w:rPr>
          <w:color w:val="000000"/>
        </w:rPr>
      </w:pPr>
      <w:r w:rsidRPr="009A0852">
        <w:rPr>
          <w:b/>
          <w:bCs/>
          <w:color w:val="000000"/>
        </w:rPr>
        <w:t>Opcionalmente</w:t>
      </w:r>
      <w:r>
        <w:rPr>
          <w:color w:val="000000"/>
        </w:rPr>
        <w:t>, quando a população cadastrada de um dos grupos for relativamente pequena, aplica-se a correção para população finita:</w:t>
      </w:r>
    </w:p>
    <w:p w14:paraId="52E2458E" w14:textId="77777777" w:rsidR="007C76E5" w:rsidRDefault="00000000" w:rsidP="007C76E5">
      <w:pPr>
        <w:pStyle w:val="font-claude-response-body"/>
        <w:rPr>
          <w:rStyle w:val="katex-mathml"/>
          <w:color w:val="000000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color w:val="000000"/>
                </w:rPr>
                <m:t>n</m:t>
              </m:r>
            </m:e>
            <m:sub>
              <m:r>
                <w:rPr>
                  <w:rStyle w:val="katex-mathml"/>
                  <w:rFonts w:ascii="Cambria Math" w:hAnsi="Cambria Math"/>
                  <w:color w:val="000000"/>
                </w:rPr>
                <m:t>2=</m:t>
              </m:r>
            </m:sub>
          </m:sSub>
          <m:f>
            <m:fPr>
              <m:ctrlPr>
                <w:rPr>
                  <w:rStyle w:val="katex-mathml"/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  <w:color w:val="000000"/>
                </w:rPr>
                <m:t xml:space="preserve">n1 </m:t>
              </m:r>
            </m:num>
            <m:den>
              <m:r>
                <w:rPr>
                  <w:rStyle w:val="katex-mathml"/>
                  <w:rFonts w:ascii="Cambria Math" w:hAnsi="Cambria Math"/>
                  <w:color w:val="000000"/>
                </w:rPr>
                <m:t>1+</m:t>
              </m:r>
              <m:f>
                <m:fPr>
                  <m:ctrlPr>
                    <w:rPr>
                      <w:rStyle w:val="katex-mathml"/>
                      <w:rFonts w:ascii="Cambria Math" w:hAnsi="Cambria Math"/>
                      <w:i/>
                      <w:color w:val="000000"/>
                    </w:rPr>
                  </m:ctrlPr>
                </m:fPr>
                <m:num>
                  <m:r>
                    <w:rPr>
                      <w:rStyle w:val="katex-mathml"/>
                      <w:rFonts w:ascii="Cambria Math" w:hAnsi="Cambria Math"/>
                      <w:color w:val="000000"/>
                    </w:rPr>
                    <m:t>n1</m:t>
                  </m:r>
                </m:num>
                <m:den>
                  <m:r>
                    <w:rPr>
                      <w:rStyle w:val="katex-mathml"/>
                      <w:rFonts w:ascii="Cambria Math" w:hAnsi="Cambria Math"/>
                      <w:color w:val="000000"/>
                    </w:rPr>
                    <m:t>N</m:t>
                  </m:r>
                </m:den>
              </m:f>
            </m:den>
          </m:f>
        </m:oMath>
      </m:oMathPara>
    </w:p>
    <w:p w14:paraId="4D932EAE" w14:textId="77777777" w:rsidR="007C76E5" w:rsidRDefault="007C76E5" w:rsidP="007C76E5">
      <w:pPr>
        <w:pStyle w:val="font-claude-response-body"/>
        <w:rPr>
          <w:color w:val="000000"/>
        </w:rPr>
      </w:pPr>
      <w:r>
        <w:rPr>
          <w:color w:val="000000"/>
        </w:rPr>
        <w:t>onde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é o total de usuários elegíveis no grupo. Essa correção reduz o tamanho amostral necessário quando a fração amostral (n/N) é expressiva.</w:t>
      </w:r>
    </w:p>
    <w:p w14:paraId="227297BD" w14:textId="77777777" w:rsidR="007C76E5" w:rsidRDefault="007C76E5" w:rsidP="007C76E5">
      <w:pPr>
        <w:pStyle w:val="font-claude-response-body"/>
        <w:rPr>
          <w:color w:val="000000"/>
        </w:rPr>
      </w:pPr>
      <w:r>
        <w:rPr>
          <w:color w:val="000000"/>
        </w:rPr>
        <w:t>Na terceira etapa, o número de convites a serem enviados via WhatsApp é sobredimensionado para compensar a não resposta esperada:</w:t>
      </w:r>
    </w:p>
    <w:p w14:paraId="2133EEED" w14:textId="77777777" w:rsidR="007C76E5" w:rsidRDefault="00000000" w:rsidP="007C76E5">
      <w:pPr>
        <w:pStyle w:val="font-claude-response-body"/>
        <w:rPr>
          <w:rStyle w:val="katex-mathml"/>
          <w:color w:val="000000"/>
        </w:rPr>
      </w:pPr>
      <m:oMathPara>
        <m:oMath>
          <m:sSub>
            <m:sSubPr>
              <m:ctrlPr>
                <w:rPr>
                  <w:rStyle w:val="katex-mathml"/>
                  <w:rFonts w:ascii="Cambria Math" w:hAnsi="Cambria Math"/>
                  <w:i/>
                  <w:color w:val="000000"/>
                </w:rPr>
              </m:ctrlPr>
            </m:sSubPr>
            <m:e>
              <m:r>
                <w:rPr>
                  <w:rStyle w:val="katex-mathml"/>
                  <w:rFonts w:ascii="Cambria Math" w:hAnsi="Cambria Math"/>
                  <w:color w:val="000000"/>
                </w:rPr>
                <m:t>n</m:t>
              </m:r>
            </m:e>
            <m:sub>
              <m:r>
                <w:rPr>
                  <w:rStyle w:val="katex-mathml"/>
                  <w:rFonts w:ascii="Cambria Math" w:hAnsi="Cambria Math"/>
                  <w:color w:val="000000"/>
                </w:rPr>
                <m:t>disparos=</m:t>
              </m:r>
            </m:sub>
          </m:sSub>
          <m:f>
            <m:fPr>
              <m:ctrlPr>
                <w:rPr>
                  <w:rStyle w:val="katex-mathml"/>
                  <w:rFonts w:ascii="Cambria Math" w:hAnsi="Cambria Math"/>
                  <w:i/>
                  <w:color w:val="000000"/>
                </w:rPr>
              </m:ctrlPr>
            </m:fPr>
            <m:num>
              <m:r>
                <w:rPr>
                  <w:rStyle w:val="katex-mathml"/>
                  <w:rFonts w:ascii="Cambria Math" w:hAnsi="Cambria Math"/>
                  <w:color w:val="000000"/>
                </w:rPr>
                <m:t xml:space="preserve">n1 </m:t>
              </m:r>
            </m:num>
            <m:den>
              <m:r>
                <w:rPr>
                  <w:rStyle w:val="katex-mathml"/>
                  <w:rFonts w:ascii="Cambria Math" w:hAnsi="Cambria Math"/>
                  <w:color w:val="000000"/>
                </w:rPr>
                <m:t>r</m:t>
              </m:r>
            </m:den>
          </m:f>
        </m:oMath>
      </m:oMathPara>
    </w:p>
    <w:p w14:paraId="6061B597" w14:textId="77777777" w:rsidR="007C76E5" w:rsidRDefault="007C76E5" w:rsidP="007C76E5">
      <w:pPr>
        <w:pStyle w:val="font-claude-response-body"/>
        <w:rPr>
          <w:color w:val="000000"/>
        </w:rPr>
      </w:pPr>
      <w:r>
        <w:rPr>
          <w:color w:val="000000"/>
        </w:rPr>
        <w:t>onde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é a taxa de resposta esperada. Essa taxa é estimada entre </w:t>
      </w:r>
      <w:r>
        <w:rPr>
          <w:color w:val="000000"/>
          <w:lang w:val="pt-BR"/>
        </w:rPr>
        <w:t>7</w:t>
      </w:r>
      <w:r>
        <w:rPr>
          <w:color w:val="000000"/>
        </w:rPr>
        <w:t xml:space="preserve">% e </w:t>
      </w:r>
      <w:r>
        <w:rPr>
          <w:color w:val="000000"/>
          <w:lang w:val="pt-BR"/>
        </w:rPr>
        <w:t>10</w:t>
      </w:r>
      <w:r>
        <w:rPr>
          <w:color w:val="000000"/>
        </w:rPr>
        <w:t>% para pesquisas via WhatsApp</w:t>
      </w:r>
      <w:r>
        <w:rPr>
          <w:color w:val="000000"/>
          <w:lang w:val="pt-BR"/>
        </w:rPr>
        <w:t xml:space="preserve"> no município</w:t>
      </w:r>
      <w:r>
        <w:rPr>
          <w:color w:val="000000"/>
        </w:rPr>
        <w:t xml:space="preserve">, o que resulta em um volume de convites da ordem de 2.000 a 5.000 por grupo, a depender dos parâmetros definitivos. É importante ressaltar que a taxa de resposta é </w:t>
      </w:r>
      <w:r>
        <w:rPr>
          <w:color w:val="000000"/>
        </w:rPr>
        <w:lastRenderedPageBreak/>
        <w:t>utilizada exclusivamente nesta etapa de dimensionamento (para definir quantos convites enviar), e não na ponderação final dos dados coletados.</w:t>
      </w:r>
    </w:p>
    <w:p w14:paraId="1C97E99B" w14:textId="77777777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t>onde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r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é a taxa de resposta esperada. Essa taxa é estimada entre 15% e 30% para pesquisas via WhatsApp, o que resulta em um volume de convites da ordem de 2.000 a 5.000 por grupo, a depender dos parâmetros definitivos. É importante ressaltar que a taxa de resposta é utilizada exclusivamente nesta etapa de dimensionamento (para definir quantos convites enviar), e não na ponderação final dos dados coletados.</w:t>
      </w:r>
    </w:p>
    <w:p w14:paraId="0AE98F44" w14:textId="77777777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t>Os valores finais de efeito do desenho e taxa de resposta serão calibrados com base em três fontes: resultados de pesquisas anteriores realizadas no município (como o PMAQ e pesquisas de satisfação), dados de experiências prévias de comunicação via WhatsApp pela Secretaria Municipal de Saúde de Recife e um estudo-piloto a ser conduzido em duas a três unidades antes da coleta em larga escala.</w:t>
      </w:r>
    </w:p>
    <w:p w14:paraId="3D29E0C5" w14:textId="77777777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t>A proporção esperada (p = 0,50) poderá ser substituída por um valor mais preciso caso se identifiquem resultados de avaliações anteriores da APS em Recife, o que permitiria reduzir o tamanho amostral necessário.</w:t>
      </w:r>
    </w:p>
    <w:p w14:paraId="0AA0C0D5" w14:textId="77777777" w:rsidR="009A0852" w:rsidRDefault="009A0852" w:rsidP="009A0852">
      <w:pPr>
        <w:pStyle w:val="Heading2"/>
        <w:rPr>
          <w:color w:val="000000"/>
        </w:rPr>
      </w:pPr>
      <w:r>
        <w:rPr>
          <w:color w:val="000000"/>
        </w:rPr>
        <w:t>Alocação da amostra</w:t>
      </w:r>
    </w:p>
    <w:p w14:paraId="541267FF" w14:textId="77777777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t>A alocação do número de entrevistas por estrato segue, preferencialmente, o critério de alocação igual entre os dois grupos de comparação (USF e USF+), com distribuição proporcional ao tamanho da população cadastrada entre os Distritos Sanitários dentro de cada grupo. Essa estratégia maximiza o poder estatístico para a comparação central da pesquisa. Caso algum estrato apresente número reduzido de unidades ou de usuários cadastrados, adotar-se-á alocação desproporcional com posterior ponderação para garantir representatividade mínima.</w:t>
      </w:r>
    </w:p>
    <w:p w14:paraId="612C7973" w14:textId="77777777" w:rsidR="009A0852" w:rsidRDefault="009A0852" w:rsidP="009A0852">
      <w:pPr>
        <w:pStyle w:val="Heading2"/>
        <w:rPr>
          <w:color w:val="000000"/>
        </w:rPr>
      </w:pPr>
      <w:r>
        <w:rPr>
          <w:color w:val="000000"/>
        </w:rPr>
        <w:t>Variáveis do estudo</w:t>
      </w:r>
    </w:p>
    <w:p w14:paraId="023C2C7D" w14:textId="77777777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t>A variável de exposição principal é o tipo de unidade (USF ou USF+). As variáveis de desfecho compreendem indicadores de acesso e qualidade da APS, mensurados por meio de instrumento baseado nos atributos da Atenção Primária definidos por Starfield: acesso de primeiro contato, acessibilidade organizacional, longitudinalidade, coordenação do cuidado, integralidade, orientação familiar e orientação comunitária. O instrumento inclui ainda um bloco adicional sobre acesso digital e teleatendimento.</w:t>
      </w:r>
    </w:p>
    <w:p w14:paraId="5983669D" w14:textId="0E8F1019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t xml:space="preserve">As variáveis sociodemográficas </w:t>
      </w:r>
      <w:r w:rsidR="007C76E5">
        <w:rPr>
          <w:color w:val="000000"/>
          <w:lang w:val="pt-BR"/>
        </w:rPr>
        <w:t>(</w:t>
      </w:r>
      <w:r>
        <w:rPr>
          <w:color w:val="000000"/>
        </w:rPr>
        <w:t xml:space="preserve"> sexo, faixa etária e raça/cor</w:t>
      </w:r>
      <w:r w:rsidR="007C76E5">
        <w:rPr>
          <w:color w:val="000000"/>
          <w:lang w:val="pt-BR"/>
        </w:rPr>
        <w:t>)</w:t>
      </w:r>
      <w:r>
        <w:rPr>
          <w:color w:val="000000"/>
        </w:rPr>
        <w:t xml:space="preserve"> desempenham três funções no desenho da pesquisa. Primeiro, são consideradas no dimensionamento da amostra: o tamanho amostral é calculado de modo a garantir um número mínimo de respostas em cada subgrupo isolado (por sexo, faixa etária e raça/cor) e nos cruzamentos simples de maior interesse analítico, assegurando que as estimativas para esses domínios tenham precisão controlada. Segundo, são utilizadas na pós-estratificação dos pesos amostrais, calibrando a distribuição conjunta de sexo, faixa etária e raça/cor da amostra de respondentes à distribuição populacional </w:t>
      </w:r>
      <w:r w:rsidR="007C76E5">
        <w:rPr>
          <w:color w:val="000000"/>
          <w:lang w:val="pt-BR"/>
        </w:rPr>
        <w:t xml:space="preserve">segundo o registro </w:t>
      </w:r>
      <w:r w:rsidR="007C76E5">
        <w:rPr>
          <w:color w:val="000000"/>
          <w:lang w:val="pt-BR"/>
        </w:rPr>
        <w:lastRenderedPageBreak/>
        <w:t xml:space="preserve">dos domicílios. </w:t>
      </w:r>
      <w:r>
        <w:rPr>
          <w:color w:val="000000"/>
        </w:rPr>
        <w:t>Terceiro, entram como covariáveis na análise de subgrupos, permitindo verificar se o efeito do programa USF+ varia entre populações.</w:t>
      </w:r>
    </w:p>
    <w:p w14:paraId="21047F83" w14:textId="21694542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t>Essas variáveis, no entanto, não são utilizadas como estratos amostrais na fase de seleção (sorteio). Os estratos amostrais permanecem sendo Distrito Sanitário × tipo de unidade, por duas razões: a base cadastral do nem sempre dispõe de sexo, idade e raça/cor com preenchimento confiável para todos os registros, e a multiplicação de estratos cruzados (8 DS × 2 tipos × sexo × faixas etárias × raça/cor) fragmentaria a amostra em dezenas de células, inviabilizando a operacionalização do sorteio.</w:t>
      </w:r>
    </w:p>
    <w:p w14:paraId="449C9357" w14:textId="3C1DD8B6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t xml:space="preserve">Escolaridade e renda familiar </w:t>
      </w:r>
      <w:r w:rsidR="007C76E5">
        <w:rPr>
          <w:color w:val="000000"/>
          <w:lang w:val="pt-BR"/>
        </w:rPr>
        <w:t>podem ser</w:t>
      </w:r>
      <w:r>
        <w:rPr>
          <w:color w:val="000000"/>
        </w:rPr>
        <w:t xml:space="preserve"> coletadas no questionário e utilizadas exclusivamente como covariáveis de análise, sem papel no dimensionamento ou na pós-estratificação.</w:t>
      </w:r>
    </w:p>
    <w:p w14:paraId="45CD46C6" w14:textId="522E5DB4" w:rsidR="009A0852" w:rsidRDefault="009A0852" w:rsidP="009A0852">
      <w:pPr>
        <w:pStyle w:val="NormalWeb"/>
        <w:rPr>
          <w:color w:val="000000"/>
        </w:rPr>
      </w:pPr>
      <w:r w:rsidRPr="007C76E5">
        <w:rPr>
          <w:color w:val="000000"/>
          <w:highlight w:val="yellow"/>
        </w:rPr>
        <w:t xml:space="preserve">Variáveis contextuais no nível da unidade </w:t>
      </w:r>
      <w:r w:rsidR="007C76E5" w:rsidRPr="007C76E5">
        <w:rPr>
          <w:color w:val="000000"/>
          <w:highlight w:val="yellow"/>
          <w:lang w:val="pt-BR"/>
        </w:rPr>
        <w:t>(</w:t>
      </w:r>
      <w:r w:rsidRPr="007C76E5">
        <w:rPr>
          <w:color w:val="000000"/>
          <w:highlight w:val="yellow"/>
        </w:rPr>
        <w:t>como número de equipes de Saúde da Família, tempo de implantação do programa USF+ e indicadores de produção assistencial</w:t>
      </w:r>
      <w:r w:rsidR="007C76E5" w:rsidRPr="007C76E5">
        <w:rPr>
          <w:color w:val="000000"/>
          <w:highlight w:val="yellow"/>
          <w:lang w:val="pt-BR"/>
        </w:rPr>
        <w:t>)</w:t>
      </w:r>
      <w:r w:rsidRPr="007C76E5">
        <w:rPr>
          <w:color w:val="000000"/>
          <w:highlight w:val="yellow"/>
        </w:rPr>
        <w:t xml:space="preserve"> são obtidas de fontes secundárias da Secretaria Municipal de Saúde e incorporadas à análise como covariáveis de nível agregado.</w:t>
      </w:r>
    </w:p>
    <w:p w14:paraId="6F20EF6C" w14:textId="77777777" w:rsidR="009A0852" w:rsidRDefault="009A0852" w:rsidP="009A0852">
      <w:pPr>
        <w:pStyle w:val="Heading2"/>
        <w:rPr>
          <w:color w:val="000000"/>
        </w:rPr>
      </w:pPr>
      <w:r>
        <w:rPr>
          <w:color w:val="000000"/>
        </w:rPr>
        <w:t>Coleta de dados</w:t>
      </w:r>
    </w:p>
    <w:p w14:paraId="5D8DE5BD" w14:textId="7BF51F0B" w:rsidR="009A0852" w:rsidRPr="007C76E5" w:rsidRDefault="009A0852" w:rsidP="009A0852">
      <w:pPr>
        <w:pStyle w:val="NormalWeb"/>
        <w:rPr>
          <w:color w:val="000000"/>
          <w:lang w:val="pt-BR"/>
        </w:rPr>
      </w:pPr>
      <w:r>
        <w:rPr>
          <w:color w:val="000000"/>
        </w:rPr>
        <w:t xml:space="preserve">A coleta é realizada por meio de questionário estruturado, em formato eletrônico, enviado via WhatsApp aos usuários sorteados. </w:t>
      </w:r>
      <w:r w:rsidR="007C76E5">
        <w:rPr>
          <w:color w:val="000000"/>
          <w:lang w:val="pt-BR"/>
        </w:rPr>
        <w:t>XXXXXXXXXX</w:t>
      </w:r>
    </w:p>
    <w:p w14:paraId="27B365E5" w14:textId="77777777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t>Está previsto o envio de lembretes para não respondentes em intervalos a serem definidos com base no estudo-piloto e na experiência da Secretaria de Saúde com disparos anteriores. O tempo estimado de resposta é de cinco a oito minutos.</w:t>
      </w:r>
    </w:p>
    <w:p w14:paraId="3F9D25CF" w14:textId="77777777" w:rsidR="009A0852" w:rsidRDefault="009A0852" w:rsidP="009A0852">
      <w:pPr>
        <w:pStyle w:val="Heading2"/>
        <w:rPr>
          <w:color w:val="000000"/>
        </w:rPr>
      </w:pPr>
      <w:r>
        <w:rPr>
          <w:color w:val="000000"/>
        </w:rPr>
        <w:t>Ponderação</w:t>
      </w:r>
    </w:p>
    <w:p w14:paraId="0AC05D87" w14:textId="77777777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t>Cada observação da amostra recebe um peso amostral básico correspondente ao inverso do produto das probabilidades de seleção nos dois estágios. No primeiro estágio, a probabilidade de seleção da unidade é função do número de unidades selecionadas no estrato e da participação da unidade no total de cadastrados do estrato (seleção com PPT). No segundo estágio, a probabilidade de seleção do usuário é a razão entre o número de sorteados e o total de elegíveis na unidade. O peso básico é, portanto, w = 1 / (P1 × P2).</w:t>
      </w:r>
    </w:p>
    <w:p w14:paraId="10D0CA07" w14:textId="77777777" w:rsidR="009A0852" w:rsidRDefault="009A0852" w:rsidP="009A0852">
      <w:pPr>
        <w:pStyle w:val="NormalWeb"/>
        <w:rPr>
          <w:color w:val="000000"/>
        </w:rPr>
      </w:pPr>
      <w:r>
        <w:rPr>
          <w:color w:val="000000"/>
        </w:rPr>
        <w:t>O ajuste de não resposta não é incorporado diretamente ao peso básico. Eventuais desequilíbrios no perfil dos respondentes — esperáveis em pesquisas por WhatsApp, onde a propensão a responder pode variar por faixa etária, sexo ou familiaridade digital — são corrigidos por meio de pós-estratificação. Nessa etapa, os pesos são calibrados para que a distribuição amostral conjunta de sexo, faixa etária e raça/cor corresponda à distribuição populacional do município segundo o Censo IBGE 2022. Essa calibração tripla garante que as estimativas ponderadas sejam representativas não apenas para o total da população, mas também para cada subgrupo demográfico de interesse. A taxa de resposta permanece relevante apenas no dimensionamento prévio da amostra (cálculo do número de convites a enviar), não na ponderação final.</w:t>
      </w:r>
    </w:p>
    <w:p w14:paraId="5FFBCC51" w14:textId="2429BC46" w:rsidR="002C5FFD" w:rsidRDefault="002C5FFD" w:rsidP="002C5FFD">
      <w:pPr>
        <w:pStyle w:val="Heading2"/>
        <w:jc w:val="center"/>
        <w:rPr>
          <w:color w:val="000000"/>
          <w:lang w:val="pt-BR"/>
        </w:rPr>
      </w:pPr>
      <w:r>
        <w:rPr>
          <w:noProof/>
          <w:color w:val="000000"/>
          <w:lang w:val="pt-BR"/>
        </w:rPr>
        <w:lastRenderedPageBreak/>
        <w:drawing>
          <wp:inline distT="0" distB="0" distL="0" distR="0" wp14:anchorId="70289F4B" wp14:editId="462AF7BF">
            <wp:extent cx="4476621" cy="8821196"/>
            <wp:effectExtent l="0" t="0" r="0" b="0"/>
            <wp:docPr id="1898144161" name="Picture 1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44161" name="Picture 1" descr="A screenshot of a cell phone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2434" cy="8891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1E53" w14:textId="29F61120" w:rsidR="009A0852" w:rsidRDefault="007C76E5" w:rsidP="009A0852">
      <w:pPr>
        <w:pStyle w:val="Heading2"/>
        <w:rPr>
          <w:color w:val="000000"/>
        </w:rPr>
      </w:pPr>
      <w:r>
        <w:rPr>
          <w:color w:val="000000"/>
          <w:lang w:val="pt-BR"/>
        </w:rPr>
        <w:lastRenderedPageBreak/>
        <w:t>Comitê de ética, a</w:t>
      </w:r>
      <w:r w:rsidR="009A0852">
        <w:rPr>
          <w:color w:val="000000"/>
        </w:rPr>
        <w:t>spectos éticos e proteção de dados</w:t>
      </w:r>
    </w:p>
    <w:p w14:paraId="52DBBD1D" w14:textId="77777777" w:rsidR="009A0852" w:rsidRDefault="009A0852" w:rsidP="00560C0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</w:p>
    <w:p w14:paraId="4CD920E3" w14:textId="77777777" w:rsidR="009A0852" w:rsidRDefault="009A0852" w:rsidP="00560C0D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</w:rPr>
      </w:pPr>
    </w:p>
    <w:p w14:paraId="4C9BC6C2" w14:textId="77777777" w:rsidR="002F52D0" w:rsidRDefault="002F52D0"/>
    <w:sectPr w:rsidR="002F52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C0D"/>
    <w:rsid w:val="002C5FFD"/>
    <w:rsid w:val="002E12C3"/>
    <w:rsid w:val="002F52D0"/>
    <w:rsid w:val="004564BA"/>
    <w:rsid w:val="00560C0D"/>
    <w:rsid w:val="006E3523"/>
    <w:rsid w:val="00756CF5"/>
    <w:rsid w:val="007C76E5"/>
    <w:rsid w:val="009A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07139"/>
  <w15:chartTrackingRefBased/>
  <w15:docId w15:val="{4E05967C-48B3-6746-9F9E-5531D80A3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60C0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60C0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60C0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60C0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560C0D"/>
  </w:style>
  <w:style w:type="character" w:styleId="HTMLCode">
    <w:name w:val="HTML Code"/>
    <w:basedOn w:val="DefaultParagraphFont"/>
    <w:uiPriority w:val="99"/>
    <w:semiHidden/>
    <w:unhideWhenUsed/>
    <w:rsid w:val="00560C0D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560C0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katex-mathml">
    <w:name w:val="katex-mathml"/>
    <w:basedOn w:val="DefaultParagraphFont"/>
    <w:rsid w:val="00560C0D"/>
  </w:style>
  <w:style w:type="character" w:customStyle="1" w:styleId="mord">
    <w:name w:val="mord"/>
    <w:basedOn w:val="DefaultParagraphFont"/>
    <w:rsid w:val="00560C0D"/>
  </w:style>
  <w:style w:type="character" w:customStyle="1" w:styleId="vlist-s">
    <w:name w:val="vlist-s"/>
    <w:basedOn w:val="DefaultParagraphFont"/>
    <w:rsid w:val="00560C0D"/>
  </w:style>
  <w:style w:type="character" w:customStyle="1" w:styleId="mrel">
    <w:name w:val="mrel"/>
    <w:basedOn w:val="DefaultParagraphFont"/>
    <w:rsid w:val="00560C0D"/>
  </w:style>
  <w:style w:type="character" w:customStyle="1" w:styleId="mopen">
    <w:name w:val="mopen"/>
    <w:basedOn w:val="DefaultParagraphFont"/>
    <w:rsid w:val="00560C0D"/>
  </w:style>
  <w:style w:type="character" w:customStyle="1" w:styleId="mbin">
    <w:name w:val="mbin"/>
    <w:basedOn w:val="DefaultParagraphFont"/>
    <w:rsid w:val="00560C0D"/>
  </w:style>
  <w:style w:type="character" w:customStyle="1" w:styleId="mclose">
    <w:name w:val="mclose"/>
    <w:basedOn w:val="DefaultParagraphFont"/>
    <w:rsid w:val="00560C0D"/>
  </w:style>
  <w:style w:type="character" w:styleId="Emphasis">
    <w:name w:val="Emphasis"/>
    <w:basedOn w:val="DefaultParagraphFont"/>
    <w:uiPriority w:val="20"/>
    <w:qFormat/>
    <w:rsid w:val="00560C0D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560C0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2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1439</Words>
  <Characters>8436</Characters>
  <Application>Microsoft Office Word</Application>
  <DocSecurity>0</DocSecurity>
  <Lines>222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Azeredo Teixeira</dc:creator>
  <cp:keywords/>
  <dc:description/>
  <cp:lastModifiedBy>Renato Azeredo Teixeira</cp:lastModifiedBy>
  <cp:revision>5</cp:revision>
  <dcterms:created xsi:type="dcterms:W3CDTF">2026-06-11T19:43:00Z</dcterms:created>
  <dcterms:modified xsi:type="dcterms:W3CDTF">2026-06-26T13:54:00Z</dcterms:modified>
</cp:coreProperties>
</file>