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6A4F"/>
          <w:sz w:val="52"/>
          <w:szCs w:val="52"/>
        </w:rPr>
        <w:t xml:space="preserve">Calo</w:t>
      </w:r>
    </w:p>
    <w:p>
      <w:pPr>
        <w:spacing w:after="240" w:before="0"/>
      </w:pPr>
      <w:r>
        <w:rPr>
          <w:rFonts w:ascii="Arial" w:cs="Arial" w:eastAsia="Arial" w:hAnsi="Arial"/>
          <w:b/>
          <w:bCs/>
          <w:color w:val="1B1B1B"/>
          <w:sz w:val="36"/>
          <w:szCs w:val="36"/>
        </w:rPr>
        <w:t xml:space="preserve">University Student Programme Strategy</w:t>
      </w:r>
    </w:p>
    <w:p>
      <w:pPr>
        <w:spacing w:after="480" w:before="0"/>
      </w:pPr>
      <w:r>
        <w:rPr>
          <w:rFonts w:ascii="Arial" w:cs="Arial" w:eastAsia="Arial" w:hAnsi="Arial"/>
          <w:color w:val="888888"/>
          <w:sz w:val="20"/>
          <w:szCs w:val="20"/>
        </w:rPr>
        <w:t xml:space="preserve">Internal Planning Document  •  March 2026</w:t>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Overview</w:t>
      </w:r>
    </w:p>
    <w:p>
      <w:pPr>
        <w:spacing w:after="60" w:before="60"/>
      </w:pPr>
      <w:r>
        <w:rPr>
          <w:rFonts w:ascii="Arial" w:cs="Arial" w:eastAsia="Arial" w:hAnsi="Arial"/>
          <w:color w:val="1B1B1B"/>
          <w:sz w:val="22"/>
          <w:szCs w:val="22"/>
        </w:rPr>
        <w:t xml:space="preserve">This document outlines the strategy for Calo’s university student programme, covering our WhatsApp community model, monthly challenge framework, ambassador and referral structure, onboarding infrastructure, and upcoming events. The programme is being developed collaboratively and is focused on maximising engagement with international and domestic students across London universities.</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1. WhatsApp Community for Society Leaders</w:t>
      </w:r>
    </w:p>
    <w:p>
      <w:pPr>
        <w:spacing w:after="60" w:before="60"/>
      </w:pPr>
      <w:r>
        <w:rPr>
          <w:rFonts w:ascii="Arial" w:cs="Arial" w:eastAsia="Arial" w:hAnsi="Arial"/>
          <w:color w:val="1B1B1B"/>
          <w:sz w:val="22"/>
          <w:szCs w:val="22"/>
        </w:rPr>
        <w:t xml:space="preserve">We have established a WhatsApp community bringing together key decision makers from student societies — primarily society presidents and social secretaries. The group is structured to be admin-led, allowing us to broadcast updates efficiently rather than messaging each society individually.</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Purpose</w:t>
      </w:r>
    </w:p>
    <w:p>
      <w:pPr>
        <w:pStyle w:val="ListParagraph"/>
        <w:numPr>
          <w:ilvl w:val="0"/>
          <w:numId w:val="2"/>
        </w:numPr>
        <w:spacing w:after="40" w:before="40"/>
      </w:pPr>
      <w:r>
        <w:rPr>
          <w:rFonts w:ascii="Arial" w:cs="Arial" w:eastAsia="Arial" w:hAnsi="Arial"/>
          <w:b w:val="false"/>
          <w:bCs w:val="false"/>
          <w:color w:val="1B1B1B"/>
          <w:sz w:val="22"/>
          <w:szCs w:val="22"/>
        </w:rPr>
        <w:t xml:space="preserve">Distribute time-sensitive offers (e.g. Ramadan promotions, limited-time discounts) via a single post rather than individual outreach</w:t>
      </w:r>
    </w:p>
    <w:p>
      <w:pPr>
        <w:pStyle w:val="ListParagraph"/>
        <w:numPr>
          <w:ilvl w:val="0"/>
          <w:numId w:val="2"/>
        </w:numPr>
        <w:spacing w:after="40" w:before="40"/>
      </w:pPr>
      <w:r>
        <w:rPr>
          <w:rFonts w:ascii="Arial" w:cs="Arial" w:eastAsia="Arial" w:hAnsi="Arial"/>
          <w:b w:val="false"/>
          <w:bCs w:val="false"/>
          <w:color w:val="1B1B1B"/>
          <w:sz w:val="22"/>
          <w:szCs w:val="22"/>
        </w:rPr>
        <w:t xml:space="preserve">Keep society leaders informed of product updates, chef specials, and seasonal campaigns</w:t>
      </w:r>
    </w:p>
    <w:p>
      <w:pPr>
        <w:pStyle w:val="ListParagraph"/>
        <w:numPr>
          <w:ilvl w:val="0"/>
          <w:numId w:val="2"/>
        </w:numPr>
        <w:spacing w:after="40" w:before="40"/>
      </w:pPr>
      <w:r>
        <w:rPr>
          <w:rFonts w:ascii="Arial" w:cs="Arial" w:eastAsia="Arial" w:hAnsi="Arial"/>
          <w:b w:val="false"/>
          <w:bCs w:val="false"/>
          <w:color w:val="1B1B1B"/>
          <w:sz w:val="22"/>
          <w:szCs w:val="22"/>
        </w:rPr>
        <w:t xml:space="preserve">Maintain engagement during quieter periods (e.g. summer) so communities stay warm ahead of September</w:t>
      </w:r>
    </w:p>
    <w:p>
      <w:pPr>
        <w:pStyle w:val="ListParagraph"/>
        <w:numPr>
          <w:ilvl w:val="0"/>
          <w:numId w:val="2"/>
        </w:numPr>
        <w:spacing w:after="40" w:before="40"/>
      </w:pPr>
      <w:r>
        <w:rPr>
          <w:rFonts w:ascii="Arial" w:cs="Arial" w:eastAsia="Arial" w:hAnsi="Arial"/>
          <w:b w:val="false"/>
          <w:bCs w:val="false"/>
          <w:color w:val="1B1B1B"/>
          <w:sz w:val="22"/>
          <w:szCs w:val="22"/>
        </w:rPr>
        <w:t xml:space="preserve">Enable two-way communication through a separate community channel where members can ask questions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Group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E4C7" w:sz="1"/>
              <w:left w:val="single" w:color="B7E4C7" w:sz="1"/>
              <w:bottom w:val="single" w:color="B7E4C7" w:sz="1"/>
              <w:right w:val="single" w:color="B7E4C7" w:sz="1"/>
            </w:tcBorders>
            <w:shd w:fill="2D6A4F" w:val="clear"/>
            <w:tcMar>
              <w:top w:type="dxa" w:w="80"/>
              <w:left w:type="dxa" w:w="180"/>
              <w:bottom w:type="dxa" w:w="80"/>
              <w:right w:type="dxa" w:w="180"/>
            </w:tcMar>
          </w:tcPr>
          <w:p>
            <w:pPr>
              <w:jc w:val="left"/>
            </w:pPr>
            <w:r>
              <w:rPr>
                <w:rFonts w:ascii="Arial" w:cs="Arial" w:eastAsia="Arial" w:hAnsi="Arial"/>
                <w:b/>
                <w:bCs/>
                <w:color w:val="FFFFFF"/>
                <w:sz w:val="22"/>
                <w:szCs w:val="22"/>
              </w:rPr>
              <w:t xml:space="preserve">Recommended WhatsApp Setup</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Admin broadcast channel: Calo posts only — offers, challenges, monthly decks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Community chat: Members can interact, ask questions, share feedback</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Membership: Presidents, social secretaries, and active micro-influencers within societies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September Campaign</w:t>
      </w:r>
    </w:p>
    <w:p>
      <w:pPr>
        <w:spacing w:after="60" w:before="60"/>
      </w:pPr>
      <w:r>
        <w:rPr>
          <w:rFonts w:ascii="Arial" w:cs="Arial" w:eastAsia="Arial" w:hAnsi="Arial"/>
          <w:color w:val="1B1B1B"/>
          <w:sz w:val="22"/>
          <w:szCs w:val="22"/>
        </w:rPr>
        <w:t xml:space="preserve">In September there will be a new influx of international students. We should plan a dedicated welcome campaign and use the WhatsApp group to communicate with current presidents, who can then introduce the new cohort of student leaders. Outgoing presidents can add incoming ones directly to the group.</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2. Monthly Challenge Programme</w:t>
      </w:r>
    </w:p>
    <w:p>
      <w:pPr>
        <w:spacing w:after="60" w:before="60"/>
      </w:pPr>
      <w:r>
        <w:rPr>
          <w:rFonts w:ascii="Arial" w:cs="Arial" w:eastAsia="Arial" w:hAnsi="Arial"/>
          <w:color w:val="1B1B1B"/>
          <w:sz w:val="22"/>
          <w:szCs w:val="22"/>
        </w:rPr>
        <w:t xml:space="preserve">Each month we will send a deck to the WhatsApp community outlining a challenge. Challenges are designed to drive brand awareness, referrals, and social content. The format rotates to keep engagement fresh.</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Challenge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1"/>
                <w:szCs w:val="21"/>
              </w:rPr>
              <w:t xml:space="preserve">Element</w:t>
            </w:r>
          </w:p>
        </w:tc>
        <w:tc>
          <w:tcPr>
            <w:tcW w:type="dxa" w:w="576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1"/>
                <w:szCs w:val="21"/>
              </w:rPr>
              <w:t xml:space="preserve">Detail</w:t>
            </w:r>
          </w:p>
        </w:tc>
      </w:tr>
      <w:tr>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B1B1B"/>
                <w:sz w:val="21"/>
                <w:szCs w:val="21"/>
              </w:rPr>
              <w:t xml:space="preserve">Cadence</w:t>
            </w:r>
          </w:p>
        </w:tc>
        <w:tc>
          <w:tcPr>
            <w:tcW w:type="dxa" w:w="5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1"/>
                <w:szCs w:val="21"/>
              </w:rPr>
              <w:t xml:space="preserve">Monthly deck sent to the WhatsApp community</w:t>
            </w:r>
          </w:p>
        </w:tc>
      </w:tr>
      <w:tr>
        <w:tc>
          <w:tcPr>
            <w:tcW w:type="dxa" w:w="3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B1B1B"/>
                <w:sz w:val="21"/>
                <w:szCs w:val="21"/>
              </w:rPr>
              <w:t xml:space="preserve">Challenge Type</w:t>
            </w:r>
          </w:p>
        </w:tc>
        <w:tc>
          <w:tcPr>
            <w:tcW w:type="dxa" w:w="57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1"/>
                <w:szCs w:val="21"/>
              </w:rPr>
              <w:t xml:space="preserve">Rotates monthly — referrals, social content, event attendance, etc.</w:t>
            </w:r>
          </w:p>
        </w:tc>
      </w:tr>
      <w:tr>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B1B1B"/>
                <w:sz w:val="21"/>
                <w:szCs w:val="21"/>
              </w:rPr>
              <w:t xml:space="preserve">Winner Selection</w:t>
            </w:r>
          </w:p>
        </w:tc>
        <w:tc>
          <w:tcPr>
            <w:tcW w:type="dxa" w:w="5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1"/>
                <w:szCs w:val="21"/>
              </w:rPr>
              <w:t xml:space="preserve">One winner per month; prize tied to challenge type</w:t>
            </w:r>
          </w:p>
        </w:tc>
      </w:tr>
      <w:tr>
        <w:tc>
          <w:tcPr>
            <w:tcW w:type="dxa" w:w="3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B1B1B"/>
                <w:sz w:val="21"/>
                <w:szCs w:val="21"/>
              </w:rPr>
              <w:t xml:space="preserve">Prize Scale</w:t>
            </w:r>
          </w:p>
        </w:tc>
        <w:tc>
          <w:tcPr>
            <w:tcW w:type="dxa" w:w="57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1"/>
                <w:szCs w:val="21"/>
              </w:rPr>
              <w:t xml:space="preserve">Smaller monthly prizes (e.g. free drink, meal credit); larger milestone prizes (e.g. Apple Watch equivalent) for breakout performance</w:t>
            </w:r>
          </w:p>
        </w:tc>
      </w:tr>
      <w:tr>
        <w:tc>
          <w:tcPr>
            <w:tcW w:type="dxa" w:w="36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B1B1B"/>
                <w:sz w:val="21"/>
                <w:szCs w:val="21"/>
              </w:rPr>
              <w:t xml:space="preserve">Competition Element</w:t>
            </w:r>
          </w:p>
        </w:tc>
        <w:tc>
          <w:tcPr>
            <w:tcW w:type="dxa" w:w="576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1"/>
                <w:szCs w:val="21"/>
              </w:rPr>
              <w:t xml:space="preserve">We post updates in the group to drive competition (e.g. “UCL is currently winning — can you catch up?”)</w:t>
            </w:r>
          </w:p>
        </w:tc>
      </w:tr>
      <w:tr>
        <w:tc>
          <w:tcPr>
            <w:tcW w:type="dxa" w:w="36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B1B1B"/>
                <w:sz w:val="21"/>
                <w:szCs w:val="21"/>
              </w:rPr>
              <w:t xml:space="preserve">Engagement Goal</w:t>
            </w:r>
          </w:p>
        </w:tc>
        <w:tc>
          <w:tcPr>
            <w:tcW w:type="dxa" w:w="576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1"/>
                <w:szCs w:val="21"/>
              </w:rPr>
              <w:t xml:space="preserve">Keep society leaders active between events and build brand familiarity</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Challenge Types (Examples)</w:t>
      </w:r>
    </w:p>
    <w:p>
      <w:pPr>
        <w:pStyle w:val="ListParagraph"/>
        <w:numPr>
          <w:ilvl w:val="0"/>
          <w:numId w:val="2"/>
        </w:numPr>
        <w:spacing w:after="40" w:before="40"/>
      </w:pPr>
      <w:r>
        <w:rPr>
          <w:rFonts w:ascii="Arial" w:cs="Arial" w:eastAsia="Arial" w:hAnsi="Arial"/>
          <w:b w:val="false"/>
          <w:bCs w:val="false"/>
          <w:color w:val="1B1B1B"/>
          <w:sz w:val="22"/>
          <w:szCs w:val="22"/>
        </w:rPr>
        <w:t xml:space="preserve">Referral challenge: Most new sign-ups from a single society or individual code wins</w:t>
      </w:r>
    </w:p>
    <w:p>
      <w:pPr>
        <w:pStyle w:val="ListParagraph"/>
        <w:numPr>
          <w:ilvl w:val="0"/>
          <w:numId w:val="2"/>
        </w:numPr>
        <w:spacing w:after="40" w:before="40"/>
      </w:pPr>
      <w:r>
        <w:rPr>
          <w:rFonts w:ascii="Arial" w:cs="Arial" w:eastAsia="Arial" w:hAnsi="Arial"/>
          <w:b w:val="false"/>
          <w:bCs w:val="false"/>
          <w:color w:val="1B1B1B"/>
          <w:sz w:val="22"/>
          <w:szCs w:val="22"/>
        </w:rPr>
        <w:t xml:space="preserve">Content challenge: Best post about a new chef special or Calo experience</w:t>
      </w:r>
    </w:p>
    <w:p>
      <w:pPr>
        <w:pStyle w:val="ListParagraph"/>
        <w:numPr>
          <w:ilvl w:val="0"/>
          <w:numId w:val="2"/>
        </w:numPr>
        <w:spacing w:after="40" w:before="40"/>
      </w:pPr>
      <w:r>
        <w:rPr>
          <w:rFonts w:ascii="Arial" w:cs="Arial" w:eastAsia="Arial" w:hAnsi="Arial"/>
          <w:b w:val="false"/>
          <w:bCs w:val="false"/>
          <w:color w:val="1B1B1B"/>
          <w:sz w:val="22"/>
          <w:szCs w:val="22"/>
        </w:rPr>
        <w:t xml:space="preserve">Event challenge: Most attendance driven to a Calo pop-up or campus event</w:t>
      </w:r>
    </w:p>
    <w:p>
      <w:pPr>
        <w:pStyle w:val="ListParagraph"/>
        <w:numPr>
          <w:ilvl w:val="0"/>
          <w:numId w:val="2"/>
        </w:numPr>
        <w:spacing w:after="40" w:before="40"/>
      </w:pPr>
      <w:r>
        <w:rPr>
          <w:rFonts w:ascii="Arial" w:cs="Arial" w:eastAsia="Arial" w:hAnsi="Arial"/>
          <w:b w:val="false"/>
          <w:bCs w:val="false"/>
          <w:color w:val="1B1B1B"/>
          <w:sz w:val="22"/>
          <w:szCs w:val="22"/>
        </w:rPr>
        <w:t xml:space="preserve">Community challenge: Society that recruits the most new societies into the programme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Prizes &amp; Incentives</w:t>
      </w:r>
    </w:p>
    <w:p>
      <w:pPr>
        <w:spacing w:after="60" w:before="60"/>
      </w:pPr>
      <w:r>
        <w:rPr>
          <w:rFonts w:ascii="Arial" w:cs="Arial" w:eastAsia="Arial" w:hAnsi="Arial"/>
          <w:color w:val="1B1B1B"/>
          <w:sz w:val="22"/>
          <w:szCs w:val="22"/>
        </w:rPr>
        <w:t xml:space="preserve">Prize tiers should scale with effort and impact:</w:t>
      </w:r>
    </w:p>
    <w:p>
      <w:pPr>
        <w:pStyle w:val="ListParagraph"/>
        <w:numPr>
          <w:ilvl w:val="0"/>
          <w:numId w:val="2"/>
        </w:numPr>
        <w:spacing w:after="40" w:before="40"/>
      </w:pPr>
      <w:r>
        <w:rPr>
          <w:rFonts w:ascii="Arial" w:cs="Arial" w:eastAsia="Arial" w:hAnsi="Arial"/>
          <w:b w:val="false"/>
          <w:bCs w:val="false"/>
          <w:color w:val="1B1B1B"/>
          <w:sz w:val="22"/>
          <w:szCs w:val="22"/>
        </w:rPr>
        <w:t xml:space="preserve">Entry-level: Free drink added to plan, meal credit, or snack at next club event</w:t>
      </w:r>
    </w:p>
    <w:p>
      <w:pPr>
        <w:pStyle w:val="ListParagraph"/>
        <w:numPr>
          <w:ilvl w:val="0"/>
          <w:numId w:val="2"/>
        </w:numPr>
        <w:spacing w:after="40" w:before="40"/>
      </w:pPr>
      <w:r>
        <w:rPr>
          <w:rFonts w:ascii="Arial" w:cs="Arial" w:eastAsia="Arial" w:hAnsi="Arial"/>
          <w:b w:val="false"/>
          <w:bCs w:val="false"/>
          <w:color w:val="1B1B1B"/>
          <w:sz w:val="22"/>
          <w:szCs w:val="22"/>
        </w:rPr>
        <w:t xml:space="preserve">Mid-tier: Month’s subscription renewal, event experience, or product bundle</w:t>
      </w:r>
    </w:p>
    <w:p>
      <w:pPr>
        <w:pStyle w:val="ListParagraph"/>
        <w:numPr>
          <w:ilvl w:val="0"/>
          <w:numId w:val="2"/>
        </w:numPr>
        <w:spacing w:after="40" w:before="40"/>
      </w:pPr>
      <w:r>
        <w:rPr>
          <w:rFonts w:ascii="Arial" w:cs="Arial" w:eastAsia="Arial" w:hAnsi="Arial"/>
          <w:b w:val="false"/>
          <w:bCs w:val="false"/>
          <w:color w:val="1B1B1B"/>
          <w:sz w:val="22"/>
          <w:szCs w:val="22"/>
        </w:rPr>
        <w:t xml:space="preserve">Top-tier: Apple Watch equivalent or similar aspirational reward for reaching milestone referrals</w:t>
      </w:r>
    </w:p>
    <w:p>
      <w:pPr>
        <w:spacing w:after="80" w:before="80"/>
      </w:pPr>
      <w:r>
        <w:t xml:space="preserve"/>
      </w:r>
    </w:p>
    <w:p>
      <w:pPr>
        <w:spacing w:after="60" w:before="60"/>
      </w:pPr>
      <w:r>
        <w:rPr>
          <w:rFonts w:ascii="Arial" w:cs="Arial" w:eastAsia="Arial" w:hAnsi="Arial"/>
          <w:color w:val="1B1B1B"/>
          <w:sz w:val="22"/>
          <w:szCs w:val="22"/>
        </w:rPr>
        <w:t xml:space="preserve">Note: When we ran a similar programme with our marketing team, an Apple Watch was awarded for 1,000 free referrals. We do not need to commit to that scale immediately — start small and increase as results justify it.</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3. Ambassador &amp; Referral Programme</w:t>
      </w:r>
    </w:p>
    <w:p>
      <w:pPr>
        <w:spacing w:after="60" w:before="60"/>
      </w:pPr>
      <w:r>
        <w:rPr>
          <w:rFonts w:ascii="Arial" w:cs="Arial" w:eastAsia="Arial" w:hAnsi="Arial"/>
          <w:color w:val="1B1B1B"/>
          <w:sz w:val="22"/>
          <w:szCs w:val="22"/>
        </w:rPr>
        <w:t xml:space="preserve">Beyond the society group, we are developing a structured approach to identifying and working with high-performing ambassadors, particularly those with social media followings. The goal is to move the most impactful individuals onto a more tailored track.</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Society Referral Credits</w:t>
      </w:r>
    </w:p>
    <w:p>
      <w:pPr>
        <w:spacing w:after="60" w:before="60"/>
      </w:pPr>
      <w:r>
        <w:rPr>
          <w:rFonts w:ascii="Arial" w:cs="Arial" w:eastAsia="Arial" w:hAnsi="Arial"/>
          <w:color w:val="1B1B1B"/>
          <w:sz w:val="22"/>
          <w:szCs w:val="22"/>
        </w:rPr>
        <w:t xml:space="preserve">We are looking to get approved a referral credit (suggested: 25 credits) for societies that refer other societies. Word-of-mouth between communities — such as the violin society referring the guitar society — is already happening organically. Formalising this will accelerate the snowball effect without requiring us to prospect each community individually.</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Micro-Influencer Track</w:t>
      </w:r>
    </w:p>
    <w:p>
      <w:pPr>
        <w:spacing w:after="60" w:before="60"/>
      </w:pPr>
      <w:r>
        <w:rPr>
          <w:rFonts w:ascii="Arial" w:cs="Arial" w:eastAsia="Arial" w:hAnsi="Arial"/>
          <w:color w:val="1B1B1B"/>
          <w:sz w:val="22"/>
          <w:szCs w:val="22"/>
        </w:rPr>
        <w:t xml:space="preserve">Within each society, there will be students with engaged social media followings (TikTok, Instagram, etc.) who are distinct from the president or committee. These individuals should be identified and moved onto a one-to-one ambassador relationship.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E4C7" w:sz="1"/>
              <w:left w:val="single" w:color="B7E4C7" w:sz="1"/>
              <w:bottom w:val="single" w:color="B7E4C7" w:sz="1"/>
              <w:right w:val="single" w:color="B7E4C7" w:sz="1"/>
            </w:tcBorders>
            <w:shd w:fill="2D6A4F" w:val="clear"/>
            <w:tcMar>
              <w:top w:type="dxa" w:w="80"/>
              <w:left w:type="dxa" w:w="180"/>
              <w:bottom w:type="dxa" w:w="80"/>
              <w:right w:type="dxa" w:w="180"/>
            </w:tcMar>
          </w:tcPr>
          <w:p>
            <w:pPr>
              <w:jc w:val="left"/>
            </w:pPr>
            <w:r>
              <w:rPr>
                <w:rFonts w:ascii="Arial" w:cs="Arial" w:eastAsia="Arial" w:hAnsi="Arial"/>
                <w:b/>
                <w:bCs/>
                <w:color w:val="FFFFFF"/>
                <w:sz w:val="22"/>
                <w:szCs w:val="22"/>
              </w:rPr>
              <w:t xml:space="preserve">How to Identify Micro-Influencers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Post in the society WhatsApp group: “Do you have anyone who posts a lot on socials and would like to work with us?”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Monitor which individuals are already posting organically and generating referrals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Look for students with 1K–5K+ followers who post food, lifestyle, or student content</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Milestone Rewards for Top Ambassadors</w:t>
      </w:r>
    </w:p>
    <w:p>
      <w:pPr>
        <w:spacing w:after="60" w:before="60"/>
      </w:pPr>
      <w:r>
        <w:rPr>
          <w:rFonts w:ascii="Arial" w:cs="Arial" w:eastAsia="Arial" w:hAnsi="Arial"/>
          <w:color w:val="1B1B1B"/>
          <w:sz w:val="22"/>
          <w:szCs w:val="22"/>
        </w:rPr>
        <w:t xml:space="preserve">For high-performing ambassadors, we can introduce milestone-based incentives. Example structure:</w:t>
      </w:r>
    </w:p>
    <w:p>
      <w:pPr>
        <w:pStyle w:val="ListParagraph"/>
        <w:numPr>
          <w:ilvl w:val="0"/>
          <w:numId w:val="2"/>
        </w:numPr>
        <w:spacing w:after="40" w:before="40"/>
      </w:pPr>
      <w:r>
        <w:rPr>
          <w:rFonts w:ascii="Arial" w:cs="Arial" w:eastAsia="Arial" w:hAnsi="Arial"/>
          <w:b w:val="false"/>
          <w:bCs w:val="false"/>
          <w:color w:val="1B1B1B"/>
          <w:sz w:val="22"/>
          <w:szCs w:val="22"/>
        </w:rPr>
        <w:t xml:space="preserve">5 referrals: Free drink or meal credit</w:t>
      </w:r>
    </w:p>
    <w:p>
      <w:pPr>
        <w:pStyle w:val="ListParagraph"/>
        <w:numPr>
          <w:ilvl w:val="0"/>
          <w:numId w:val="2"/>
        </w:numPr>
        <w:spacing w:after="40" w:before="40"/>
      </w:pPr>
      <w:r>
        <w:rPr>
          <w:rFonts w:ascii="Arial" w:cs="Arial" w:eastAsia="Arial" w:hAnsi="Arial"/>
          <w:b w:val="false"/>
          <w:bCs w:val="false"/>
          <w:color w:val="1B1B1B"/>
          <w:sz w:val="22"/>
          <w:szCs w:val="22"/>
        </w:rPr>
        <w:t xml:space="preserve">10 referrals: Subscription week renewed</w:t>
      </w:r>
    </w:p>
    <w:p>
      <w:pPr>
        <w:pStyle w:val="ListParagraph"/>
        <w:numPr>
          <w:ilvl w:val="0"/>
          <w:numId w:val="2"/>
        </w:numPr>
        <w:spacing w:after="40" w:before="40"/>
      </w:pPr>
      <w:r>
        <w:rPr>
          <w:rFonts w:ascii="Arial" w:cs="Arial" w:eastAsia="Arial" w:hAnsi="Arial"/>
          <w:b w:val="false"/>
          <w:bCs w:val="false"/>
          <w:color w:val="1B1B1B"/>
          <w:sz w:val="22"/>
          <w:szCs w:val="22"/>
        </w:rPr>
        <w:t xml:space="preserve">25+ referrals: Access to a rate card, exclusive collaboration, or larger prize</w:t>
      </w:r>
    </w:p>
    <w:p>
      <w:pPr>
        <w:spacing w:after="80" w:before="80"/>
      </w:pPr>
      <w:r>
        <w:t xml:space="preserve"/>
      </w:r>
    </w:p>
    <w:p>
      <w:pPr>
        <w:spacing w:after="60" w:before="60"/>
      </w:pPr>
      <w:r>
        <w:rPr>
          <w:rFonts w:ascii="Arial" w:cs="Arial" w:eastAsia="Arial" w:hAnsi="Arial"/>
          <w:color w:val="1B1B1B"/>
          <w:sz w:val="22"/>
          <w:szCs w:val="22"/>
        </w:rPr>
        <w:t xml:space="preserve">Case study: One student ambassador (runs a multi-university running club, 4–5K following) generated 4 referrals from a single post during the Ramadan student offer. With a milestone structure in place, this type of ambassador could consistently deliver 10–20 referrals per campaign cycle.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Content vs. Acquisition Tracking</w:t>
      </w:r>
    </w:p>
    <w:p>
      <w:pPr>
        <w:spacing w:after="60" w:before="60"/>
      </w:pPr>
      <w:r>
        <w:rPr>
          <w:rFonts w:ascii="Arial" w:cs="Arial" w:eastAsia="Arial" w:hAnsi="Arial"/>
          <w:color w:val="1B1B1B"/>
          <w:sz w:val="22"/>
          <w:szCs w:val="22"/>
        </w:rPr>
        <w:t xml:space="preserve">Based on experience from the online channel: content posts do not always convert immediately. Referrals from a post can roll over by up to a month. Encouraging consistent content output — even without a direct acquisition push — compounds over time. Students who posted once are now generating 2–3 sales per month from that content.</w:t>
      </w:r>
    </w:p>
    <w:p>
      <w:pPr>
        <w:spacing w:after="60" w:before="60"/>
      </w:pPr>
      <w:r>
        <w:rPr>
          <w:rFonts w:ascii="Arial" w:cs="Arial" w:eastAsia="Arial" w:hAnsi="Arial"/>
          <w:color w:val="1B1B1B"/>
          <w:sz w:val="22"/>
          <w:szCs w:val="22"/>
        </w:rPr>
        <w:t xml:space="preserve">Recommendation: reward content creation and let conversion follow naturally, rather than tying every incentive directly to same-week acquisitions.</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4. Onboarding Infrastructure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Typeform</w:t>
      </w:r>
    </w:p>
    <w:p>
      <w:pPr>
        <w:spacing w:after="60" w:before="60"/>
      </w:pPr>
      <w:r>
        <w:rPr>
          <w:rFonts w:ascii="Arial" w:cs="Arial" w:eastAsia="Arial" w:hAnsi="Arial"/>
          <w:color w:val="1B1B1B"/>
          <w:sz w:val="22"/>
          <w:szCs w:val="22"/>
        </w:rPr>
        <w:t xml:space="preserve">A Typeform has been created to onboard new society contacts. This allows us to bring them into the programme as regular creators without requiring a bespoke process for each new society. The form should be linked from the landing page once it is live.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Landing Page</w:t>
      </w:r>
    </w:p>
    <w:p>
      <w:pPr>
        <w:spacing w:after="60" w:before="60"/>
      </w:pPr>
      <w:r>
        <w:rPr>
          <w:rFonts w:ascii="Arial" w:cs="Arial" w:eastAsia="Arial" w:hAnsi="Arial"/>
          <w:color w:val="1B1B1B"/>
          <w:sz w:val="22"/>
          <w:szCs w:val="22"/>
        </w:rPr>
        <w:t xml:space="preserve">A dedicated landing page for the student programme is planned. This page will act as the central hub for societies to sign up, understand the offer, and access the monthly challenge deck. This should be built in alignment with the wider onboarding process.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Monthly Deck</w:t>
      </w:r>
    </w:p>
    <w:p>
      <w:pPr>
        <w:spacing w:after="60" w:before="60"/>
      </w:pPr>
      <w:r>
        <w:rPr>
          <w:rFonts w:ascii="Arial" w:cs="Arial" w:eastAsia="Arial" w:hAnsi="Arial"/>
          <w:color w:val="1B1B1B"/>
          <w:sz w:val="22"/>
          <w:szCs w:val="22"/>
        </w:rPr>
        <w:t xml:space="preserve">Each month a deck will be shared with the WhatsApp community. It should include:</w:t>
      </w:r>
    </w:p>
    <w:p>
      <w:pPr>
        <w:pStyle w:val="ListParagraph"/>
        <w:numPr>
          <w:ilvl w:val="0"/>
          <w:numId w:val="2"/>
        </w:numPr>
        <w:spacing w:after="40" w:before="40"/>
      </w:pPr>
      <w:r>
        <w:rPr>
          <w:rFonts w:ascii="Arial" w:cs="Arial" w:eastAsia="Arial" w:hAnsi="Arial"/>
          <w:b w:val="false"/>
          <w:bCs w:val="false"/>
          <w:color w:val="1B1B1B"/>
          <w:sz w:val="22"/>
          <w:szCs w:val="22"/>
        </w:rPr>
        <w:t xml:space="preserve">The monthly challenge and how to participate</w:t>
      </w:r>
    </w:p>
    <w:p>
      <w:pPr>
        <w:pStyle w:val="ListParagraph"/>
        <w:numPr>
          <w:ilvl w:val="0"/>
          <w:numId w:val="2"/>
        </w:numPr>
        <w:spacing w:after="40" w:before="40"/>
      </w:pPr>
      <w:r>
        <w:rPr>
          <w:rFonts w:ascii="Arial" w:cs="Arial" w:eastAsia="Arial" w:hAnsi="Arial"/>
          <w:b w:val="false"/>
          <w:bCs w:val="false"/>
          <w:color w:val="1B1B1B"/>
          <w:sz w:val="22"/>
          <w:szCs w:val="22"/>
        </w:rPr>
        <w:t xml:space="preserve">Current offers or promotions relevant to students</w:t>
      </w:r>
    </w:p>
    <w:p>
      <w:pPr>
        <w:pStyle w:val="ListParagraph"/>
        <w:numPr>
          <w:ilvl w:val="0"/>
          <w:numId w:val="2"/>
        </w:numPr>
        <w:spacing w:after="40" w:before="40"/>
      </w:pPr>
      <w:r>
        <w:rPr>
          <w:rFonts w:ascii="Arial" w:cs="Arial" w:eastAsia="Arial" w:hAnsi="Arial"/>
          <w:b w:val="false"/>
          <w:bCs w:val="false"/>
          <w:color w:val="1B1B1B"/>
          <w:sz w:val="22"/>
          <w:szCs w:val="22"/>
        </w:rPr>
        <w:t xml:space="preserve">Any programme updates (new societies, winners from last month, etc.)</w:t>
      </w:r>
    </w:p>
    <w:p>
      <w:pPr>
        <w:pStyle w:val="ListParagraph"/>
        <w:numPr>
          <w:ilvl w:val="0"/>
          <w:numId w:val="2"/>
        </w:numPr>
        <w:spacing w:after="40" w:before="40"/>
      </w:pPr>
      <w:r>
        <w:rPr>
          <w:rFonts w:ascii="Arial" w:cs="Arial" w:eastAsia="Arial" w:hAnsi="Arial"/>
          <w:b w:val="false"/>
          <w:bCs w:val="false"/>
          <w:color w:val="1B1B1B"/>
          <w:sz w:val="22"/>
          <w:szCs w:val="22"/>
        </w:rPr>
        <w:t xml:space="preserve">A clear call to action with discount code or referral link</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Campaign Codes</w:t>
      </w:r>
    </w:p>
    <w:p>
      <w:pPr>
        <w:spacing w:after="60" w:before="60"/>
      </w:pPr>
      <w:r>
        <w:rPr>
          <w:rFonts w:ascii="Arial" w:cs="Arial" w:eastAsia="Arial" w:hAnsi="Arial"/>
          <w:color w:val="1B1B1B"/>
          <w:sz w:val="22"/>
          <w:szCs w:val="22"/>
        </w:rPr>
        <w:t xml:space="preserve">New unique codes should be created for each campaign. This allows us to track performance by campaign and by individual, and ensures attribution is clean. This is particularly important when running multiple challenges simultaneously across different universities.</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5. Events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Calo in the Park — Summer Event</w:t>
      </w:r>
    </w:p>
    <w:p>
      <w:pPr>
        <w:spacing w:after="60" w:before="60"/>
      </w:pPr>
      <w:r>
        <w:rPr>
          <w:rFonts w:ascii="Arial" w:cs="Arial" w:eastAsia="Arial" w:hAnsi="Arial"/>
          <w:color w:val="1B1B1B"/>
          <w:sz w:val="22"/>
          <w:szCs w:val="22"/>
        </w:rPr>
        <w:t xml:space="preserve">A summer event for London-based students is planned: “Calo in the Park” at Ilbrook Common. This is a low-cost, high-impact event that leverages existing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E4C7" w:sz="1"/>
              <w:left w:val="single" w:color="B7E4C7" w:sz="1"/>
              <w:bottom w:val="single" w:color="B7E4C7" w:sz="1"/>
              <w:right w:val="single" w:color="B7E4C7" w:sz="1"/>
            </w:tcBorders>
            <w:shd w:fill="2D6A4F" w:val="clear"/>
            <w:tcMar>
              <w:top w:type="dxa" w:w="80"/>
              <w:left w:type="dxa" w:w="180"/>
              <w:bottom w:type="dxa" w:w="80"/>
              <w:right w:type="dxa" w:w="180"/>
            </w:tcMar>
          </w:tcPr>
          <w:p>
            <w:pPr>
              <w:jc w:val="left"/>
            </w:pPr>
            <w:r>
              <w:rPr>
                <w:rFonts w:ascii="Arial" w:cs="Arial" w:eastAsia="Arial" w:hAnsi="Arial"/>
                <w:b/>
                <w:bCs/>
                <w:color w:val="FFFFFF"/>
                <w:sz w:val="22"/>
                <w:szCs w:val="22"/>
              </w:rPr>
              <w:t xml:space="preserve">Event Logistics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Location: Ilbrook Common (outdoor, accessible for London students)</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Format: Relaxed picnic-style with Calo food, soft drinks, and branded setup</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Cost: Minimal — Calo food ordered through the kitchen, soft drinks purchased separately</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Equipment: Green bin bags and seating/pillows available from existing Calo stock</w:t>
            </w:r>
          </w:p>
        </w:tc>
      </w:tr>
      <w:tr>
        <w:tc>
          <w:tcPr>
            <w:tcW w:type="dxa" w:w="9360"/>
            <w:tcBorders>
              <w:top w:val="none"/>
              <w:left w:val="none"/>
              <w:bottom w:val="none"/>
              <w:right w:val="none"/>
            </w:tcBorders>
            <w:shd w:fill="D8F3DC" w:val="clear"/>
            <w:tcMar>
              <w:top w:type="dxa" w:w="60"/>
              <w:left w:type="dxa" w:w="180"/>
              <w:bottom w:type="dxa" w:w="60"/>
              <w:right w:type="dxa" w:w="180"/>
            </w:tcMar>
          </w:tcPr>
          <w:p>
            <w:pPr>
              <w:pStyle w:val="ListParagraph"/>
              <w:numPr>
                <w:ilvl w:val="0"/>
                <w:numId w:val="2"/>
              </w:numPr>
              <w:spacing w:after="30" w:before="30"/>
            </w:pPr>
            <w:r>
              <w:rPr>
                <w:rFonts w:ascii="Arial" w:cs="Arial" w:eastAsia="Arial" w:hAnsi="Arial"/>
                <w:color w:val="1B1B1B"/>
                <w:sz w:val="21"/>
                <w:szCs w:val="21"/>
              </w:rPr>
              <w:t xml:space="preserve">Invite: All London student contacts; event ambassadors to help promote</w:t>
            </w:r>
          </w:p>
        </w:tc>
      </w:tr>
    </w:tbl>
    <w:p>
      <w:pPr>
        <w:spacing w:after="80" w:before="80"/>
      </w:pPr>
      <w:r>
        <w:t xml:space="preserve"/>
      </w:r>
    </w:p>
    <w:p>
      <w:pPr>
        <w:spacing w:after="60" w:before="60"/>
      </w:pPr>
      <w:r>
        <w:rPr>
          <w:rFonts w:ascii="Arial" w:cs="Arial" w:eastAsia="Arial" w:hAnsi="Arial"/>
          <w:color w:val="1B1B1B"/>
          <w:sz w:val="22"/>
          <w:szCs w:val="22"/>
        </w:rPr>
        <w:t xml:space="preserve">Several students have already started working with us as event ambassadors. This event is a natural extension of those relationships and a strong activation for the start of the new academic year pipeline.</w:t>
      </w:r>
    </w:p>
    <w:p>
      <w:pPr>
        <w:spacing w:after="80" w:before="80"/>
      </w:pPr>
      <w:r>
        <w:t xml:space="preserve"/>
      </w:r>
    </w:p>
    <w:p>
      <w:pPr>
        <w:pBdr>
          <w:bottom w:val="single" w:color="B7E4C7"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6. Action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c>
          <w:tcPr>
            <w:tcW w:type="dxa" w:w="468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1"/>
                <w:szCs w:val="21"/>
              </w:rPr>
              <w:t xml:space="preserve">Action</w:t>
            </w:r>
          </w:p>
        </w:tc>
        <w:tc>
          <w:tcPr>
            <w:tcW w:type="dxa" w:w="288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1"/>
                <w:szCs w:val="21"/>
              </w:rPr>
              <w:t xml:space="preserve">Owner</w:t>
            </w:r>
          </w:p>
        </w:tc>
        <w:tc>
          <w:tcPr>
            <w:tcW w:type="dxa" w:w="1800"/>
            <w:tcBorders>
              <w:top w:val="single" w:color="B7E4C7" w:sz="1"/>
              <w:left w:val="single" w:color="B7E4C7" w:sz="1"/>
              <w:bottom w:val="single" w:color="B7E4C7" w:sz="1"/>
              <w:right w:val="single" w:color="B7E4C7" w:sz="1"/>
            </w:tcBorders>
            <w:shd w:fill="2D6A4F" w:val="clear"/>
            <w:tcMar>
              <w:top w:type="dxa" w:w="80"/>
              <w:left w:type="dxa" w:w="140"/>
              <w:bottom w:type="dxa" w:w="80"/>
              <w:right w:type="dxa" w:w="140"/>
            </w:tcMar>
          </w:tcPr>
          <w:p>
            <w:r>
              <w:rPr>
                <w:rFonts w:ascii="Arial" w:cs="Arial" w:eastAsia="Arial" w:hAnsi="Arial"/>
                <w:b/>
                <w:bCs/>
                <w:color w:val="FFFFFF"/>
                <w:sz w:val="21"/>
                <w:szCs w:val="21"/>
              </w:rPr>
              <w:t xml:space="preserve">Status</w:t>
            </w:r>
          </w:p>
        </w:tc>
      </w:tr>
      <w:tr>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Build and launch WhatsApp community for society leaders</w:t>
            </w:r>
          </w:p>
        </w:tc>
        <w:tc>
          <w:tcPr>
            <w:tcW w:type="dxa" w:w="28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Millie / Gabby</w:t>
            </w:r>
          </w:p>
        </w:tc>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bCs/>
                <w:color w:val="1A6E3C"/>
                <w:sz w:val="20"/>
                <w:szCs w:val="20"/>
              </w:rPr>
              <w:t xml:space="preserve">In progress</w:t>
            </w:r>
          </w:p>
        </w:tc>
      </w:tr>
      <w:tr>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Finalise and share monthly challenge deck (Month 1)</w:t>
            </w:r>
          </w:p>
        </w:tc>
        <w:tc>
          <w:tcPr>
            <w:tcW w:type="dxa" w:w="28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Millie</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A6E3C"/>
                <w:sz w:val="20"/>
                <w:szCs w:val="20"/>
              </w:rPr>
              <w:t xml:space="preserve">In progress</w:t>
            </w:r>
          </w:p>
        </w:tc>
      </w:tr>
      <w:tr>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Get referral credit structure approved (25 credits per referral)</w:t>
            </w:r>
          </w:p>
        </w:tc>
        <w:tc>
          <w:tcPr>
            <w:tcW w:type="dxa" w:w="28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TBC</w:t>
            </w:r>
          </w:p>
        </w:tc>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Create unique codes for each campaign</w:t>
            </w:r>
          </w:p>
        </w:tc>
        <w:tc>
          <w:tcPr>
            <w:tcW w:type="dxa" w:w="28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Millie / Gabby</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Post in group to identify micro-influencers in each society</w:t>
            </w:r>
          </w:p>
        </w:tc>
        <w:tc>
          <w:tcPr>
            <w:tcW w:type="dxa" w:w="28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Millie / Gabby</w:t>
            </w:r>
          </w:p>
        </w:tc>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Finalise Typeform for society onboarding</w:t>
            </w:r>
          </w:p>
        </w:tc>
        <w:tc>
          <w:tcPr>
            <w:tcW w:type="dxa" w:w="28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Millie</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bCs/>
                <w:color w:val="1A6E3C"/>
                <w:sz w:val="20"/>
                <w:szCs w:val="20"/>
              </w:rPr>
              <w:t xml:space="preserve">In progress</w:t>
            </w:r>
          </w:p>
        </w:tc>
      </w:tr>
      <w:tr>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Build student programme landing page</w:t>
            </w:r>
          </w:p>
        </w:tc>
        <w:tc>
          <w:tcPr>
            <w:tcW w:type="dxa" w:w="28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TBC</w:t>
            </w:r>
          </w:p>
        </w:tc>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Plan September welcome campaign for new international students</w:t>
            </w:r>
          </w:p>
        </w:tc>
        <w:tc>
          <w:tcPr>
            <w:tcW w:type="dxa" w:w="28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Millie / Gabby</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Confirm Calo in the Park event date and logistics</w:t>
            </w:r>
          </w:p>
        </w:tc>
        <w:tc>
          <w:tcPr>
            <w:tcW w:type="dxa" w:w="288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color w:val="1B1B1B"/>
                <w:sz w:val="20"/>
                <w:szCs w:val="20"/>
              </w:rPr>
              <w:t xml:space="preserve">Millie / Gabby</w:t>
            </w:r>
          </w:p>
        </w:tc>
        <w:tc>
          <w:tcPr>
            <w:tcW w:type="dxa" w:w="1800"/>
            <w:tcBorders>
              <w:top w:val="single" w:color="B7E4C7" w:sz="1"/>
              <w:left w:val="single" w:color="B7E4C7" w:sz="1"/>
              <w:bottom w:val="single" w:color="B7E4C7" w:sz="1"/>
              <w:right w:val="single" w:color="B7E4C7" w:sz="1"/>
            </w:tcBorders>
            <w:shd w:fill="F0FAF4"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r>
        <w:tc>
          <w:tcPr>
            <w:tcW w:type="dxa" w:w="46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Define milestone reward tiers and get budget approved</w:t>
            </w:r>
          </w:p>
        </w:tc>
        <w:tc>
          <w:tcPr>
            <w:tcW w:type="dxa" w:w="288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color w:val="1B1B1B"/>
                <w:sz w:val="20"/>
                <w:szCs w:val="20"/>
              </w:rPr>
              <w:t xml:space="preserve">TBC</w:t>
            </w:r>
          </w:p>
        </w:tc>
        <w:tc>
          <w:tcPr>
            <w:tcW w:type="dxa" w:w="1800"/>
            <w:tcBorders>
              <w:top w:val="single" w:color="B7E4C7" w:sz="1"/>
              <w:left w:val="single" w:color="B7E4C7" w:sz="1"/>
              <w:bottom w:val="single" w:color="B7E4C7" w:sz="1"/>
              <w:right w:val="single" w:color="B7E4C7"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To do</w:t>
            </w:r>
          </w:p>
        </w:tc>
      </w:tr>
    </w:tbl>
    <w:p>
      <w:pPr>
        <w:spacing w:after="80" w:before="80"/>
      </w:pPr>
      <w:r>
        <w:t xml:space="preserve"/>
      </w:r>
    </w:p>
    <w:p>
      <w:pPr>
        <w:pBdr>
          <w:bottom w:val="single" w:color="B7E4C7" w:sz="4" w:space="1"/>
        </w:pBdr>
        <w:spacing w:after="160" w:before="160"/>
      </w:pPr>
      <w:r>
        <w:t xml:space="preserve"/>
      </w:r>
    </w:p>
    <w:p>
      <w:pPr>
        <w:spacing w:after="0" w:before="240"/>
        <w:jc w:val="center"/>
      </w:pPr>
      <w:r>
        <w:rPr>
          <w:rFonts w:ascii="Arial" w:cs="Arial" w:eastAsia="Arial" w:hAnsi="Arial"/>
          <w:color w:val="AAAAAA"/>
          <w:sz w:val="18"/>
          <w:szCs w:val="18"/>
        </w:rPr>
        <w:t xml:space="preserve">Calo University Student Programme  •  Confidential Internal Document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2026-03-16T15:30:28.660Z</dcterms:created>
  <dcterms:modified xsi:type="dcterms:W3CDTF">2026-03-16T15:30:28.664Z</dcterms:modified>
</cp:coreProperties>
</file>

<file path=docProps/custom.xml><?xml version="1.0" encoding="utf-8"?>
<Properties xmlns="http://schemas.openxmlformats.org/officeDocument/2006/custom-properties" xmlns:vt="http://schemas.openxmlformats.org/officeDocument/2006/docPropsVTypes"/>
</file>