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20" w:name="introdução"/>
      <w:r>
        <w:t xml:space="preserve">1 Introdução</w:t>
      </w:r>
      <w:bookmarkEnd w:id="20"/>
    </w:p>
    <w:p>
      <w:pPr>
        <w:pStyle w:val="FirstParagraph"/>
      </w:pPr>
      <w:r>
        <w:t xml:space="preserve">Programas de capacitação profissional voltados à formação para a inovação têm incorporado</w:t>
      </w:r>
      <w:r>
        <w:t xml:space="preserve"> </w:t>
      </w:r>
      <w:r>
        <w:t xml:space="preserve">ao seu desenho o acompanhamento sistemático de competências socioemocionais, tratadas como</w:t>
      </w:r>
      <w:r>
        <w:t xml:space="preserve"> </w:t>
      </w:r>
      <w:r>
        <w:t xml:space="preserve">objeto de avaliação periódica e não como resultado tácito da convivência em projeto. O</w:t>
      </w:r>
      <w:r>
        <w:t xml:space="preserve"> </w:t>
      </w:r>
      <w:r>
        <w:t xml:space="preserve">programa Capacitação 4.0, que constitui o contexto deste trabalho, opera segundo essa</w:t>
      </w:r>
      <w:r>
        <w:t xml:space="preserve"> </w:t>
      </w:r>
      <w:r>
        <w:t xml:space="preserve">orientação e estabelece uma matriz de sete competências macro, quatro subcompetências</w:t>
      </w:r>
      <w:r>
        <w:t xml:space="preserve"> </w:t>
      </w:r>
      <w:r>
        <w:t xml:space="preserve">vinculadas à inteligência emocional e uma escala de zero a quatro pontos, aplicada ao final</w:t>
      </w:r>
      <w:r>
        <w:t xml:space="preserve"> </w:t>
      </w:r>
      <w:r>
        <w:t xml:space="preserve">de cada unidade avaliativa do percurso do discente (Embrapii, 2021).</w:t>
      </w:r>
    </w:p>
    <w:p>
      <w:pPr>
        <w:pStyle w:val="BodyText"/>
      </w:pPr>
      <w:r>
        <w:t xml:space="preserve">O acompanhamento assim desenhado produz, a cada unidade, um volume de medições que cresce</w:t>
      </w:r>
      <w:r>
        <w:t xml:space="preserve"> </w:t>
      </w:r>
      <w:r>
        <w:t xml:space="preserve">com o produto entre o número de participantes e o número de competências avaliadas, e o</w:t>
      </w:r>
      <w:r>
        <w:t xml:space="preserve"> </w:t>
      </w:r>
      <w:r>
        <w:t xml:space="preserve">trabalho de consolidação desse volume era conduzido manualmente em planilhas eletrônicas</w:t>
      </w:r>
      <w:r>
        <w:t xml:space="preserve"> </w:t>
      </w:r>
      <w:r>
        <w:t xml:space="preserve">mantidas pelos mentores do programa. O registro do ciclo anterior do projeto indica um custo</w:t>
      </w:r>
      <w:r>
        <w:t xml:space="preserve"> </w:t>
      </w:r>
      <w:r>
        <w:t xml:space="preserve">aproximado de quarenta minutos por discente para reunir as notas, produzir os gráficos de</w:t>
      </w:r>
      <w:r>
        <w:t xml:space="preserve"> </w:t>
      </w:r>
      <w:r>
        <w:t xml:space="preserve">acompanhamento e organizar o material devolvido. A carga imposta à equipe era, assim,</w:t>
      </w:r>
      <w:r>
        <w:t xml:space="preserve"> </w:t>
      </w:r>
      <w:r>
        <w:t xml:space="preserve">proporcional ao tamanho da turma e independente do valor analítico do resultado obtido.</w:t>
      </w:r>
    </w:p>
    <w:p>
      <w:pPr>
        <w:pStyle w:val="BodyText"/>
      </w:pPr>
      <w:r>
        <w:t xml:space="preserve">Esse arranjo foi o alvo do ciclo de 2024 do projeto, que automatizou a coleta e a</w:t>
      </w:r>
      <w:r>
        <w:t xml:space="preserve"> </w:t>
      </w:r>
      <w:r>
        <w:t xml:space="preserve">consolidação por meio de fluxos construídos em ferramenta de baixo código. Esses fluxos</w:t>
      </w:r>
      <w:r>
        <w:t xml:space="preserve"> </w:t>
      </w:r>
      <w:r>
        <w:t xml:space="preserve">integravam-se a uma interface de programação de aplicações responsável pelo armazenamento das</w:t>
      </w:r>
      <w:r>
        <w:t xml:space="preserve"> </w:t>
      </w:r>
      <w:r>
        <w:t xml:space="preserve">notas, e produziam automaticamente os gráficos radar e as tabelas de acompanhamento. O tempo</w:t>
      </w:r>
      <w:r>
        <w:t xml:space="preserve"> </w:t>
      </w:r>
      <w:r>
        <w:t xml:space="preserve">de processamento por discente caiu para cerca de doze segundos, e a produção dos indicadores</w:t>
      </w:r>
      <w:r>
        <w:t xml:space="preserve"> </w:t>
      </w:r>
      <w:r>
        <w:t xml:space="preserve">deixou de depender da disponibilidade do mentor. O ganho é expressivo no eixo em que foi</w:t>
      </w:r>
      <w:r>
        <w:t xml:space="preserve"> </w:t>
      </w:r>
      <w:r>
        <w:t xml:space="preserve">medido, e é justamente a delimitação desse eixo que motiva o presente trabalho.</w:t>
      </w:r>
    </w:p>
    <w:p>
      <w:pPr>
        <w:pStyle w:val="BodyText"/>
      </w:pPr>
      <w:r>
        <w:t xml:space="preserve">A automação entregue naquele ciclo encerrava-se na produção do indicador. O gráfico chegava</w:t>
      </w:r>
      <w:r>
        <w:t xml:space="preserve"> </w:t>
      </w:r>
      <w:r>
        <w:t xml:space="preserve">ao mentor, e permaneciam humanas as duas etapas que efetivamente fecham um ciclo formativo:</w:t>
      </w:r>
      <w:r>
        <w:t xml:space="preserve"> </w:t>
      </w:r>
      <w:r>
        <w:t xml:space="preserve">decidir se o percurso do discente satisfaz o critério que autoriza a certificação e devolver</w:t>
      </w:r>
      <w:r>
        <w:t xml:space="preserve"> </w:t>
      </w:r>
      <w:r>
        <w:t xml:space="preserve">a ele uma orientação capaz de alterar o desempenho antes da unidade seguinte. Ambas as</w:t>
      </w:r>
      <w:r>
        <w:t xml:space="preserve"> </w:t>
      </w:r>
      <w:r>
        <w:t xml:space="preserve">etapas eram executadas por leitura visual dos gráficos. A redução do tempo de consolidação</w:t>
      </w:r>
      <w:r>
        <w:t xml:space="preserve"> </w:t>
      </w:r>
      <w:r>
        <w:t xml:space="preserve">não se converteu, portanto, em redução do tempo até a decisão, que permanecia como gargalo</w:t>
      </w:r>
      <w:r>
        <w:t xml:space="preserve"> </w:t>
      </w:r>
      <w:r>
        <w:t xml:space="preserve">real do processo.</w:t>
      </w:r>
    </w:p>
    <w:p>
      <w:pPr>
        <w:pStyle w:val="BodyText"/>
      </w:pPr>
      <w:r>
        <w:t xml:space="preserve">Há uma segunda limitação, menos visível e de consequência mais ampla, que diz respeito ao</w:t>
      </w:r>
      <w:r>
        <w:t xml:space="preserve"> </w:t>
      </w:r>
      <w:r>
        <w:t xml:space="preserve">meio em que as medições passaram a residir. A planilha eletrônica acumulava a função de</w:t>
      </w:r>
      <w:r>
        <w:t xml:space="preserve"> </w:t>
      </w:r>
      <w:r>
        <w:t xml:space="preserve">camada de persistência sem oferecer as garantias que essa função exige. Nada impede que uma</w:t>
      </w:r>
      <w:r>
        <w:t xml:space="preserve"> </w:t>
      </w:r>
      <w:r>
        <w:t xml:space="preserve">medição anterior seja sobrescrita, a nota não fica formalmente vinculada ao discente e à</w:t>
      </w:r>
      <w:r>
        <w:t xml:space="preserve"> </w:t>
      </w:r>
      <w:r>
        <w:t xml:space="preserve">competência que a originaram, e o momento da coleta se perde quando o arquivo é reorganizado</w:t>
      </w:r>
      <w:r>
        <w:t xml:space="preserve"> </w:t>
      </w:r>
      <w:r>
        <w:t xml:space="preserve">entre unidades. A série histórica de cada participante existia, portanto, por convenção de</w:t>
      </w:r>
      <w:r>
        <w:t xml:space="preserve"> </w:t>
      </w:r>
      <w:r>
        <w:t xml:space="preserve">uso, e não por construção.</w:t>
      </w:r>
    </w:p>
    <w:p>
      <w:pPr>
        <w:pStyle w:val="BodyText"/>
      </w:pPr>
      <w:r>
        <w:t xml:space="preserve">Essa fragilidade importa porque os dois critérios que o programa formula são comparativos e</w:t>
      </w:r>
      <w:r>
        <w:t xml:space="preserve"> </w:t>
      </w:r>
      <w:r>
        <w:t xml:space="preserve">não pontuais. A certificação, tal como enunciada pela coordenação, exige evidência de</w:t>
      </w:r>
      <w:r>
        <w:t xml:space="preserve"> </w:t>
      </w:r>
      <w:r>
        <w:t xml:space="preserve">evolução em pelo menos dois terços das competências avaliadas, e a recomendação pedagógica</w:t>
      </w:r>
      <w:r>
        <w:t xml:space="preserve"> </w:t>
      </w:r>
      <w:r>
        <w:t xml:space="preserve">deve alcançar o discente cujo desempenho caiu em relação à unidade anterior, mesmo quando a</w:t>
      </w:r>
      <w:r>
        <w:t xml:space="preserve"> </w:t>
      </w:r>
      <w:r>
        <w:t xml:space="preserve">nota permanece dentro da faixa considerada adequada. Nenhum dos dois pode ser computado sobre</w:t>
      </w:r>
      <w:r>
        <w:t xml:space="preserve"> </w:t>
      </w:r>
      <w:r>
        <w:t xml:space="preserve">a medição mais recente isoladamente. Ambos perguntam como a competência variou entre unidades</w:t>
      </w:r>
      <w:r>
        <w:t xml:space="preserve"> </w:t>
      </w:r>
      <w:r>
        <w:t xml:space="preserve">sucessivas, e não em que ponto ela se encontra agora.</w:t>
      </w:r>
    </w:p>
    <w:p>
      <w:pPr>
        <w:pStyle w:val="BodyText"/>
      </w:pPr>
      <w:r>
        <w:t xml:space="preserve">Diante disso, o problema que orienta este trabalho pode ser formulado nos seguintes termos:</w:t>
      </w:r>
      <w:r>
        <w:t xml:space="preserve"> </w:t>
      </w:r>
      <w:r>
        <w:t xml:space="preserve">quais componentes uma automação de ciclo formativo precisa incorporar para que a decisão de</w:t>
      </w:r>
      <w:r>
        <w:t xml:space="preserve"> </w:t>
      </w:r>
      <w:r>
        <w:t xml:space="preserve">certificação e a devolutiva ao discente deixem de depender de leitura manual de</w:t>
      </w:r>
      <w:r>
        <w:t xml:space="preserve"> </w:t>
      </w:r>
      <w:r>
        <w:t xml:space="preserve">indicadores, e que condições de persistência de dados essas duas camadas impõem à</w:t>
      </w:r>
      <w:r>
        <w:t xml:space="preserve"> </w:t>
      </w:r>
      <w:r>
        <w:t xml:space="preserve">arquitetura que as sustenta. A pergunta é de natureza arquitetural antes de ser de natureza</w:t>
      </w:r>
      <w:r>
        <w:t xml:space="preserve"> </w:t>
      </w:r>
      <w:r>
        <w:t xml:space="preserve">pedagógica, porque a viabilidade de ambas as camadas depende de uma propriedade da base de</w:t>
      </w:r>
      <w:r>
        <w:t xml:space="preserve"> </w:t>
      </w:r>
      <w:r>
        <w:t xml:space="preserve">dados que a planilha não oferece.</w:t>
      </w:r>
    </w:p>
    <w:p>
      <w:pPr>
        <w:pStyle w:val="BodyText"/>
      </w:pPr>
      <w:r>
        <w:t xml:space="preserve">O objetivo geral consiste em descrever e avaliar a solução construída no ciclo de 2025 do</w:t>
      </w:r>
      <w:r>
        <w:t xml:space="preserve"> </w:t>
      </w:r>
      <w:r>
        <w:t xml:space="preserve">projeto, que estendeu a automação existente com uma camada de decisão e uma camada de</w:t>
      </w:r>
      <w:r>
        <w:t xml:space="preserve"> </w:t>
      </w:r>
      <w:r>
        <w:t xml:space="preserve">intervenção assentadas sobre persistência relacional com rastreabilidade histórica.</w:t>
      </w:r>
      <w:r>
        <w:t xml:space="preserve"> </w:t>
      </w:r>
      <w:r>
        <w:t xml:space="preserve">Especificamente, o trabalho descreve o modelo de dados adotado e as restrições de integridade</w:t>
      </w:r>
      <w:r>
        <w:t xml:space="preserve"> </w:t>
      </w:r>
      <w:r>
        <w:t xml:space="preserve">que preservam a série de medições. Apresenta também a operacionalização do critério de</w:t>
      </w:r>
      <w:r>
        <w:t xml:space="preserve"> </w:t>
      </w:r>
      <w:r>
        <w:t xml:space="preserve">certificação como consulta computável exposta em serviço, o fluxo de recomendação pedagógica</w:t>
      </w:r>
      <w:r>
        <w:t xml:space="preserve"> </w:t>
      </w:r>
      <w:r>
        <w:t xml:space="preserve">com envio autônomo por correio eletrônico e a caracterização da base efetivamente constituída</w:t>
      </w:r>
      <w:r>
        <w:t xml:space="preserve"> </w:t>
      </w:r>
      <w:r>
        <w:t xml:space="preserve">durante a operação.</w:t>
      </w:r>
    </w:p>
    <w:p>
      <w:pPr>
        <w:pStyle w:val="BodyText"/>
      </w:pPr>
      <w:r>
        <w:t xml:space="preserve">A contribuição sobre o ciclo anterior está no deslocamento do limite da automação. Enquanto</w:t>
      </w:r>
      <w:r>
        <w:t xml:space="preserve"> </w:t>
      </w:r>
      <w:r>
        <w:t xml:space="preserve">o trabalho de 2024 respondia à pergunta de como produzir o indicador em menos tempo, o de</w:t>
      </w:r>
      <w:r>
        <w:t xml:space="preserve"> </w:t>
      </w:r>
      <w:r>
        <w:t xml:space="preserve">2025 responde à de como produzir a decisão e a intervenção a partir dele. Esse deslocamento</w:t>
      </w:r>
      <w:r>
        <w:t xml:space="preserve"> </w:t>
      </w:r>
      <w:r>
        <w:t xml:space="preserve">exige tanto a formalização do critério em código auditável quanto a substituição da planilha</w:t>
      </w:r>
      <w:r>
        <w:t xml:space="preserve"> </w:t>
      </w:r>
      <w:r>
        <w:t xml:space="preserve">por um banco de dados relacional capaz de responder pela trajetória de cada competência.</w:t>
      </w:r>
      <w:r>
        <w:t xml:space="preserve"> </w:t>
      </w:r>
      <w:r>
        <w:t xml:space="preserve">Somam-se a isso a migração da infraestrutura de hospedagem, conduzida no mesmo período, e a</w:t>
      </w:r>
      <w:r>
        <w:t xml:space="preserve"> </w:t>
      </w:r>
      <w:r>
        <w:t xml:space="preserve">exposição da regra de certificação como serviço consumível por qualquer cliente autorizado.</w:t>
      </w:r>
    </w:p>
    <w:p>
      <w:pPr>
        <w:pStyle w:val="BodyText"/>
      </w:pPr>
      <w:r>
        <w:t xml:space="preserve">O relato apoia-se em evidência de operação real e não em ambiente construído para o</w:t>
      </w:r>
      <w:r>
        <w:t xml:space="preserve"> </w:t>
      </w:r>
      <w:r>
        <w:t xml:space="preserve">experimento, o que define tanto o seu alcance quanto os seus limites. A base analisada reúne</w:t>
      </w:r>
      <w:r>
        <w:t xml:space="preserve"> </w:t>
      </w:r>
      <w:r>
        <w:t xml:space="preserve">as autoavaliações registradas por trinta e três discentes ao longo de nove unidades</w:t>
      </w:r>
      <w:r>
        <w:t xml:space="preserve"> </w:t>
      </w:r>
      <w:r>
        <w:t xml:space="preserve">avaliativas do ciclo de 2025. Ela sustenta afirmações sobre a viabilidade das camadas</w:t>
      </w:r>
      <w:r>
        <w:t xml:space="preserve"> </w:t>
      </w:r>
      <w:r>
        <w:t xml:space="preserve">propostas em condições de uso, sem autorizar afirmação sobre escala ou sobre efeito</w:t>
      </w:r>
      <w:r>
        <w:t xml:space="preserve"> </w:t>
      </w:r>
      <w:r>
        <w:t xml:space="preserve">pedagógico da intervenção. Todos os dados utilizados são operacionais do próprio programa e</w:t>
      </w:r>
      <w:r>
        <w:t xml:space="preserve"> </w:t>
      </w:r>
      <w:r>
        <w:t xml:space="preserve">foram tratados de forma agregada, sem que qualquer registro individual seja reportado.</w:t>
      </w:r>
    </w:p>
    <w:p>
      <w:pPr>
        <w:pStyle w:val="BodyText"/>
      </w:pPr>
      <w:r>
        <w:t xml:space="preserve">O texto está organizado em cinco seções. A seção 2 reúne a literatura sobre automação de</w:t>
      </w:r>
      <w:r>
        <w:t xml:space="preserve"> </w:t>
      </w:r>
      <w:r>
        <w:t xml:space="preserve">processos em instituições de ensino, sobre plataformas de baixo código e a fronteira entre</w:t>
      </w:r>
      <w:r>
        <w:t xml:space="preserve"> </w:t>
      </w:r>
      <w:r>
        <w:t xml:space="preserve">orquestração e regra de negócio, e sobre as condições de mensuração de competências</w:t>
      </w:r>
      <w:r>
        <w:t xml:space="preserve"> </w:t>
      </w:r>
      <w:r>
        <w:t xml:space="preserve">socioemocionais, delimitando a lacuna que o trabalho ocupa. A seção 3 descreve o método,</w:t>
      </w:r>
      <w:r>
        <w:t xml:space="preserve"> </w:t>
      </w:r>
      <w:r>
        <w:t xml:space="preserve">incluindo o recorte do estudo, a arquitetura da solução, o modelo de dados e a formulação</w:t>
      </w:r>
      <w:r>
        <w:t xml:space="preserve"> </w:t>
      </w:r>
      <w:r>
        <w:t xml:space="preserve">exata das regras de certificação e de recomendação. Nela também se registra o tratamento dado</w:t>
      </w:r>
      <w:r>
        <w:t xml:space="preserve"> </w:t>
      </w:r>
      <w:r>
        <w:t xml:space="preserve">aos dados pessoais. A seção 4 apresenta a base constituída, a cobertura longitudinal que ela</w:t>
      </w:r>
      <w:r>
        <w:t xml:space="preserve"> </w:t>
      </w:r>
      <w:r>
        <w:t xml:space="preserve">oferece, o comportamento observado das duas camadas e os tempos de execução, seguidos da</w:t>
      </w:r>
      <w:r>
        <w:t xml:space="preserve"> </w:t>
      </w:r>
      <w:r>
        <w:t xml:space="preserve">discussão desses resultados à luz da literatura e das limitações do estudo. A seção 5 retoma o</w:t>
      </w:r>
      <w:r>
        <w:t xml:space="preserve"> </w:t>
      </w:r>
      <w:r>
        <w:t xml:space="preserve">objetivo, sintetiza o que a evidência sustenta e aponta os desdobramentos previstos para os</w:t>
      </w:r>
      <w:r>
        <w:t xml:space="preserve"> </w:t>
      </w:r>
      <w:r>
        <w:t xml:space="preserve">ciclos seguintes.</w:t>
      </w:r>
    </w:p>
    <w:p>
      <w:pPr>
        <w:pStyle w:val="Heading2"/>
      </w:pPr>
      <w:bookmarkStart w:id="21" w:name="referencial-teórico"/>
      <w:r>
        <w:t xml:space="preserve">2 Referencial teórico</w:t>
      </w:r>
      <w:bookmarkEnd w:id="21"/>
    </w:p>
    <w:p>
      <w:pPr>
        <w:pStyle w:val="FirstParagraph"/>
      </w:pPr>
      <w:r>
        <w:t xml:space="preserve">O objeto deste trabalho reúne três discussões que costumam ser tratadas separadamente na</w:t>
      </w:r>
      <w:r>
        <w:t xml:space="preserve"> </w:t>
      </w:r>
      <w:r>
        <w:t xml:space="preserve">literatura. A primeira trata da automação de processos administrativos e de sua aplicação</w:t>
      </w:r>
      <w:r>
        <w:t xml:space="preserve"> </w:t>
      </w:r>
      <w:r>
        <w:t xml:space="preserve">recente em instituições de ensino. A segunda trata das plataformas de baixo código, que</w:t>
      </w:r>
      <w:r>
        <w:t xml:space="preserve"> </w:t>
      </w:r>
      <w:r>
        <w:t xml:space="preserve">tornaram a construção de fluxos automatizados acessível a equipes pequenas e levantaram a</w:t>
      </w:r>
      <w:r>
        <w:t xml:space="preserve"> </w:t>
      </w:r>
      <w:r>
        <w:t xml:space="preserve">questão de onde deve residir a regra de negócio. A terceira trata da avaliação de</w:t>
      </w:r>
      <w:r>
        <w:t xml:space="preserve"> </w:t>
      </w:r>
      <w:r>
        <w:t xml:space="preserve">competências socioemocionais e das condições sob as quais uma medição pode sustentar</w:t>
      </w:r>
      <w:r>
        <w:t xml:space="preserve"> </w:t>
      </w:r>
      <w:r>
        <w:t xml:space="preserve">decisão. As quatro subseções seguintes percorrem essas discussões e delimitam a lacuna que</w:t>
      </w:r>
      <w:r>
        <w:t xml:space="preserve"> </w:t>
      </w:r>
      <w:r>
        <w:t xml:space="preserve">o ciclo de 2025 do projeto procurou preencher.</w:t>
      </w:r>
    </w:p>
    <w:p>
      <w:pPr>
        <w:pStyle w:val="Heading3"/>
      </w:pPr>
      <w:bookmarkStart w:id="22" w:name="Xa79ce898157e97e792d66d218d2f335bfb8b41d"/>
      <w:r>
        <w:t xml:space="preserve">2.1 Automação de processos e sua aplicação em instituições de ensino</w:t>
      </w:r>
      <w:bookmarkEnd w:id="22"/>
    </w:p>
    <w:p>
      <w:pPr>
        <w:pStyle w:val="FirstParagraph"/>
      </w:pPr>
      <w:r>
        <w:t xml:space="preserve">A automação é classicamente definida pela substituição da intervenção humana em tarefas</w:t>
      </w:r>
      <w:r>
        <w:t xml:space="preserve"> </w:t>
      </w:r>
      <w:r>
        <w:t xml:space="preserve">cuja execução é repetitiva e cujo critério de decisão pode ser antecipado, o que a torna</w:t>
      </w:r>
      <w:r>
        <w:t xml:space="preserve"> </w:t>
      </w:r>
      <w:r>
        <w:t xml:space="preserve">aplicável tanto a processos industriais quanto a processos administrativos (Groover, 2010).</w:t>
      </w:r>
      <w:r>
        <w:t xml:space="preserve"> </w:t>
      </w:r>
      <w:r>
        <w:t xml:space="preserve">O deslocamento do conceito para o trabalho de escritório trouxe consigo uma diferença</w:t>
      </w:r>
      <w:r>
        <w:t xml:space="preserve"> </w:t>
      </w:r>
      <w:r>
        <w:t xml:space="preserve">relevante, uma vez que o insumo deixou de ser material e passou a ser registro, e a</w:t>
      </w:r>
      <w:r>
        <w:t xml:space="preserve"> </w:t>
      </w:r>
      <w:r>
        <w:t xml:space="preserve">qualidade do resultado passou a depender da qualidade do dado disponível no momento da</w:t>
      </w:r>
      <w:r>
        <w:t xml:space="preserve"> </w:t>
      </w:r>
      <w:r>
        <w:t xml:space="preserve">execução.</w:t>
      </w:r>
    </w:p>
    <w:p>
      <w:pPr>
        <w:pStyle w:val="BodyText"/>
      </w:pPr>
      <w:r>
        <w:t xml:space="preserve">Em instituições de ensino, essa transposição foi documentada com maior intensidade a partir</w:t>
      </w:r>
      <w:r>
        <w:t xml:space="preserve"> </w:t>
      </w:r>
      <w:r>
        <w:t xml:space="preserve">da difusão das ferramentas de automação robótica de processos. A revisão conduzida por</w:t>
      </w:r>
      <w:r>
        <w:t xml:space="preserve"> </w:t>
      </w:r>
      <w:r>
        <w:t xml:space="preserve">Bhardwaj e Kumar (2025) reúne relatos de aplicação em matrícula, conferência documental,</w:t>
      </w:r>
      <w:r>
        <w:t xml:space="preserve"> </w:t>
      </w:r>
      <w:r>
        <w:t xml:space="preserve">lançamento de frequência e atendimento a solicitações de estudantes, e identifica como</w:t>
      </w:r>
      <w:r>
        <w:t xml:space="preserve"> </w:t>
      </w:r>
      <w:r>
        <w:t xml:space="preserve">ganhos recorrentes a redução do tempo de execução e a diminuição de erros de transcrição.</w:t>
      </w:r>
      <w:r>
        <w:t xml:space="preserve"> </w:t>
      </w:r>
      <w:r>
        <w:t xml:space="preserve">Os mesmos autores observam que a maior parte das implantações permanece na camada de</w:t>
      </w:r>
      <w:r>
        <w:t xml:space="preserve"> </w:t>
      </w:r>
      <w:r>
        <w:t xml:space="preserve">tarefas administrativas de apoio, sem alcançar processos que envolvem julgamento acadêmico.</w:t>
      </w:r>
    </w:p>
    <w:p>
      <w:pPr>
        <w:pStyle w:val="BodyText"/>
      </w:pPr>
      <w:r>
        <w:t xml:space="preserve">Essa concentração explica um padrão que interessa diretamente ao presente trabalho. Os</w:t>
      </w:r>
      <w:r>
        <w:t xml:space="preserve"> </w:t>
      </w:r>
      <w:r>
        <w:t xml:space="preserve">processos automatizados com maior frequência são aqueles cujo produto é um documento ou um</w:t>
      </w:r>
      <w:r>
        <w:t xml:space="preserve"> </w:t>
      </w:r>
      <w:r>
        <w:t xml:space="preserve">registro, e não aqueles cujo produto é uma decisão sobre o percurso formativo de alguém.</w:t>
      </w:r>
      <w:r>
        <w:t xml:space="preserve"> </w:t>
      </w:r>
      <w:r>
        <w:t xml:space="preserve">Por meio da automação da coleta e da consolidação de dados, uma instituição obtém</w:t>
      </w:r>
      <w:r>
        <w:t xml:space="preserve"> </w:t>
      </w:r>
      <w:r>
        <w:t xml:space="preserve">indicadores em menos tempo, sem que isso altere quem decide o que fazer com eles nem em que</w:t>
      </w:r>
      <w:r>
        <w:t xml:space="preserve"> </w:t>
      </w:r>
      <w:r>
        <w:t xml:space="preserve">base a decisão é tomada. A etapa de decisão permanece manual, apoiada na leitura de</w:t>
      </w:r>
      <w:r>
        <w:t xml:space="preserve"> </w:t>
      </w:r>
      <w:r>
        <w:t xml:space="preserve">planilhas produzidas pela própria automação.</w:t>
      </w:r>
    </w:p>
    <w:p>
      <w:pPr>
        <w:pStyle w:val="BodyText"/>
      </w:pPr>
      <w:r>
        <w:t xml:space="preserve">Há ainda um segundo aspecto pouco explorado nos relatos de implantação, referente ao meio</w:t>
      </w:r>
      <w:r>
        <w:t xml:space="preserve"> </w:t>
      </w:r>
      <w:r>
        <w:t xml:space="preserve">em que o dado produzido pela automação passa a residir. A planilha eletrônica acumula, na</w:t>
      </w:r>
      <w:r>
        <w:t xml:space="preserve"> </w:t>
      </w:r>
      <w:r>
        <w:t xml:space="preserve">prática de muitos programas, a função de camada de persistência, sem oferecer as garantias</w:t>
      </w:r>
      <w:r>
        <w:t xml:space="preserve"> </w:t>
      </w:r>
      <w:r>
        <w:t xml:space="preserve">que essa função exige. Não há tipagem obrigatória das colunas, não há restrição que impeça</w:t>
      </w:r>
      <w:r>
        <w:t xml:space="preserve"> </w:t>
      </w:r>
      <w:r>
        <w:t xml:space="preserve">a exclusão de um registro do qual outro depende e não há distinção formal entre uma medição</w:t>
      </w:r>
      <w:r>
        <w:t xml:space="preserve"> </w:t>
      </w:r>
      <w:r>
        <w:t xml:space="preserve">nova e a sobrescrita de uma antiga, propriedades que os sistemas gerenciadores de bancos de</w:t>
      </w:r>
      <w:r>
        <w:t xml:space="preserve"> </w:t>
      </w:r>
      <w:r>
        <w:t xml:space="preserve">dados relacionais oferecem por construção (Elmasri; Navathe, 2018). O efeito é que a série</w:t>
      </w:r>
      <w:r>
        <w:t xml:space="preserve"> </w:t>
      </w:r>
      <w:r>
        <w:t xml:space="preserve">histórica de um mesmo indivíduo existe apenas enquanto ninguém reorganizar a planilha.</w:t>
      </w:r>
    </w:p>
    <w:p>
      <w:pPr>
        <w:pStyle w:val="Heading3"/>
      </w:pPr>
      <w:bookmarkStart w:id="23" w:name="Xe2a1abc01141e0c43829b9ca2da57e826ce1bd1"/>
      <w:r>
        <w:t xml:space="preserve">2.2 Plataformas de baixo código e a fronteira entre orquestração e regra de negócio</w:t>
      </w:r>
      <w:bookmarkEnd w:id="23"/>
    </w:p>
    <w:p>
      <w:pPr>
        <w:pStyle w:val="FirstParagraph"/>
      </w:pPr>
      <w:r>
        <w:t xml:space="preserve">As plataformas de baixo código e de código zero deslocaram a construção de fluxos</w:t>
      </w:r>
      <w:r>
        <w:t xml:space="preserve"> </w:t>
      </w:r>
      <w:r>
        <w:t xml:space="preserve">automatizados para fora das equipes de desenvolvimento, ao substituírem a escrita de código</w:t>
      </w:r>
      <w:r>
        <w:t xml:space="preserve"> </w:t>
      </w:r>
      <w:r>
        <w:t xml:space="preserve">pela composição visual de nós de integração. A revisão sistemática de Ajimati, Carroll e</w:t>
      </w:r>
      <w:r>
        <w:t xml:space="preserve"> </w:t>
      </w:r>
      <w:r>
        <w:t xml:space="preserve">Maher (2025) identifica como motivadores de adoção a redução do tempo de entrega e a</w:t>
      </w:r>
      <w:r>
        <w:t xml:space="preserve"> </w:t>
      </w:r>
      <w:r>
        <w:t xml:space="preserve">possibilidade de que profissionais sem formação em programação construam soluções próprias,</w:t>
      </w:r>
      <w:r>
        <w:t xml:space="preserve"> </w:t>
      </w:r>
      <w:r>
        <w:t xml:space="preserve">prática que a literatura designa por desenvolvimento cidadão. A ferramenta n8n, empregada</w:t>
      </w:r>
      <w:r>
        <w:t xml:space="preserve"> </w:t>
      </w:r>
      <w:r>
        <w:t xml:space="preserve">neste trabalho, integra essa categoria e permite ainda a execução em infraestrutura própria</w:t>
      </w:r>
      <w:r>
        <w:t xml:space="preserve"> </w:t>
      </w:r>
      <w:r>
        <w:t xml:space="preserve">(N8n, 2025).</w:t>
      </w:r>
    </w:p>
    <w:p>
      <w:pPr>
        <w:pStyle w:val="BodyText"/>
      </w:pPr>
      <w:r>
        <w:t xml:space="preserve">A mesma revisão registra as limitações que acompanham a adoção. As mais citadas são a</w:t>
      </w:r>
      <w:r>
        <w:t xml:space="preserve"> </w:t>
      </w:r>
      <w:r>
        <w:t xml:space="preserve">dependência em relação ao fornecedor da plataforma, a dificuldade de versionamento e teste</w:t>
      </w:r>
      <w:r>
        <w:t xml:space="preserve"> </w:t>
      </w:r>
      <w:r>
        <w:t xml:space="preserve">dos artefatos visuais e a degradação da manutenibilidade à medida que a lógica de negócio</w:t>
      </w:r>
      <w:r>
        <w:t xml:space="preserve"> </w:t>
      </w:r>
      <w:r>
        <w:t xml:space="preserve">se acumula dentro dos fluxos (Ajimati; Carroll; Maher, 2025). O terceiro ponto é o que</w:t>
      </w:r>
      <w:r>
        <w:t xml:space="preserve"> </w:t>
      </w:r>
      <w:r>
        <w:t xml:space="preserve">condiciona a arquitetura descrita na seção 3, porque um critério de certificação escrito</w:t>
      </w:r>
      <w:r>
        <w:t xml:space="preserve"> </w:t>
      </w:r>
      <w:r>
        <w:t xml:space="preserve">como sequência de nós não pode ser lido, versionado nem auditado com o mesmo custo de um</w:t>
      </w:r>
      <w:r>
        <w:t xml:space="preserve"> </w:t>
      </w:r>
      <w:r>
        <w:t xml:space="preserve">critério escrito como código em repositório.</w:t>
      </w:r>
    </w:p>
    <w:p>
      <w:pPr>
        <w:pStyle w:val="BodyText"/>
      </w:pPr>
      <w:r>
        <w:t xml:space="preserve">A literatura de gestão de processos de negócio trata dessa fronteira há mais tempo e chegou</w:t>
      </w:r>
      <w:r>
        <w:t xml:space="preserve"> </w:t>
      </w:r>
      <w:r>
        <w:t xml:space="preserve">a uma formulação explícita. Bazhenova et al. (2019) descrevem a separação entre o modelo de</w:t>
      </w:r>
      <w:r>
        <w:t xml:space="preserve"> </w:t>
      </w:r>
      <w:r>
        <w:t xml:space="preserve">processo, que define a sequência de atividades, e o modelo de decisão, que define a lógica</w:t>
      </w:r>
      <w:r>
        <w:t xml:space="preserve"> </w:t>
      </w:r>
      <w:r>
        <w:t xml:space="preserve">aplicada em cada ponto de escolha, e sustentam que manter a segunda fora da primeira é o</w:t>
      </w:r>
      <w:r>
        <w:t xml:space="preserve"> </w:t>
      </w:r>
      <w:r>
        <w:t xml:space="preserve">que permite alterar o critério sem reconstruir o fluxo. A recomendação prática é que a</w:t>
      </w:r>
      <w:r>
        <w:t xml:space="preserve"> </w:t>
      </w:r>
      <w:r>
        <w:t xml:space="preserve">regra resida em componente próprio, acessível ao processo por meio de uma interface</w:t>
      </w:r>
      <w:r>
        <w:t xml:space="preserve"> </w:t>
      </w:r>
      <w:r>
        <w:t xml:space="preserve">estável.</w:t>
      </w:r>
    </w:p>
    <w:p>
      <w:pPr>
        <w:pStyle w:val="BodyText"/>
      </w:pPr>
      <w:r>
        <w:t xml:space="preserve">Essa separação encontra na arquitetura de serviços em rede o mecanismo de implementação</w:t>
      </w:r>
      <w:r>
        <w:t xml:space="preserve"> </w:t>
      </w:r>
      <w:r>
        <w:t xml:space="preserve">correspondente. O estilo arquitetural que orienta a construção de interfaces de programação</w:t>
      </w:r>
      <w:r>
        <w:t xml:space="preserve"> </w:t>
      </w:r>
      <w:r>
        <w:t xml:space="preserve">sobre o protocolo da web define a interação entre cliente e servidor por meio de um</w:t>
      </w:r>
      <w:r>
        <w:t xml:space="preserve"> </w:t>
      </w:r>
      <w:r>
        <w:t xml:space="preserve">contrato uniforme, no qual o cliente desconhece a implementação interna do serviço que</w:t>
      </w:r>
      <w:r>
        <w:t xml:space="preserve"> </w:t>
      </w:r>
      <w:r>
        <w:t xml:space="preserve">consome (Fielding, 2000). Aplicado ao caso da automação, o arranjo permite que a ferramenta</w:t>
      </w:r>
      <w:r>
        <w:t xml:space="preserve"> </w:t>
      </w:r>
      <w:r>
        <w:t xml:space="preserve">de orquestração invoque um cálculo sem conter o cálculo, e que a substituição de qualquer</w:t>
      </w:r>
      <w:r>
        <w:t xml:space="preserve"> </w:t>
      </w:r>
      <w:r>
        <w:t xml:space="preserve">uma das duas partes não obrigue a reescrever a outra.</w:t>
      </w:r>
    </w:p>
    <w:p>
      <w:pPr>
        <w:pStyle w:val="Heading3"/>
      </w:pPr>
      <w:bookmarkStart w:id="24" w:name="X4ea4c045a4a03ac7debfa8deba3de2723df5210"/>
      <w:r>
        <w:t xml:space="preserve">2.3 Competências socioemocionais e as condições de sua mensuração</w:t>
      </w:r>
      <w:bookmarkEnd w:id="24"/>
    </w:p>
    <w:p>
      <w:pPr>
        <w:pStyle w:val="FirstParagraph"/>
      </w:pPr>
      <w:r>
        <w:t xml:space="preserve">O interesse por competências socioemocionais em programas de formação técnica decorre de</w:t>
      </w:r>
      <w:r>
        <w:t xml:space="preserve"> </w:t>
      </w:r>
      <w:r>
        <w:t xml:space="preserve">uma constatação recorrente sobre a prática profissional. Munir (2022), ao investigar a</w:t>
      </w:r>
      <w:r>
        <w:t xml:space="preserve"> </w:t>
      </w:r>
      <w:r>
        <w:t xml:space="preserve">percepção de engenheiros em exercício, verifica que a competência técnica é considerada</w:t>
      </w:r>
      <w:r>
        <w:t xml:space="preserve"> </w:t>
      </w:r>
      <w:r>
        <w:t xml:space="preserve">insuficiente para o desempenho esperado, e que atributos como comunicação, trabalho</w:t>
      </w:r>
      <w:r>
        <w:t xml:space="preserve"> </w:t>
      </w:r>
      <w:r>
        <w:t xml:space="preserve">colaborativo e resolução de problemas em equipe são apontados como determinantes em</w:t>
      </w:r>
      <w:r>
        <w:t xml:space="preserve"> </w:t>
      </w:r>
      <w:r>
        <w:t xml:space="preserve">contextos multidisciplinares. A autora observa que os currículos de engenharia seguem</w:t>
      </w:r>
      <w:r>
        <w:t xml:space="preserve"> </w:t>
      </w:r>
      <w:r>
        <w:t xml:space="preserve">concentrados na formação técnica, o que sustenta a inclusão dessas competências no desenho</w:t>
      </w:r>
      <w:r>
        <w:t xml:space="preserve"> </w:t>
      </w:r>
      <w:r>
        <w:t xml:space="preserve">de programas de capacitação.</w:t>
      </w:r>
    </w:p>
    <w:p>
      <w:pPr>
        <w:pStyle w:val="BodyText"/>
      </w:pPr>
      <w:r>
        <w:t xml:space="preserve">O programa que constitui o contexto deste trabalho incorpora essa orientação em sua própria</w:t>
      </w:r>
      <w:r>
        <w:t xml:space="preserve"> </w:t>
      </w:r>
      <w:r>
        <w:t xml:space="preserve">estrutura de operação, ao estabelecer uma matriz de competências socioemocionais e uma</w:t>
      </w:r>
      <w:r>
        <w:t xml:space="preserve"> </w:t>
      </w:r>
      <w:r>
        <w:t xml:space="preserve">escala de avaliação aplicadas ao acompanhamento dos participantes (Embrapii, 2021). A</w:t>
      </w:r>
      <w:r>
        <w:t xml:space="preserve"> </w:t>
      </w:r>
      <w:r>
        <w:t xml:space="preserve">matriz não foi definida por esta pesquisa e é tomada como dado do contexto, de modo que a</w:t>
      </w:r>
      <w:r>
        <w:t xml:space="preserve"> </w:t>
      </w:r>
      <w:r>
        <w:t xml:space="preserve">discussão pertinente aqui não é a de quais competências avaliar, mas a de como tratar as</w:t>
      </w:r>
      <w:r>
        <w:t xml:space="preserve"> </w:t>
      </w:r>
      <w:r>
        <w:t xml:space="preserve">medições produzidas por esse instrumento.</w:t>
      </w:r>
    </w:p>
    <w:p>
      <w:pPr>
        <w:pStyle w:val="BodyText"/>
      </w:pPr>
      <w:r>
        <w:t xml:space="preserve">A mensuração de competências socioemocionais depende, na maior parte das aplicações, de</w:t>
      </w:r>
      <w:r>
        <w:t xml:space="preserve"> </w:t>
      </w:r>
      <w:r>
        <w:t xml:space="preserve">instrumentos de autoavaliação em escala ordinal, escolha justificada pelo custo de</w:t>
      </w:r>
      <w:r>
        <w:t xml:space="preserve"> </w:t>
      </w:r>
      <w:r>
        <w:t xml:space="preserve">observação direta e pela natureza dos atributos avaliados. Al-Sa’di et al. (2023), ao</w:t>
      </w:r>
      <w:r>
        <w:t xml:space="preserve"> </w:t>
      </w:r>
      <w:r>
        <w:t xml:space="preserve">construírem e validarem um instrumento dessa natureza para educadores, descrevem o</w:t>
      </w:r>
      <w:r>
        <w:t xml:space="preserve"> </w:t>
      </w:r>
      <w:r>
        <w:t xml:space="preserve">procedimento de validação em duas etapas e registram as fragilidades conhecidas do formato,</w:t>
      </w:r>
      <w:r>
        <w:t xml:space="preserve"> </w:t>
      </w:r>
      <w:r>
        <w:t xml:space="preserve">entre as quais a desejabilidade social e a variação individual na interpretação dos pontos</w:t>
      </w:r>
      <w:r>
        <w:t xml:space="preserve"> </w:t>
      </w:r>
      <w:r>
        <w:t xml:space="preserve">da escala. A implicação prática é que uma medição isolada carrega incerteza suficiente para</w:t>
      </w:r>
      <w:r>
        <w:t xml:space="preserve"> </w:t>
      </w:r>
      <w:r>
        <w:t xml:space="preserve">desaconselhar seu uso como base de decisão.</w:t>
      </w:r>
    </w:p>
    <w:p>
      <w:pPr>
        <w:pStyle w:val="BodyText"/>
      </w:pPr>
      <w:r>
        <w:t xml:space="preserve">Diante disso, a comparação entre medições sucessivas do mesmo indivíduo torna-se mais</w:t>
      </w:r>
      <w:r>
        <w:t xml:space="preserve"> </w:t>
      </w:r>
      <w:r>
        <w:t xml:space="preserve">informativa do que o valor absoluto de qualquer uma delas, porque parte do viés individual</w:t>
      </w:r>
      <w:r>
        <w:t xml:space="preserve"> </w:t>
      </w:r>
      <w:r>
        <w:t xml:space="preserve">tende a se manter constante entre as aplicações. A condição para essa comparação é de</w:t>
      </w:r>
      <w:r>
        <w:t xml:space="preserve"> </w:t>
      </w:r>
      <w:r>
        <w:t xml:space="preserve">natureza técnica e não metodológica, uma vez que exige que as medições anteriores</w:t>
      </w:r>
      <w:r>
        <w:t xml:space="preserve"> </w:t>
      </w:r>
      <w:r>
        <w:t xml:space="preserve">permaneçam recuperáveis, associadas ao mesmo discente e à mesma competência, com o momento</w:t>
      </w:r>
      <w:r>
        <w:t xml:space="preserve"> </w:t>
      </w:r>
      <w:r>
        <w:t xml:space="preserve">de coleta preservado. Bancos de dados relacionais atendem a esse requisito por meio das</w:t>
      </w:r>
      <w:r>
        <w:t xml:space="preserve"> </w:t>
      </w:r>
      <w:r>
        <w:t xml:space="preserve">restrições de integridade referencial, que impedem que a remoção de um registro relacionado</w:t>
      </w:r>
      <w:r>
        <w:t xml:space="preserve"> </w:t>
      </w:r>
      <w:r>
        <w:t xml:space="preserve">elimine silenciosamente as medições associadas (Silberschatz; Korth; Sudarshan, 2020).</w:t>
      </w:r>
    </w:p>
    <w:p>
      <w:pPr>
        <w:pStyle w:val="Heading3"/>
      </w:pPr>
      <w:bookmarkStart w:id="25" w:name="X6a2ee9b9dc9881776778de04fe2bdea5724f6f6"/>
      <w:r>
        <w:t xml:space="preserve">2.4 Da geração de indicadores à devolutiva acionável</w:t>
      </w:r>
      <w:bookmarkEnd w:id="25"/>
    </w:p>
    <w:p>
      <w:pPr>
        <w:pStyle w:val="FirstParagraph"/>
      </w:pPr>
      <w:r>
        <w:t xml:space="preserve">A transformação de dados educacionais em orientação para o estudante é o objeto do campo de</w:t>
      </w:r>
      <w:r>
        <w:t xml:space="preserve"> </w:t>
      </w:r>
      <w:r>
        <w:t xml:space="preserve">análise da aprendizagem, no qual os painéis de acompanhamento constituem o artefato mais</w:t>
      </w:r>
      <w:r>
        <w:t xml:space="preserve"> </w:t>
      </w:r>
      <w:r>
        <w:t xml:space="preserve">difundido. Uma revisão de painéis recentes verifica que a quase</w:t>
      </w:r>
      <w:r>
        <w:t xml:space="preserve"> </w:t>
      </w:r>
      <w:r>
        <w:t xml:space="preserve">totalidade deles opera em nível descritivo, apresentando ao estudante a sua posição atual</w:t>
      </w:r>
      <w:r>
        <w:t xml:space="preserve"> </w:t>
      </w:r>
      <w:r>
        <w:t xml:space="preserve">sem indicar que providência tomar, lacuna que os autores caracterizam como ausência de</w:t>
      </w:r>
      <w:r>
        <w:t xml:space="preserve"> </w:t>
      </w:r>
      <w:r>
        <w:t xml:space="preserve">análise prescritiva (Susnjak; Ramaswami; Mathrani, 2022). A apresentação de indicadores,</w:t>
      </w:r>
      <w:r>
        <w:t xml:space="preserve"> </w:t>
      </w:r>
      <w:r>
        <w:t xml:space="preserve">isoladamente, não produz a mudança de comportamento que justificaria a sua produção.</w:t>
      </w:r>
    </w:p>
    <w:p>
      <w:pPr>
        <w:pStyle w:val="BodyText"/>
      </w:pPr>
      <w:r>
        <w:t xml:space="preserve">A superação dessa lacuna tem sido buscada por meio da vinculação entre a orientação</w:t>
      </w:r>
      <w:r>
        <w:t xml:space="preserve"> </w:t>
      </w:r>
      <w:r>
        <w:t xml:space="preserve">entregue e as causas identificadas no desempenho. Afzaal et al. (2021) combinam predição de</w:t>
      </w:r>
      <w:r>
        <w:t xml:space="preserve"> </w:t>
      </w:r>
      <w:r>
        <w:t xml:space="preserve">desempenho com técnicas de explicabilidade para gerar recomendações que indicam quais</w:t>
      </w:r>
      <w:r>
        <w:t xml:space="preserve"> </w:t>
      </w:r>
      <w:r>
        <w:t xml:space="preserve">fatores respondem pelo resultado projetado e que ação corretiva corresponde a cada um,</w:t>
      </w:r>
      <w:r>
        <w:t xml:space="preserve"> </w:t>
      </w:r>
      <w:r>
        <w:t xml:space="preserve">argumentando que a informação sobre o resultado provável, desacompanhada da explicação, não</w:t>
      </w:r>
      <w:r>
        <w:t xml:space="preserve"> </w:t>
      </w:r>
      <w:r>
        <w:t xml:space="preserve">sustenta a autorregulação do estudante. O trabalho evidencia que a devolutiva útil depende</w:t>
      </w:r>
      <w:r>
        <w:t xml:space="preserve"> </w:t>
      </w:r>
      <w:r>
        <w:t xml:space="preserve">de dados históricos suficientes para que a causa seja identificável.</w:t>
      </w:r>
    </w:p>
    <w:p>
      <w:pPr>
        <w:pStyle w:val="BodyText"/>
      </w:pPr>
      <w:r>
        <w:t xml:space="preserve">A mesma dependência aparece do lado da decisão institucional. Um critério de certificação</w:t>
      </w:r>
      <w:r>
        <w:t xml:space="preserve"> </w:t>
      </w:r>
      <w:r>
        <w:t xml:space="preserve">que compare o desempenho de um discente com o seu próprio desempenho anterior só pode ser</w:t>
      </w:r>
      <w:r>
        <w:t xml:space="preserve"> </w:t>
      </w:r>
      <w:r>
        <w:t xml:space="preserve">executado sobre uma base que preserve as medições de todas as unidades avaliativas, com a</w:t>
      </w:r>
      <w:r>
        <w:t xml:space="preserve"> </w:t>
      </w:r>
      <w:r>
        <w:t xml:space="preserve">associação entre discente e competência mantida ao longo do tempo. A alternativa usual, que</w:t>
      </w:r>
      <w:r>
        <w:t xml:space="preserve"> </w:t>
      </w:r>
      <w:r>
        <w:t xml:space="preserve">consiste em aplicar o critério sobre a medição mais recente, mede posição e não trajetória,</w:t>
      </w:r>
      <w:r>
        <w:t xml:space="preserve"> </w:t>
      </w:r>
      <w:r>
        <w:t xml:space="preserve">e responde a uma pergunta diferente daquela que o programa formula.</w:t>
      </w:r>
    </w:p>
    <w:p>
      <w:pPr>
        <w:pStyle w:val="BodyText"/>
      </w:pPr>
      <w:r>
        <w:t xml:space="preserve">As duas linhas convergem em um ponto que delimita a contribuição deste artigo. Tanto a</w:t>
      </w:r>
      <w:r>
        <w:t xml:space="preserve"> </w:t>
      </w:r>
      <w:r>
        <w:t xml:space="preserve">decisão sobre o cumprimento de um critério quanto a devolutiva dirigida a quem não o</w:t>
      </w:r>
      <w:r>
        <w:t xml:space="preserve"> </w:t>
      </w:r>
      <w:r>
        <w:t xml:space="preserve">cumpriu pressupõem acesso à série de medições de cada participante, e não ao seu valor mais</w:t>
      </w:r>
      <w:r>
        <w:t xml:space="preserve"> </w:t>
      </w:r>
      <w:r>
        <w:t xml:space="preserve">recente. Automatizar a produção de indicadores resolve o problema do tempo de consolidação</w:t>
      </w:r>
      <w:r>
        <w:t xml:space="preserve"> </w:t>
      </w:r>
      <w:r>
        <w:t xml:space="preserve">sem resolver o da decisão, que permanece dependente da existência de uma base capaz de</w:t>
      </w:r>
      <w:r>
        <w:t xml:space="preserve"> </w:t>
      </w:r>
      <w:r>
        <w:t xml:space="preserve">responder como cada competência variou entre unidades avaliativas sucessivas.</w:t>
      </w:r>
    </w:p>
    <w:p>
      <w:pPr>
        <w:pStyle w:val="Heading2"/>
      </w:pPr>
      <w:bookmarkStart w:id="26" w:name="método-da-pesquisa"/>
      <w:r>
        <w:t xml:space="preserve">3 Método da pesquisa</w:t>
      </w:r>
      <w:bookmarkEnd w:id="26"/>
    </w:p>
    <w:p>
      <w:pPr>
        <w:pStyle w:val="FirstParagraph"/>
      </w:pPr>
      <w:r>
        <w:t xml:space="preserve">Este trabalho caracteriza-se como pesquisa aplicada de natureza descritiva, conduzida</w:t>
      </w:r>
      <w:r>
        <w:t xml:space="preserve"> </w:t>
      </w:r>
      <w:r>
        <w:t xml:space="preserve">sobre a operação real de um programa de capacitação profissional, e não sobre um ambiente</w:t>
      </w:r>
      <w:r>
        <w:t xml:space="preserve"> </w:t>
      </w:r>
      <w:r>
        <w:t xml:space="preserve">construído para o experimento. O objeto de estudo é o próprio sistema em funcionamento no</w:t>
      </w:r>
      <w:r>
        <w:t xml:space="preserve"> </w:t>
      </w:r>
      <w:r>
        <w:t xml:space="preserve">ciclo de 2025 do programa Capacitação 4.0, cujos componentes foram construídos e operados</w:t>
      </w:r>
      <w:r>
        <w:t xml:space="preserve"> </w:t>
      </w:r>
      <w:r>
        <w:t xml:space="preserve">pela equipe de pesquisa ao longo de dois editais consecutivos de fluxo contínuo. A</w:t>
      </w:r>
      <w:r>
        <w:t xml:space="preserve"> </w:t>
      </w:r>
      <w:r>
        <w:t xml:space="preserve">descrição que segue privilegia o nível de detalhe necessário para que um terceiro reproduza</w:t>
      </w:r>
      <w:r>
        <w:t xml:space="preserve"> </w:t>
      </w:r>
      <w:r>
        <w:t xml:space="preserve">a solução em contexto equivalente, sem transcrever rotinas de implementação.</w:t>
      </w:r>
    </w:p>
    <w:p>
      <w:pPr>
        <w:pStyle w:val="BodyText"/>
      </w:pPr>
      <w:r>
        <w:t xml:space="preserve">A evidência empregada provém de acervos distintos e verificáveis. O primeiro é o</w:t>
      </w:r>
      <w:r>
        <w:t xml:space="preserve"> </w:t>
      </w:r>
      <w:r>
        <w:t xml:space="preserve">código-fonte da interface de programação de aplicações, mantido em repositório versionado.</w:t>
      </w:r>
      <w:r>
        <w:t xml:space="preserve"> </w:t>
      </w:r>
      <w:r>
        <w:t xml:space="preserve">O segundo reúne as exportações em formato JSON dos fluxos construídos na ferramenta de</w:t>
      </w:r>
      <w:r>
        <w:t xml:space="preserve"> </w:t>
      </w:r>
      <w:r>
        <w:t xml:space="preserve">automação. O terceiro é uma consulta agregada ao banco de dados de produção, realizada em</w:t>
      </w:r>
      <w:r>
        <w:t xml:space="preserve"> </w:t>
      </w:r>
      <w:r>
        <w:t xml:space="preserve">27 de julho de 2026. Sempre que um valor numérico é apresentado, indica-se de qual acervo</w:t>
      </w:r>
      <w:r>
        <w:t xml:space="preserve"> </w:t>
      </w:r>
      <w:r>
        <w:t xml:space="preserve">foi extraído e em que data, uma vez que a base permanece em uso e um número sem data não é</w:t>
      </w:r>
      <w:r>
        <w:t xml:space="preserve"> </w:t>
      </w:r>
      <w:r>
        <w:t xml:space="preserve">reproduzível por terceiros.</w:t>
      </w:r>
    </w:p>
    <w:p>
      <w:pPr>
        <w:pStyle w:val="Heading3"/>
      </w:pPr>
      <w:bookmarkStart w:id="27" w:name="contexto-e-recorte-do-estudo"/>
      <w:r>
        <w:t xml:space="preserve">3.1 Contexto e recorte do estudo</w:t>
      </w:r>
      <w:bookmarkEnd w:id="27"/>
    </w:p>
    <w:p>
      <w:pPr>
        <w:pStyle w:val="FirstParagraph"/>
      </w:pPr>
      <w:r>
        <w:t xml:space="preserve">O programa Capacitação 4.0 vincula discentes a projetos de inovação conduzidos em parceria</w:t>
      </w:r>
      <w:r>
        <w:t xml:space="preserve"> </w:t>
      </w:r>
      <w:r>
        <w:t xml:space="preserve">entre um instituto federal e uma agência de fomento à pesquisa industrial, sob a</w:t>
      </w:r>
      <w:r>
        <w:t xml:space="preserve"> </w:t>
      </w:r>
      <w:r>
        <w:t xml:space="preserve">metodologia de aprendizagem baseada em problemas, com acompanhamento de mentores. O</w:t>
      </w:r>
      <w:r>
        <w:t xml:space="preserve"> </w:t>
      </w:r>
      <w:r>
        <w:t xml:space="preserve">programa distingue projetos reais, executados para demanda de empresa parceira, de</w:t>
      </w:r>
      <w:r>
        <w:t xml:space="preserve"> </w:t>
      </w:r>
      <w:r>
        <w:t xml:space="preserve">projetos espelho, que reproduzem a dinâmica do projeto real com finalidade formativa. O</w:t>
      </w:r>
      <w:r>
        <w:t xml:space="preserve"> </w:t>
      </w:r>
      <w:r>
        <w:t xml:space="preserve">acompanhamento do desenvolvimento socioemocional dos participantes integra a governança do</w:t>
      </w:r>
      <w:r>
        <w:t xml:space="preserve"> </w:t>
      </w:r>
      <w:r>
        <w:t xml:space="preserve">programa e é o processo sobre o qual a automação descrita neste trabalho atua.</w:t>
      </w:r>
    </w:p>
    <w:p>
      <w:pPr>
        <w:pStyle w:val="BodyText"/>
      </w:pPr>
      <w:r>
        <w:t xml:space="preserve">A matriz de competências e a escala de avaliação não foram definidas por esta pesquisa:</w:t>
      </w:r>
      <w:r>
        <w:t xml:space="preserve"> </w:t>
      </w:r>
      <w:r>
        <w:t xml:space="preserve">elas seguem o manual de operação do programa (Embrapii, 2021), que estabelece sete</w:t>
      </w:r>
      <w:r>
        <w:t xml:space="preserve"> </w:t>
      </w:r>
      <w:r>
        <w:t xml:space="preserve">competências socioemocionais macro e quatro subcompetências vinculadas à inteligência</w:t>
      </w:r>
      <w:r>
        <w:t xml:space="preserve"> </w:t>
      </w:r>
      <w:r>
        <w:t xml:space="preserve">emocional. No processamento, a competência inteligência emocional é substituída por suas</w:t>
      </w:r>
      <w:r>
        <w:t xml:space="preserve"> </w:t>
      </w:r>
      <w:r>
        <w:t xml:space="preserve">quatro subcompetências, o que produz o conjunto de dez itens comparáveis apresentado na</w:t>
      </w:r>
      <w:r>
        <w:t xml:space="preserve"> </w:t>
      </w:r>
      <w:r>
        <w:t xml:space="preserve">Tabela 1. Esse achatamento é o que torna as medições homogêneas entre si e viabiliza</w:t>
      </w:r>
      <w:r>
        <w:t xml:space="preserve"> </w:t>
      </w:r>
      <w:r>
        <w:t xml:space="preserve">tanto a comparação longitudinal quanto as regras descritas nas subseções 3.4 e 3.5.</w:t>
      </w:r>
    </w:p>
    <w:p>
      <w:pPr>
        <w:pStyle w:val="BlockText"/>
      </w:pPr>
      <w:r>
        <w:t xml:space="preserve">⚠️ IMAGEM AUSENTE:</w:t>
      </w:r>
      <w:r>
        <w:t xml:space="preserve"> </w:t>
      </w:r>
      <w:r>
        <w:rPr>
          <w:rStyle w:val="VerbatimChar"/>
        </w:rPr>
        <w:t xml:space="preserve">figuras/tab-03-1.md</w:t>
      </w:r>
      <w:r>
        <w:t xml:space="preserve"> </w:t>
      </w:r>
      <w:r>
        <w:t xml:space="preserve">— Quadro editável com as dez competências avaliadas, indicando quais são macro e quais são subcompetências de inteligência emocional. Corpo em TNR 10.</w:t>
      </w:r>
    </w:p>
    <w:p>
      <w:pPr>
        <w:pStyle w:val="FirstParagraph"/>
      </w:pPr>
      <w:r>
        <w:rPr>
          <w:b/>
        </w:rPr>
        <w:t xml:space="preserve">Tabela 1 — Competências socioemocionais avaliadas no ciclo de 2025, após o desdobramento da inteligência emocional em subcompetências. Fonte: elaborado pelos autores.</w:t>
      </w:r>
    </w:p>
    <w:p>
      <w:pPr>
        <w:pStyle w:val="BodyText"/>
      </w:pPr>
      <w:r>
        <w:t xml:space="preserve">Cada discente registra, ao final de cada unidade avaliativa, uma autoavaliação com uma nota</w:t>
      </w:r>
      <w:r>
        <w:t xml:space="preserve"> </w:t>
      </w:r>
      <w:r>
        <w:t xml:space="preserve">de 0 a 4 para cada competência. A nota é convertida em quatro níveis qualitativos: abaixo</w:t>
      </w:r>
      <w:r>
        <w:t xml:space="preserve"> </w:t>
      </w:r>
      <w:r>
        <w:t xml:space="preserve">do básico, de 0 a 1; básico, de 1 a 2; adequado, de 2 a 3; e avançado, de 3 a 4. A unidade</w:t>
      </w:r>
      <w:r>
        <w:t xml:space="preserve"> </w:t>
      </w:r>
      <w:r>
        <w:t xml:space="preserve">é o ciclo avaliativo do programa e funciona como o eixo temporal de todas as comparações</w:t>
      </w:r>
      <w:r>
        <w:t xml:space="preserve"> </w:t>
      </w:r>
      <w:r>
        <w:t xml:space="preserve">feitas pelo sistema. O recorte analisado corresponde às autoavaliações registradas entre 23</w:t>
      </w:r>
      <w:r>
        <w:t xml:space="preserve"> </w:t>
      </w:r>
      <w:r>
        <w:t xml:space="preserve">de janeiro e 6 de setembro de 2025, distribuídas em nove unidades, conforme detalhado na</w:t>
      </w:r>
      <w:r>
        <w:t xml:space="preserve"> </w:t>
      </w:r>
      <w:r>
        <w:t xml:space="preserve">seção 4.</w:t>
      </w:r>
    </w:p>
    <w:p>
      <w:pPr>
        <w:pStyle w:val="Heading3"/>
      </w:pPr>
      <w:bookmarkStart w:id="28" w:name="arquitetura-da-solução"/>
      <w:r>
        <w:t xml:space="preserve">3.2 Arquitetura da solução</w:t>
      </w:r>
      <w:bookmarkEnd w:id="28"/>
    </w:p>
    <w:p>
      <w:pPr>
        <w:pStyle w:val="FirstParagraph"/>
      </w:pPr>
      <w:r>
        <w:t xml:space="preserve">A solução distribui-se entre duas camadas. A orquestração foi construída na ferramenta de</w:t>
      </w:r>
      <w:r>
        <w:t xml:space="preserve"> </w:t>
      </w:r>
      <w:r>
        <w:t xml:space="preserve">automação de fluxos de trabalho n8n (N8n, 2025). A persistência e o processamento foram</w:t>
      </w:r>
      <w:r>
        <w:t xml:space="preserve"> </w:t>
      </w:r>
      <w:r>
        <w:t xml:space="preserve">implementados como interface de programação de aplicações em Django 4.2 com Django REST</w:t>
      </w:r>
      <w:r>
        <w:t xml:space="preserve"> </w:t>
      </w:r>
      <w:r>
        <w:t xml:space="preserve">Framework 3.15, sobre banco de dados PostgreSQL. A escolha por concentrar as regras de</w:t>
      </w:r>
      <w:r>
        <w:t xml:space="preserve"> </w:t>
      </w:r>
      <w:r>
        <w:t xml:space="preserve">negócio na interface, e não nos fluxos, responde a uma limitação identificada no ciclo</w:t>
      </w:r>
      <w:r>
        <w:t xml:space="preserve"> </w:t>
      </w:r>
      <w:r>
        <w:t xml:space="preserve">anterior do projeto. O cálculo dos indicadores vivia então disperso entre planilhas e nós</w:t>
      </w:r>
      <w:r>
        <w:t xml:space="preserve"> </w:t>
      </w:r>
      <w:r>
        <w:t xml:space="preserve">de automação, o que impedia auditar por que um determinado valor havia sido produzido. A</w:t>
      </w:r>
      <w:r>
        <w:t xml:space="preserve"> </w:t>
      </w:r>
      <w:r>
        <w:t xml:space="preserve">Figura 1 apresenta a disposição dos componentes.</w:t>
      </w:r>
    </w:p>
    <w:p>
      <w:pPr>
        <w:pStyle w:val="BlockText"/>
      </w:pPr>
      <w:r>
        <w:t xml:space="preserve">⚠️ IMAGEM AUSENTE:</w:t>
      </w:r>
      <w:r>
        <w:t xml:space="preserve"> </w:t>
      </w:r>
      <w:r>
        <w:rPr>
          <w:rStyle w:val="VerbatimChar"/>
        </w:rPr>
        <w:t xml:space="preserve">figuras/fig-03-1.png</w:t>
      </w:r>
      <w:r>
        <w:t xml:space="preserve"> </w:t>
      </w:r>
      <w:r>
        <w:t xml:space="preserve">— Diagrama esquemático em três faixas. Entrada, formulário e planilha de respostas. Orquestração, os quatro fluxos do n8n auto-hospedado. Núcleo, a API Django sobre PostgreSQL gerenciado. Saída, planilhas, gráficos, certificados em PDF no Drive e mensagens de correio eletrônico. Sem captura de tela e sem hostname. Texto interno em TNR 18 ou maior.</w:t>
      </w:r>
    </w:p>
    <w:p>
      <w:pPr>
        <w:pStyle w:val="FirstParagraph"/>
      </w:pPr>
      <w:r>
        <w:rPr>
          <w:b/>
        </w:rPr>
        <w:t xml:space="preserve">Figura 1 — Arquitetura da solução no ciclo de 2025, com a orquestração em n8n e a interface de programação de aplicações como núcleo de persistência e de decisão. Fonte: elaborado pelos autores.</w:t>
      </w:r>
    </w:p>
    <w:p>
      <w:pPr>
        <w:pStyle w:val="BodyText"/>
      </w:pPr>
      <w:r>
        <w:t xml:space="preserve">Quatro fluxos compõem a orquestração, na nomenclatura adotada pela própria equipe. O</w:t>
      </w:r>
      <w:r>
        <w:t xml:space="preserve"> </w:t>
      </w:r>
      <w:r>
        <w:t xml:space="preserve">primeiro lê as respostas do formulário de autoavaliação, submete as notas à interface e</w:t>
      </w:r>
      <w:r>
        <w:t xml:space="preserve"> </w:t>
      </w:r>
      <w:r>
        <w:t xml:space="preserve">devolve os resultados a uma planilha. O segundo gera os gráficos de perfil e os armazena em</w:t>
      </w:r>
      <w:r>
        <w:t xml:space="preserve"> </w:t>
      </w:r>
      <w:r>
        <w:t xml:space="preserve">serviço de arquivos em nuvem. O terceiro identifica discentes com desempenho insatisfatório</w:t>
      </w:r>
      <w:r>
        <w:t xml:space="preserve"> </w:t>
      </w:r>
      <w:r>
        <w:t xml:space="preserve">e envia recomendações pedagógicas por correio eletrônico. O quarto emite os certificados de</w:t>
      </w:r>
      <w:r>
        <w:t xml:space="preserve"> </w:t>
      </w:r>
      <w:r>
        <w:t xml:space="preserve">participação. Os dois últimos constituem a contribuição do ciclo de 2025 e são detalhados</w:t>
      </w:r>
      <w:r>
        <w:t xml:space="preserve"> </w:t>
      </w:r>
      <w:r>
        <w:t xml:space="preserve">nas subseções 3.4 e 3.5.</w:t>
      </w:r>
    </w:p>
    <w:p>
      <w:pPr>
        <w:pStyle w:val="BodyText"/>
      </w:pPr>
      <w:r>
        <w:t xml:space="preserve">A ferramenta de automação foi executada em contêiner Docker auto-hospedado, a partir da</w:t>
      </w:r>
      <w:r>
        <w:t xml:space="preserve"> </w:t>
      </w:r>
      <w:r>
        <w:t xml:space="preserve">imagem oficial do projeto, o que padronizou o ambiente entre as máquinas da equipe e</w:t>
      </w:r>
      <w:r>
        <w:t xml:space="preserve"> </w:t>
      </w:r>
      <w:r>
        <w:t xml:space="preserve">dispensou configuração manual a cada nova integração ao time (Merkel, 2014). O disparo dos</w:t>
      </w:r>
      <w:r>
        <w:t xml:space="preserve"> </w:t>
      </w:r>
      <w:r>
        <w:t xml:space="preserve">fluxos é manual em três deles; apenas o fluxo de recomendações dispõe também de um gatilho</w:t>
      </w:r>
      <w:r>
        <w:t xml:space="preserve"> </w:t>
      </w:r>
      <w:r>
        <w:t xml:space="preserve">por requisição web. Nenhum dos fluxos exportados possui agendamento periódico, o que</w:t>
      </w:r>
      <w:r>
        <w:t xml:space="preserve"> </w:t>
      </w:r>
      <w:r>
        <w:t xml:space="preserve">significa que a execução é sob demanda e que a periodicidade do ciclo formativo permanece</w:t>
      </w:r>
      <w:r>
        <w:t xml:space="preserve"> </w:t>
      </w:r>
      <w:r>
        <w:t xml:space="preserve">sob controle humano — limitação retomada na seção 5.</w:t>
      </w:r>
    </w:p>
    <w:p>
      <w:pPr>
        <w:pStyle w:val="BodyText"/>
      </w:pPr>
      <w:r>
        <w:t xml:space="preserve">Ao longo de 2025, a infraestrutura de persistência migrou de uma plataforma de hospedagem</w:t>
      </w:r>
      <w:r>
        <w:t xml:space="preserve"> </w:t>
      </w:r>
      <w:r>
        <w:t xml:space="preserve">gerenciada, utilizada ao final de 2024, para um banco PostgreSQL gerenciado em nuvem</w:t>
      </w:r>
      <w:r>
        <w:t xml:space="preserve"> </w:t>
      </w:r>
      <w:r>
        <w:t xml:space="preserve">associado a implantação da interface em plataforma sem servidor, ambos em região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. A migração não alterou o modelo de dados nem as regras de negócio. O que ela</w:t>
      </w:r>
      <w:r>
        <w:t xml:space="preserve"> </w:t>
      </w:r>
      <w:r>
        <w:t xml:space="preserve">substituiu foi o ambiente de execução, que deixou de ser contínuo e passou a operar sob</w:t>
      </w:r>
      <w:r>
        <w:t xml:space="preserve"> </w:t>
      </w:r>
      <w:r>
        <w:t xml:space="preserve">demanda. Essa mudança reduziu o custo de operação, mas introduziu latência de inicialização</w:t>
      </w:r>
      <w:r>
        <w:t xml:space="preserve"> </w:t>
      </w:r>
      <w:r>
        <w:t xml:space="preserve">a frio nas primeiras requisições após período de inatividade.</w:t>
      </w:r>
    </w:p>
    <w:p>
      <w:pPr>
        <w:pStyle w:val="Heading3"/>
      </w:pPr>
      <w:bookmarkStart w:id="29" w:name="X432f340a773f8c4fc3d9eabcc57821e86b0cf9d"/>
      <w:r>
        <w:t xml:space="preserve">3.3 Modelo de dados e rastreabilidade histórica</w:t>
      </w:r>
      <w:bookmarkEnd w:id="29"/>
    </w:p>
    <w:p>
      <w:pPr>
        <w:pStyle w:val="FirstParagraph"/>
      </w:pPr>
      <w:r>
        <w:t xml:space="preserve">O modelo relacional organiza-se em torno de sete entidades, apresentadas na Figura 2.</w:t>
      </w:r>
      <w:r>
        <w:t xml:space="preserve"> </w:t>
      </w:r>
      <w:r>
        <w:t xml:space="preserve">Discente e mentor concentram a identificação institucional dos participantes. A entidade</w:t>
      </w:r>
      <w:r>
        <w:t xml:space="preserve"> </w:t>
      </w:r>
      <w:r>
        <w:t xml:space="preserve">projeto classifica a iniciativa entre real e espelho e vincula-a a um mentor responsável. A</w:t>
      </w:r>
      <w:r>
        <w:t xml:space="preserve"> </w:t>
      </w:r>
      <w:r>
        <w:t xml:space="preserve">entidade associativa entre discente e projeto registra o tipo de vínculo e a data de</w:t>
      </w:r>
      <w:r>
        <w:t xml:space="preserve"> </w:t>
      </w:r>
      <w:r>
        <w:t xml:space="preserve">entrada no programa, campo que se mostra determinante para a regra de certificação. A</w:t>
      </w:r>
      <w:r>
        <w:t xml:space="preserve"> </w:t>
      </w:r>
      <w:r>
        <w:t xml:space="preserve">matriz de competências é representada por duas entidades hierarquizadas, em que cada</w:t>
      </w:r>
      <w:r>
        <w:t xml:space="preserve"> </w:t>
      </w:r>
      <w:r>
        <w:t xml:space="preserve">subcompetência aponta para a competência macro que a contém. Esse arranjo preserva a</w:t>
      </w:r>
      <w:r>
        <w:t xml:space="preserve"> </w:t>
      </w:r>
      <w:r>
        <w:t xml:space="preserve">flexibilidade para expansões futuras da matriz sem alteração de esquema.</w:t>
      </w:r>
    </w:p>
    <w:p>
      <w:pPr>
        <w:pStyle w:val="BlockText"/>
      </w:pPr>
      <w:r>
        <w:t xml:space="preserve">⚠️ IMAGEM AUSENTE:</w:t>
      </w:r>
      <w:r>
        <w:t xml:space="preserve"> </w:t>
      </w:r>
      <w:r>
        <w:rPr>
          <w:rStyle w:val="VerbatimChar"/>
        </w:rPr>
        <w:t xml:space="preserve">figuras/fig-03-2.png</w:t>
      </w:r>
      <w:r>
        <w:t xml:space="preserve"> </w:t>
      </w:r>
      <w:r>
        <w:t xml:space="preserve">— Diagrama entidade-relacionamento das sete entidades do domínio, com cardinalidades e a indicação dos campos de auditoria. Redesenhar, não capturar tela de ferramenta. Omitir os atributos que armazenam dado pessoal identificável, representando-os como</w:t>
      </w:r>
      <w:r>
        <w:t xml:space="preserve"> </w:t>
      </w:r>
      <w:r>
        <w:t xml:space="preserve">“</w:t>
      </w:r>
      <w:r>
        <w:t xml:space="preserve">dados de identificação</w:t>
      </w:r>
      <w:r>
        <w:t xml:space="preserve">”</w:t>
      </w:r>
      <w:r>
        <w:t xml:space="preserve">. Texto interno em TNR 18 ou maior.</w:t>
      </w:r>
    </w:p>
    <w:p>
      <w:pPr>
        <w:pStyle w:val="FirstParagraph"/>
      </w:pPr>
      <w:r>
        <w:rPr>
          <w:b/>
        </w:rPr>
        <w:t xml:space="preserve">Figura 2 — Modelo entidade-relacionamento do domínio de avaliação de competências socioemocionais. Fonte: elaborado pelos autores.</w:t>
      </w:r>
    </w:p>
    <w:p>
      <w:pPr>
        <w:pStyle w:val="BodyText"/>
      </w:pPr>
      <w:r>
        <w:t xml:space="preserve">O registro de desempenho separa-se em dois níveis. A autoavaliação representa o evento de</w:t>
      </w:r>
      <w:r>
        <w:t xml:space="preserve"> </w:t>
      </w:r>
      <w:r>
        <w:t xml:space="preserve">avaliação de um discente em uma unidade e admite observação textual do mentor. A nota</w:t>
      </w:r>
      <w:r>
        <w:t xml:space="preserve"> </w:t>
      </w:r>
      <w:r>
        <w:t xml:space="preserve">vincula um valor numérico a uma competência macro ou a uma subcompetência dentro daquela</w:t>
      </w:r>
      <w:r>
        <w:t xml:space="preserve"> </w:t>
      </w:r>
      <w:r>
        <w:t xml:space="preserve">autoavaliação. Essa separação é o que permite que a mesma competência seja medida</w:t>
      </w:r>
      <w:r>
        <w:t xml:space="preserve"> </w:t>
      </w:r>
      <w:r>
        <w:t xml:space="preserve">repetidamente ao longo das unidades, sem sobrescrita do valor anterior. É também a condição</w:t>
      </w:r>
      <w:r>
        <w:t xml:space="preserve"> </w:t>
      </w:r>
      <w:r>
        <w:t xml:space="preserve">técnica que sustenta a tese defendida neste trabalho, pois nenhuma das duas regras descritas</w:t>
      </w:r>
      <w:r>
        <w:t xml:space="preserve"> </w:t>
      </w:r>
      <w:r>
        <w:t xml:space="preserve">adiante é computável sobre uma estrutura que guarde apenas o estado corrente.</w:t>
      </w:r>
    </w:p>
    <w:p>
      <w:pPr>
        <w:pStyle w:val="BodyText"/>
      </w:pPr>
      <w:r>
        <w:t xml:space="preserve">A integridade referencial foi implementada com restrição de proteção em todas as chaves</w:t>
      </w:r>
      <w:r>
        <w:t xml:space="preserve"> </w:t>
      </w:r>
      <w:r>
        <w:t xml:space="preserve">estrangeiras (Django Software Foundation, 2026). A remoção de uma competência ou de um</w:t>
      </w:r>
      <w:r>
        <w:t xml:space="preserve"> </w:t>
      </w:r>
      <w:r>
        <w:t xml:space="preserve">discente com avaliações associadas é recusada pelo banco, em vez de propagar exclusão em</w:t>
      </w:r>
      <w:r>
        <w:t xml:space="preserve"> </w:t>
      </w:r>
      <w:r>
        <w:t xml:space="preserve">cascata. Somam-se a isso quatro campos de auditoria em cada entidade, que registram data de</w:t>
      </w:r>
      <w:r>
        <w:t xml:space="preserve"> </w:t>
      </w:r>
      <w:r>
        <w:t xml:space="preserve">criação, data de atualização e o usuário responsável por cada uma das duas operações. Por</w:t>
      </w:r>
      <w:r>
        <w:t xml:space="preserve"> </w:t>
      </w:r>
      <w:r>
        <w:t xml:space="preserve">meio dessa combinação, todo valor exibido em um relatório pode ser rastreado até a operação</w:t>
      </w:r>
      <w:r>
        <w:t xml:space="preserve"> </w:t>
      </w:r>
      <w:r>
        <w:t xml:space="preserve">de escrita que o produziu.</w:t>
      </w:r>
    </w:p>
    <w:p>
      <w:pPr>
        <w:pStyle w:val="BodyText"/>
      </w:pPr>
      <w:r>
        <w:t xml:space="preserve">A gravação das dez medições de uma autoavaliação é executada registro a registro, na mesma</w:t>
      </w:r>
      <w:r>
        <w:t xml:space="preserve"> </w:t>
      </w:r>
      <w:r>
        <w:t xml:space="preserve">requisição que cria o evento de avaliação. As consultas de leitura empregam carregamento</w:t>
      </w:r>
      <w:r>
        <w:t xml:space="preserve"> </w:t>
      </w:r>
      <w:r>
        <w:t xml:space="preserve">antecipado dos objetos relacionados, o que evita a emissão de uma consulta por registro ao</w:t>
      </w:r>
      <w:r>
        <w:t xml:space="preserve"> </w:t>
      </w:r>
      <w:r>
        <w:t xml:space="preserve">percorrer os vínculos do discente com projeto e mentor. O acesso é restrito a requisições autenticadas por token,</w:t>
      </w:r>
      <w:r>
        <w:t xml:space="preserve"> </w:t>
      </w:r>
      <w:r>
        <w:t xml:space="preserve">com credenciais e chaves mantidas em variáveis de ambiente. A interface é documentada no</w:t>
      </w:r>
      <w:r>
        <w:t xml:space="preserve"> </w:t>
      </w:r>
      <w:r>
        <w:t xml:space="preserve">padrão OpenAPI, o que permite que a camada de orquestração descubra o contrato dos</w:t>
      </w:r>
      <w:r>
        <w:t xml:space="preserve"> </w:t>
      </w:r>
      <w:r>
        <w:t xml:space="preserve">endpoints sem depender de documentação externa.</w:t>
      </w:r>
    </w:p>
    <w:p>
      <w:pPr>
        <w:pStyle w:val="Heading3"/>
      </w:pPr>
      <w:bookmarkStart w:id="30" w:name="Xb000eb2aec60c83f34d357bc038343543b0a61f"/>
      <w:r>
        <w:t xml:space="preserve">3.4 Camada de decisão: operacionalização da regra de certificação</w:t>
      </w:r>
      <w:bookmarkEnd w:id="30"/>
    </w:p>
    <w:p>
      <w:pPr>
        <w:pStyle w:val="FirstParagraph"/>
      </w:pPr>
      <w:r>
        <w:t xml:space="preserve">A regra de certificação do programa exige evolução de desempenho em ao menos dois terços</w:t>
      </w:r>
      <w:r>
        <w:t xml:space="preserve"> </w:t>
      </w:r>
      <w:r>
        <w:t xml:space="preserve">das competências avaliadas. Sua operacionalização como consulta sobre dados persistidos</w:t>
      </w:r>
      <w:r>
        <w:t xml:space="preserve"> </w:t>
      </w:r>
      <w:r>
        <w:t xml:space="preserve">está implementada na interface, no método de classe</w:t>
      </w:r>
      <w:r>
        <w:t xml:space="preserve"> </w:t>
      </w:r>
      <w:r>
        <w:rPr>
          <w:rStyle w:val="VerbatimChar"/>
        </w:rPr>
        <w:t xml:space="preserve">aptosCertificacao</w:t>
      </w:r>
      <w:r>
        <w:t xml:space="preserve"> </w:t>
      </w:r>
      <w:r>
        <w:t xml:space="preserve">da entidade</w:t>
      </w:r>
      <w:r>
        <w:t xml:space="preserve"> </w:t>
      </w:r>
      <w:r>
        <w:t xml:space="preserve">discente, e é exposta em endpoint dedicado que devolve a relação de aptos. O algoritmo</w:t>
      </w:r>
      <w:r>
        <w:t xml:space="preserve"> </w:t>
      </w:r>
      <w:r>
        <w:t xml:space="preserve">encadeia quatro filtros, e o critério de dois terços é aplicado em dois níveis distintos,</w:t>
      </w:r>
      <w:r>
        <w:t xml:space="preserve"> </w:t>
      </w:r>
      <w:r>
        <w:t xml:space="preserve">primeiro dentro de cada competência e depois no conjunto delas, conforme o pseudocódigo</w:t>
      </w:r>
      <w:r>
        <w:t xml:space="preserve"> </w:t>
      </w:r>
      <w:r>
        <w:t xml:space="preserve">apresentado a seguir.</w:t>
      </w:r>
    </w:p>
    <w:p>
      <w:pPr>
        <w:pStyle w:val="SourceCode"/>
      </w:pPr>
      <w:r>
        <w:rPr>
          <w:rStyle w:val="VerbatimChar"/>
        </w:rPr>
        <w:t xml:space="preserve">para cada discente com ao menos uma autoavaliacao:</w:t>
      </w:r>
      <w:r>
        <w:br/>
      </w:r>
      <w:r>
        <w:rPr>
          <w:rStyle w:val="VerbatimChar"/>
        </w:rPr>
        <w:t xml:space="preserve">    se (hoje - data_entrada do vinculo mais recente) &lt; 365 dias: descartar</w:t>
      </w:r>
      <w:r>
        <w:br/>
      </w:r>
      <w:r>
        <w:rPr>
          <w:rStyle w:val="VerbatimChar"/>
        </w:rPr>
        <w:t xml:space="preserve">    agrupar as notas por competencia macro, agregando por media as subcompetencias</w:t>
      </w:r>
      <w:r>
        <w:br/>
      </w:r>
      <w:r>
        <w:rPr>
          <w:rStyle w:val="VerbatimChar"/>
        </w:rPr>
        <w:t xml:space="preserve">    se numero de competencias avaliadas &lt; 3: descartar</w:t>
      </w:r>
      <w:r>
        <w:br/>
      </w:r>
      <w:r>
        <w:rPr>
          <w:rStyle w:val="VerbatimChar"/>
        </w:rPr>
        <w:t xml:space="preserve">    se alguma competencia tem medicao abaixo de 1,0: descartar</w:t>
      </w:r>
      <w:r>
        <w:br/>
      </w:r>
      <w:r>
        <w:br/>
      </w:r>
      <w:r>
        <w:rPr>
          <w:rStyle w:val="VerbatimChar"/>
        </w:rPr>
        <w:t xml:space="preserve">    competencias_aprovadas &lt;- 0</w:t>
      </w:r>
      <w:r>
        <w:br/>
      </w:r>
      <w:r>
        <w:rPr>
          <w:rStyle w:val="VerbatimChar"/>
        </w:rPr>
        <w:t xml:space="preserve">    para cada competencia com ao menos 2 medicoes:</w:t>
      </w:r>
      <w:r>
        <w:br/>
      </w:r>
      <w:r>
        <w:rPr>
          <w:rStyle w:val="VerbatimChar"/>
        </w:rPr>
        <w:t xml:space="preserve">        referencia &lt;- menor medicao da competencia</w:t>
      </w:r>
      <w:r>
        <w:br/>
      </w:r>
      <w:r>
        <w:rPr>
          <w:rStyle w:val="VerbatimChar"/>
        </w:rPr>
        <w:t xml:space="preserve">        restantes  &lt;- demais medicoes</w:t>
      </w:r>
      <w:r>
        <w:br/>
      </w:r>
      <w:r>
        <w:rPr>
          <w:rStyle w:val="VerbatimChar"/>
        </w:rPr>
        <w:t xml:space="preserve">        saltos &lt;- quantidade de medicoes em restantes tais que</w:t>
      </w:r>
      <w:r>
        <w:br/>
      </w:r>
      <w:r>
        <w:rPr>
          <w:rStyle w:val="VerbatimChar"/>
        </w:rPr>
        <w:t xml:space="preserve">                  medicao &gt;= referencia + 2  ou  medicao = 4</w:t>
      </w:r>
      <w:r>
        <w:br/>
      </w:r>
      <w:r>
        <w:rPr>
          <w:rStyle w:val="VerbatimChar"/>
        </w:rPr>
        <w:t xml:space="preserve">        se saltos &gt;= arredondar(|restantes| x 2/3):</w:t>
      </w:r>
      <w:r>
        <w:br/>
      </w:r>
      <w:r>
        <w:rPr>
          <w:rStyle w:val="VerbatimChar"/>
        </w:rPr>
        <w:t xml:space="preserve">            competencias_aprovadas &lt;- competencias_aprovadas + 1</w:t>
      </w:r>
      <w:r>
        <w:br/>
      </w:r>
      <w:r>
        <w:br/>
      </w:r>
      <w:r>
        <w:rPr>
          <w:rStyle w:val="VerbatimChar"/>
        </w:rPr>
        <w:t xml:space="preserve">    se competencias_aprovadas &gt;= arredondar(competencias_avaliadas x 2/3):</w:t>
      </w:r>
      <w:r>
        <w:br/>
      </w:r>
      <w:r>
        <w:rPr>
          <w:rStyle w:val="VerbatimChar"/>
        </w:rPr>
        <w:t xml:space="preserve">        marcar discente como apto</w:t>
      </w:r>
    </w:p>
    <w:p>
      <w:pPr>
        <w:pStyle w:val="FirstParagraph"/>
      </w:pPr>
      <w:r>
        <w:t xml:space="preserve">Três aspectos do critério merecem registro, por não serem evidentes em seu enunciado</w:t>
      </w:r>
      <w:r>
        <w:t xml:space="preserve"> </w:t>
      </w:r>
      <w:r>
        <w:t xml:space="preserve">verbal. O salto exigido dentro de cada competência é de dois pontos na escala de 0 a 4, ou</w:t>
      </w:r>
      <w:r>
        <w:t xml:space="preserve"> </w:t>
      </w:r>
      <w:r>
        <w:t xml:space="preserve">seja, de dois níveis qualitativos, e não de um. O valor máximo da escala é aceito como</w:t>
      </w:r>
      <w:r>
        <w:t xml:space="preserve"> </w:t>
      </w:r>
      <w:r>
        <w:t xml:space="preserve">equivalente ao salto, o que impede que um discente já avaliado em nível avançado seja</w:t>
      </w:r>
      <w:r>
        <w:t xml:space="preserve"> </w:t>
      </w:r>
      <w:r>
        <w:t xml:space="preserve">penalizado pela ausência de margem para crescer. A referência de comparação é a menor</w:t>
      </w:r>
      <w:r>
        <w:t xml:space="preserve"> </w:t>
      </w:r>
      <w:r>
        <w:t xml:space="preserve">medição registrada para aquela competência, e não a medição da primeira unidade. O critério</w:t>
      </w:r>
      <w:r>
        <w:t xml:space="preserve"> </w:t>
      </w:r>
      <w:r>
        <w:t xml:space="preserve">mede, portanto, a amplitude entre o pior desempenho e os demais, não a evolução</w:t>
      </w:r>
      <w:r>
        <w:t xml:space="preserve"> </w:t>
      </w:r>
      <w:r>
        <w:t xml:space="preserve">estritamente cronológica. O filtro de permanência mínima de um ano no programa, por fim,</w:t>
      </w:r>
      <w:r>
        <w:t xml:space="preserve"> </w:t>
      </w:r>
      <w:r>
        <w:t xml:space="preserve">opera sobre a data de entrada do vínculo mais recente do discente com um projeto.</w:t>
      </w:r>
    </w:p>
    <w:p>
      <w:pPr>
        <w:pStyle w:val="BodyText"/>
      </w:pPr>
      <w:r>
        <w:t xml:space="preserve">A emissão do documento é conduzida pelo quarto fluxo de automação. Após autenticar-se na</w:t>
      </w:r>
      <w:r>
        <w:t xml:space="preserve"> </w:t>
      </w:r>
      <w:r>
        <w:t xml:space="preserve">interface, o fluxo percorre a relação de discentes em lote e normaliza a capitalização do</w:t>
      </w:r>
      <w:r>
        <w:t xml:space="preserve"> </w:t>
      </w:r>
      <w:r>
        <w:t xml:space="preserve">nome, que é armazenado em caixa baixa na origem. Em seguida preenche um modelo de documento</w:t>
      </w:r>
      <w:r>
        <w:t xml:space="preserve"> </w:t>
      </w:r>
      <w:r>
        <w:t xml:space="preserve">mantido em nuvem, converte o resultado em PDF e concede aos orientadores permissão de</w:t>
      </w:r>
      <w:r>
        <w:t xml:space="preserve"> </w:t>
      </w:r>
      <w:r>
        <w:t xml:space="preserve">edição sobre a versão editável do arquivo. Convém explicitar o alcance dessa etapa. A versão</w:t>
      </w:r>
      <w:r>
        <w:t xml:space="preserve"> </w:t>
      </w:r>
      <w:r>
        <w:t xml:space="preserve">exportada do fluxo consome a listagem geral de discentes, e não o endpoint que aplica a</w:t>
      </w:r>
      <w:r>
        <w:t xml:space="preserve"> </w:t>
      </w:r>
      <w:r>
        <w:t xml:space="preserve">regra de dois terços, de forma que os documentos emitidos são certificados de participação.</w:t>
      </w:r>
      <w:r>
        <w:t xml:space="preserve"> </w:t>
      </w:r>
      <w:r>
        <w:t xml:space="preserve">A camada de decisão está implementada e disponível como serviço, mas seu acoplamento ao</w:t>
      </w:r>
      <w:r>
        <w:t xml:space="preserve"> </w:t>
      </w:r>
      <w:r>
        <w:t xml:space="preserve">fluxo de emissão não está demonstrado pela evidência reunida.</w:t>
      </w:r>
    </w:p>
    <w:p>
      <w:pPr>
        <w:pStyle w:val="Heading3"/>
      </w:pPr>
      <w:bookmarkStart w:id="31" w:name="X1b424eb77056e7c315bd9f8d1b751b10aeb7605"/>
      <w:r>
        <w:t xml:space="preserve">3.5 Camada de intervenção: a regra de recomendação pedagógica</w:t>
      </w:r>
      <w:bookmarkEnd w:id="31"/>
    </w:p>
    <w:p>
      <w:pPr>
        <w:pStyle w:val="FirstParagraph"/>
      </w:pPr>
      <w:r>
        <w:t xml:space="preserve">O terceiro fluxo implementa a devolutiva ao discente e é o mais extenso da solução. Após</w:t>
      </w:r>
      <w:r>
        <w:t xml:space="preserve"> </w:t>
      </w:r>
      <w:r>
        <w:t xml:space="preserve">recuperar da interface a relação de discentes e o histórico completo de notas, o fluxo</w:t>
      </w:r>
      <w:r>
        <w:t xml:space="preserve"> </w:t>
      </w:r>
      <w:r>
        <w:t xml:space="preserve">ordena as autoavaliações de cada discente por unidade e percorre cada competência em busca</w:t>
      </w:r>
      <w:r>
        <w:t xml:space="preserve"> </w:t>
      </w:r>
      <w:r>
        <w:t xml:space="preserve">de duas condições independentes. A primeira é o desempenho abaixo do limiar de 2,0, valor</w:t>
      </w:r>
      <w:r>
        <w:t xml:space="preserve"> </w:t>
      </w:r>
      <w:r>
        <w:t xml:space="preserve">que corresponde à fronteira entre os níveis básico e adequado da escala. A segunda é a</w:t>
      </w:r>
      <w:r>
        <w:t xml:space="preserve"> </w:t>
      </w:r>
      <w:r>
        <w:t xml:space="preserve">queda em relação à unidade imediatamente anterior, verificada apenas a partir da segunda</w:t>
      </w:r>
      <w:r>
        <w:t xml:space="preserve"> </w:t>
      </w:r>
      <w:r>
        <w:t xml:space="preserve">unidade avaliada, por depender de medição prévia persistida.</w:t>
      </w:r>
    </w:p>
    <w:p>
      <w:pPr>
        <w:pStyle w:val="BodyText"/>
      </w:pPr>
      <w:r>
        <w:t xml:space="preserve">Cada apontamento gerado recebe o rótulo da condição que o originou, o que preserva no</w:t>
      </w:r>
      <w:r>
        <w:t xml:space="preserve"> </w:t>
      </w:r>
      <w:r>
        <w:t xml:space="preserve">documento entregue ao mentor a distinção entre um discente com desempenho baixo estável e</w:t>
      </w:r>
      <w:r>
        <w:t xml:space="preserve"> </w:t>
      </w:r>
      <w:r>
        <w:t xml:space="preserve">outro em trajetória de queda a partir de patamar adequado. O texto da recomendação é</w:t>
      </w:r>
      <w:r>
        <w:t xml:space="preserve"> </w:t>
      </w:r>
      <w:r>
        <w:t xml:space="preserve">sorteado de um banco de práticas mantido em planilha e organizado por competência. Um</w:t>
      </w:r>
      <w:r>
        <w:t xml:space="preserve"> </w:t>
      </w:r>
      <w:r>
        <w:t xml:space="preserve">controle impede a repetição de uma mesma recomendação para o mesmo discente enquanto</w:t>
      </w:r>
      <w:r>
        <w:t xml:space="preserve"> </w:t>
      </w:r>
      <w:r>
        <w:t xml:space="preserve">houver alternativas disponíveis. Esgotado o banco, o sistema registra explicitamente a</w:t>
      </w:r>
      <w:r>
        <w:t xml:space="preserve"> </w:t>
      </w:r>
      <w:r>
        <w:t xml:space="preserve">exaustão em vez de repetir conteúdo. Discentes sem qualquer apontamento são desviados do</w:t>
      </w:r>
      <w:r>
        <w:t xml:space="preserve"> </w:t>
      </w:r>
      <w:r>
        <w:t xml:space="preserve">fluxo por condicional e não recebem mensagem.</w:t>
      </w:r>
    </w:p>
    <w:p>
      <w:pPr>
        <w:pStyle w:val="BodyText"/>
      </w:pPr>
      <w:r>
        <w:t xml:space="preserve">O conjunto de apontamentos é composto em documento estruturado, convertido em PDF e enviado</w:t>
      </w:r>
      <w:r>
        <w:t xml:space="preserve"> </w:t>
      </w:r>
      <w:r>
        <w:t xml:space="preserve">por correio eletrônico ao destinatário. Duas características dessa camada precisam ser</w:t>
      </w:r>
      <w:r>
        <w:t xml:space="preserve"> </w:t>
      </w:r>
      <w:r>
        <w:t xml:space="preserve">consideradas na leitura dos resultados. A seleção do texto é aleatória dentro da competência</w:t>
      </w:r>
      <w:r>
        <w:t xml:space="preserve"> </w:t>
      </w:r>
      <w:r>
        <w:t xml:space="preserve">apontada, e não adaptada ao perfil do discente, o que significa que a personalização</w:t>
      </w:r>
      <w:r>
        <w:t xml:space="preserve"> </w:t>
      </w:r>
      <w:r>
        <w:t xml:space="preserve">alcançada é de nível de competência, não de nível individual. Além disso, o envio não é</w:t>
      </w:r>
      <w:r>
        <w:t xml:space="preserve"> </w:t>
      </w:r>
      <w:r>
        <w:t xml:space="preserve">registrado em tabela do banco, de modo que o volume de mensagens efetivamente entregues não</w:t>
      </w:r>
      <w:r>
        <w:t xml:space="preserve"> </w:t>
      </w:r>
      <w:r>
        <w:t xml:space="preserve">dispõe de evidência transacional.</w:t>
      </w:r>
    </w:p>
    <w:p>
      <w:pPr>
        <w:pStyle w:val="Heading3"/>
      </w:pPr>
      <w:bookmarkStart w:id="32" w:name="X96218a0cfe79e2a8e3d58ce5a3560ef33371d22"/>
      <w:r>
        <w:t xml:space="preserve">3.6 Tratamento dos dados e procedimentos éticos</w:t>
      </w:r>
      <w:bookmarkEnd w:id="32"/>
    </w:p>
    <w:p>
      <w:pPr>
        <w:pStyle w:val="FirstParagraph"/>
      </w:pPr>
      <w:r>
        <w:t xml:space="preserve">A base de produção armazena dados pessoais dos participantes associados a avaliações de</w:t>
      </w:r>
      <w:r>
        <w:t xml:space="preserve"> </w:t>
      </w:r>
      <w:r>
        <w:t xml:space="preserve">competências socioemocionais. Constam desse conjunto o nome e o número de inscrição no</w:t>
      </w:r>
      <w:r>
        <w:t xml:space="preserve"> </w:t>
      </w:r>
      <w:r>
        <w:t xml:space="preserve">cadastro de pessoas físicas, bem como a matrícula e o endereço de correio eletrônico</w:t>
      </w:r>
      <w:r>
        <w:t xml:space="preserve"> </w:t>
      </w:r>
      <w:r>
        <w:t xml:space="preserve">institucional. Os dados</w:t>
      </w:r>
      <w:r>
        <w:t xml:space="preserve"> </w:t>
      </w:r>
      <w:r>
        <w:t xml:space="preserve">analisados neste trabalho são operacionais do programa de capacitação, produzidos como</w:t>
      </w:r>
      <w:r>
        <w:t xml:space="preserve"> </w:t>
      </w:r>
      <w:r>
        <w:t xml:space="preserve">registro ordinário de sua governança, e não foram coletados para finalidade de pesquisa com</w:t>
      </w:r>
      <w:r>
        <w:t xml:space="preserve"> </w:t>
      </w:r>
      <w:r>
        <w:t xml:space="preserve">seres humanos.</w:t>
      </w:r>
    </w:p>
    <w:p>
      <w:pPr>
        <w:pStyle w:val="BodyText"/>
      </w:pPr>
      <w:r>
        <w:t xml:space="preserve">Toda extração empregada na redação deste artigo foi conduzida por consultas agregadas, com</w:t>
      </w:r>
      <w:r>
        <w:t xml:space="preserve"> </w:t>
      </w:r>
      <w:r>
        <w:t xml:space="preserve">funções de contagem, média e valores extremos, sem recuperação de linhas individuais.</w:t>
      </w:r>
      <w:r>
        <w:t xml:space="preserve"> </w:t>
      </w:r>
      <w:r>
        <w:t xml:space="preserve">Nenhum dado individual de discente é reportado no texto, nas tabelas ou nas figuras, e as</w:t>
      </w:r>
      <w:r>
        <w:t xml:space="preserve"> </w:t>
      </w:r>
      <w:r>
        <w:t xml:space="preserve">ilustrações foram redesenhadas como diagramas esquemáticos em lugar de capturas de tela,</w:t>
      </w:r>
      <w:r>
        <w:t xml:space="preserve"> </w:t>
      </w:r>
      <w:r>
        <w:t xml:space="preserve">justamente para eliminar a via mais provável de exposição acidental. Os identificadores de</w:t>
      </w:r>
      <w:r>
        <w:t xml:space="preserve"> </w:t>
      </w:r>
      <w:r>
        <w:t xml:space="preserve">infraestrutura, como nomes de servidor e credenciais de acesso, permanecem em variáveis de</w:t>
      </w:r>
      <w:r>
        <w:t xml:space="preserve"> </w:t>
      </w:r>
      <w:r>
        <w:t xml:space="preserve">ambiente e não são reproduzidos aqui.</w:t>
      </w:r>
    </w:p>
    <w:p>
      <w:pPr>
        <w:pStyle w:val="Heading2"/>
      </w:pPr>
      <w:bookmarkStart w:id="33" w:name="resultados-e-discussões"/>
      <w:r>
        <w:t xml:space="preserve">4 Resultados e discussões</w:t>
      </w:r>
      <w:bookmarkEnd w:id="33"/>
    </w:p>
    <w:p>
      <w:pPr>
        <w:pStyle w:val="FirstParagraph"/>
      </w:pPr>
      <w:r>
        <w:t xml:space="preserve">Os resultados apresentados nesta seção derivam de três fontes de evidência, tratadas de</w:t>
      </w:r>
      <w:r>
        <w:t xml:space="preserve"> </w:t>
      </w:r>
      <w:r>
        <w:t xml:space="preserve">forma independente e cruzadas apenas quando descrevem o mesmo fenômeno. A primeira é uma</w:t>
      </w:r>
      <w:r>
        <w:t xml:space="preserve"> </w:t>
      </w:r>
      <w:r>
        <w:t xml:space="preserve">consulta agregada ao banco de produção realizada em 27 de julho de 2026, que caracteriza a</w:t>
      </w:r>
      <w:r>
        <w:t xml:space="preserve"> </w:t>
      </w:r>
      <w:r>
        <w:t xml:space="preserve">base efetivamente constituída ao longo do ciclo de 2025. A segunda são as exportações dos</w:t>
      </w:r>
      <w:r>
        <w:t xml:space="preserve"> </w:t>
      </w:r>
      <w:r>
        <w:t xml:space="preserve">fluxos de automação, que documentam o comportamento implementado das camadas de decisão e</w:t>
      </w:r>
      <w:r>
        <w:t xml:space="preserve"> </w:t>
      </w:r>
      <w:r>
        <w:t xml:space="preserve">de intervenção. A terceira reúne as medições de tempo de execução registradas pela equipe</w:t>
      </w:r>
      <w:r>
        <w:t xml:space="preserve"> </w:t>
      </w:r>
      <w:r>
        <w:t xml:space="preserve">durante a operação, empregadas na comparação com o processo manual que antecedeu a</w:t>
      </w:r>
      <w:r>
        <w:t xml:space="preserve"> </w:t>
      </w:r>
      <w:r>
        <w:t xml:space="preserve">automação.</w:t>
      </w:r>
    </w:p>
    <w:p>
      <w:pPr>
        <w:pStyle w:val="BodyText"/>
      </w:pPr>
      <w:r>
        <w:t xml:space="preserve">A ordem de apresentação acompanha o argumento construído nas seções anteriores. Descreve-se</w:t>
      </w:r>
      <w:r>
        <w:t xml:space="preserve"> </w:t>
      </w:r>
      <w:r>
        <w:t xml:space="preserve">primeiro a base de dados constituída, depois a cobertura longitudinal que ela oferece e a</w:t>
      </w:r>
      <w:r>
        <w:t xml:space="preserve"> </w:t>
      </w:r>
      <w:r>
        <w:t xml:space="preserve">consequente computabilidade da regra de certificação, em seguida o comportamento observado</w:t>
      </w:r>
      <w:r>
        <w:t xml:space="preserve"> </w:t>
      </w:r>
      <w:r>
        <w:t xml:space="preserve">da camada de intervenção e os tempos de execução, e por fim a discussão do conjunto e as</w:t>
      </w:r>
      <w:r>
        <w:t xml:space="preserve"> </w:t>
      </w:r>
      <w:r>
        <w:t xml:space="preserve">limitações que ele impõe. Os dados são reportados sem interpretação nas subseções 4.1 a</w:t>
      </w:r>
      <w:r>
        <w:t xml:space="preserve"> </w:t>
      </w:r>
      <w:r>
        <w:t xml:space="preserve">4.4; a leitura à luz do problema formulado na introdução concentra-se nas subseções 4.5 e</w:t>
      </w:r>
      <w:r>
        <w:t xml:space="preserve"> </w:t>
      </w:r>
      <w:r>
        <w:t xml:space="preserve">4.6.</w:t>
      </w:r>
    </w:p>
    <w:p>
      <w:pPr>
        <w:pStyle w:val="Heading3"/>
      </w:pPr>
      <w:bookmarkStart w:id="34" w:name="Xe60b372d3dfb883306b8f4f6f44c96d36304449"/>
      <w:r>
        <w:t xml:space="preserve">4.1 A base de dados constituída no ciclo de 2025</w:t>
      </w:r>
      <w:bookmarkEnd w:id="34"/>
    </w:p>
    <w:p>
      <w:pPr>
        <w:pStyle w:val="FirstParagraph"/>
      </w:pPr>
      <w:r>
        <w:t xml:space="preserve">A consulta de 27 de julho de 2026 encontrou 33</w:t>
      </w:r>
      <w:r>
        <w:t xml:space="preserve"> </w:t>
      </w:r>
      <w:r>
        <w:t xml:space="preserve">discentes cadastrados, com datas de registro entre 23 de janeiro e 1º de abril de 2025,</w:t>
      </w:r>
      <w:r>
        <w:t xml:space="preserve"> </w:t>
      </w:r>
      <w:r>
        <w:t xml:space="preserve">vinculados a três projetos sob acompanhamento de dois mentores. Foram contabilizadas 177 autoavaliações, registradas entre 23 de janeiro e 6</w:t>
      </w:r>
      <w:r>
        <w:t xml:space="preserve"> </w:t>
      </w:r>
      <w:r>
        <w:t xml:space="preserve">de setembro de 2025 e distribuídas em nove unidades avaliativas. A tabela de notas reúne</w:t>
      </w:r>
      <w:r>
        <w:t xml:space="preserve"> </w:t>
      </w:r>
      <w:r>
        <w:t xml:space="preserve">165 registros, dos quais 105 vinculados a competências macro e 60 a subcompetências de</w:t>
      </w:r>
      <w:r>
        <w:t xml:space="preserve"> </w:t>
      </w:r>
      <w:r>
        <w:t xml:space="preserve">inteligência emocional. As notas ocupam integralmente a escala prevista, de 0,00 a 4,00,</w:t>
      </w:r>
      <w:r>
        <w:t xml:space="preserve"> </w:t>
      </w:r>
      <w:r>
        <w:t xml:space="preserve">com média de 2,47, valor situado na faixa qualitativa adequada. A Tabela 2 consolida o</w:t>
      </w:r>
      <w:r>
        <w:t xml:space="preserve"> </w:t>
      </w:r>
      <w:r>
        <w:t xml:space="preserve">conjunto.</w:t>
      </w:r>
    </w:p>
    <w:p>
      <w:pPr>
        <w:pStyle w:val="BlockText"/>
      </w:pPr>
      <w:r>
        <w:t xml:space="preserve">⚠️ IMAGEM AUSENTE:</w:t>
      </w:r>
      <w:r>
        <w:t xml:space="preserve"> </w:t>
      </w:r>
      <w:r>
        <w:rPr>
          <w:rStyle w:val="VerbatimChar"/>
        </w:rPr>
        <w:t xml:space="preserve">figuras/tab-04-1.md</w:t>
      </w:r>
      <w:r>
        <w:t xml:space="preserve"> </w:t>
      </w:r>
      <w:r>
        <w:t xml:space="preserve">— Quadro editável com as métricas agregadas do banco em 27/07/2026 — discentes, autoavaliações, unidades, notas por tipo, faixa e média das notas, mentores, projetos e registros de auditoria. Uma coluna para a métrica e outra para o valor. Nenhum dado individual. Corpo em TNR 10.</w:t>
      </w:r>
    </w:p>
    <w:p>
      <w:pPr>
        <w:pStyle w:val="FirstParagraph"/>
      </w:pPr>
      <w:r>
        <w:rPr>
          <w:b/>
        </w:rPr>
        <w:t xml:space="preserve">Tabela 2 — Caracterização agregada da base de produção do ciclo de 2025, apurada em 27 de julho de 2026 (n=33 discentes). Fonte: dados da pesquisa.</w:t>
      </w:r>
    </w:p>
    <w:p>
      <w:pPr>
        <w:pStyle w:val="BodyText"/>
      </w:pPr>
      <w:r>
        <w:t xml:space="preserve">A distribuição das 165 notas entre os dois níveis da matriz é regular e confirma a</w:t>
      </w:r>
      <w:r>
        <w:t xml:space="preserve"> </w:t>
      </w:r>
      <w:r>
        <w:t xml:space="preserve">consistência do desdobramento descrito na subseção 3.1. As 105 notas de competência macro</w:t>
      </w:r>
      <w:r>
        <w:t xml:space="preserve"> </w:t>
      </w:r>
      <w:r>
        <w:t xml:space="preserve">correspondem a quinze conjuntos completos de sete medições, e as 60 notas de subcompetência</w:t>
      </w:r>
      <w:r>
        <w:t xml:space="preserve"> </w:t>
      </w:r>
      <w:r>
        <w:t xml:space="preserve">correspondem aos mesmos quinze conjuntos de quatro medições. A base contém, portanto,</w:t>
      </w:r>
      <w:r>
        <w:t xml:space="preserve"> </w:t>
      </w:r>
      <w:r>
        <w:t xml:space="preserve">quinze conjuntos íntegros de dez itens comparáveis, sem registro parcial que exigisse</w:t>
      </w:r>
      <w:r>
        <w:t xml:space="preserve"> </w:t>
      </w:r>
      <w:r>
        <w:t xml:space="preserve">tratamento de valor ausente no cálculo das duas regras. As notas lançadas concentram-se em</w:t>
      </w:r>
      <w:r>
        <w:t xml:space="preserve"> </w:t>
      </w:r>
      <w:r>
        <w:t xml:space="preserve">sete discentes, o que separa a população cadastrada da população efetivamente medida e</w:t>
      </w:r>
      <w:r>
        <w:t xml:space="preserve"> </w:t>
      </w:r>
      <w:r>
        <w:t xml:space="preserve">condiciona toda leitura de escala.</w:t>
      </w:r>
    </w:p>
    <w:p>
      <w:pPr>
        <w:pStyle w:val="BodyText"/>
      </w:pPr>
      <w:r>
        <w:t xml:space="preserve">A razão entre discentes cadastrados e mentores responsáveis é de aproximadamente dezesseis</w:t>
      </w:r>
      <w:r>
        <w:t xml:space="preserve"> </w:t>
      </w:r>
      <w:r>
        <w:t xml:space="preserve">para um, distribuída em três projetos. Esse valor não é parâmetro de qualidade do</w:t>
      </w:r>
      <w:r>
        <w:t xml:space="preserve"> </w:t>
      </w:r>
      <w:r>
        <w:t xml:space="preserve">acompanhamento, mas explica a natureza do problema que motivou a automação: a produção</w:t>
      </w:r>
      <w:r>
        <w:t xml:space="preserve"> </w:t>
      </w:r>
      <w:r>
        <w:t xml:space="preserve">manual do perfil de cada discente recaía sobre uma equipe pequena e a cada unidade</w:t>
      </w:r>
      <w:r>
        <w:t xml:space="preserve"> </w:t>
      </w:r>
      <w:r>
        <w:t xml:space="preserve">avaliativa, o que multiplica o esforço pelo número de ciclos, e não apenas pelo número de</w:t>
      </w:r>
      <w:r>
        <w:t xml:space="preserve"> </w:t>
      </w:r>
      <w:r>
        <w:t xml:space="preserve">participantes. A carga acumulada ao longo de nove unidades é a grandeza que a solução</w:t>
      </w:r>
      <w:r>
        <w:t xml:space="preserve"> </w:t>
      </w:r>
      <w:r>
        <w:t xml:space="preserve">descrita neste trabalho desloca para a máquina.</w:t>
      </w:r>
    </w:p>
    <w:p>
      <w:pPr>
        <w:pStyle w:val="BodyText"/>
      </w:pPr>
      <w:r>
        <w:t xml:space="preserve">A tabela de auditoria do painel administrativo acumulou 1.792 registros de operação no</w:t>
      </w:r>
      <w:r>
        <w:t xml:space="preserve"> </w:t>
      </w:r>
      <w:r>
        <w:t xml:space="preserve">período, contra 177 autoavaliações persistidas. A razão entre os dois números não expressa</w:t>
      </w:r>
      <w:r>
        <w:t xml:space="preserve"> </w:t>
      </w:r>
      <w:r>
        <w:t xml:space="preserve">retrabalho: o painel foi o instrumento de conferência e de correção usado pela equipe</w:t>
      </w:r>
      <w:r>
        <w:t xml:space="preserve"> </w:t>
      </w:r>
      <w:r>
        <w:t xml:space="preserve">durante a estabilização do fluxo de cadastro, e cada consulta ou ajuste manual deixa</w:t>
      </w:r>
      <w:r>
        <w:t xml:space="preserve"> </w:t>
      </w:r>
      <w:r>
        <w:t xml:space="preserve">registro próprio. O valor interessa como demonstração de que a trilha de auditoria descrita</w:t>
      </w:r>
      <w:r>
        <w:t xml:space="preserve"> </w:t>
      </w:r>
      <w:r>
        <w:t xml:space="preserve">na subseção 3.3 opera de fato, e não apenas como declaração de esquema.</w:t>
      </w:r>
    </w:p>
    <w:p>
      <w:pPr>
        <w:pStyle w:val="Heading3"/>
      </w:pPr>
      <w:bookmarkStart w:id="35" w:name="Xc80a5d285d2374a13b72f4c5d054adf8e2400ee"/>
      <w:r>
        <w:t xml:space="preserve">4.2 Cobertura longitudinal e computabilidade da regra de certificação</w:t>
      </w:r>
      <w:bookmarkEnd w:id="35"/>
    </w:p>
    <w:p>
      <w:pPr>
        <w:pStyle w:val="FirstParagraph"/>
      </w:pPr>
      <w:r>
        <w:t xml:space="preserve">A distribuição das autoavaliações pelas nove unidades é fortemente assimétrica, conforme a</w:t>
      </w:r>
      <w:r>
        <w:t xml:space="preserve"> </w:t>
      </w:r>
      <w:r>
        <w:t xml:space="preserve">Figura 3. As cinco primeiras unidades apresentam 33 registros cada, cobertura completa</w:t>
      </w:r>
      <w:r>
        <w:t xml:space="preserve"> </w:t>
      </w:r>
      <w:r>
        <w:t xml:space="preserve">da turma cadastrada. Da sexta unidade em diante o número decai para 7, 3, 1 e 1 registros.</w:t>
      </w:r>
      <w:r>
        <w:t xml:space="preserve"> </w:t>
      </w:r>
      <w:r>
        <w:t xml:space="preserve">O programa manteve, portanto, cobertura integral da turma cadastrada por cinco ciclos</w:t>
      </w:r>
      <w:r>
        <w:t xml:space="preserve"> </w:t>
      </w:r>
      <w:r>
        <w:t xml:space="preserve">avaliativos consecutivos, e o decaimento a partir do sexto acompanha o encerramento das</w:t>
      </w:r>
      <w:r>
        <w:t xml:space="preserve"> </w:t>
      </w:r>
      <w:r>
        <w:t xml:space="preserve">atividades previstas no edital.</w:t>
      </w:r>
    </w:p>
    <w:p>
      <w:pPr>
        <w:pStyle w:val="BlockText"/>
      </w:pPr>
      <w:r>
        <w:t xml:space="preserve">⚠️ IMAGEM AUSENTE:</w:t>
      </w:r>
      <w:r>
        <w:t xml:space="preserve"> </w:t>
      </w:r>
      <w:r>
        <w:rPr>
          <w:rStyle w:val="VerbatimChar"/>
        </w:rPr>
        <w:t xml:space="preserve">figuras/fig-04-1.png</w:t>
      </w:r>
      <w:r>
        <w:t xml:space="preserve"> </w:t>
      </w:r>
      <w:r>
        <w:t xml:space="preserve">— Gráfico de barras verticais com o número de autoavaliações registradas por unidade avaliativa, das unidades 1 a 9. Valores 33, 33, 33, 33, 33, 7, 3, 1 e 1. Eixo vertical rotulado em número de autoavaliações. Sem qualquer identificação de discente. Texto interno em TNR 18 ou maior, 300 dpi.</w:t>
      </w:r>
    </w:p>
    <w:p>
      <w:pPr>
        <w:pStyle w:val="FirstParagraph"/>
      </w:pPr>
      <w:r>
        <w:rPr>
          <w:b/>
        </w:rPr>
        <w:t xml:space="preserve">Figura 3 — Autoavaliações registradas por unidade avaliativa no ciclo de 2025, entre 23 de janeiro e 6 de setembro (n=177). Fonte: dados da pesquisa.</w:t>
      </w:r>
    </w:p>
    <w:p>
      <w:pPr>
        <w:pStyle w:val="BodyText"/>
      </w:pPr>
      <w:r>
        <w:t xml:space="preserve">O decaimento observado a partir da sexta unidade tem consequência direta sobre as duas</w:t>
      </w:r>
      <w:r>
        <w:t xml:space="preserve"> </w:t>
      </w:r>
      <w:r>
        <w:t xml:space="preserve">regras. A condição de queda depende de comparação com a unidade imediatamente anterior, e a</w:t>
      </w:r>
      <w:r>
        <w:t xml:space="preserve"> </w:t>
      </w:r>
      <w:r>
        <w:t xml:space="preserve">regra de certificação depende do número de medições disponíveis por competência, de modo</w:t>
      </w:r>
      <w:r>
        <w:t xml:space="preserve"> </w:t>
      </w:r>
      <w:r>
        <w:t xml:space="preserve">que ambas perdem poder de discriminação à medida que a cobertura se rarefaz. As cinco</w:t>
      </w:r>
      <w:r>
        <w:t xml:space="preserve"> </w:t>
      </w:r>
      <w:r>
        <w:t xml:space="preserve">unidades de cobertura integral concentram, assim, praticamente toda a capacidade analítica</w:t>
      </w:r>
      <w:r>
        <w:t xml:space="preserve"> </w:t>
      </w:r>
      <w:r>
        <w:t xml:space="preserve">da base, e é sobre elas que os resultados das subseções seguintes devem ser lidos.</w:t>
      </w:r>
    </w:p>
    <w:p>
      <w:pPr>
        <w:pStyle w:val="BodyText"/>
      </w:pPr>
      <w:r>
        <w:t xml:space="preserve">O resultado que sustenta diretamente a tese deste trabalho está no cruzamento entre</w:t>
      </w:r>
      <w:r>
        <w:t xml:space="preserve"> </w:t>
      </w:r>
      <w:r>
        <w:t xml:space="preserve">competência e discente. A consulta identificou 49 pares competência × discente com duas ou</w:t>
      </w:r>
      <w:r>
        <w:t xml:space="preserve"> </w:t>
      </w:r>
      <w:r>
        <w:t xml:space="preserve">mais medições registradas, insumo exatamente equivalente ao que o algoritmo de certificação</w:t>
      </w:r>
      <w:r>
        <w:t xml:space="preserve"> </w:t>
      </w:r>
      <w:r>
        <w:t xml:space="preserve">exige para comparar a menor medição às demais. Sem esses 49 pares não haveria o que</w:t>
      </w:r>
      <w:r>
        <w:t xml:space="preserve"> </w:t>
      </w:r>
      <w:r>
        <w:t xml:space="preserve">comparar, e a regra de dois terços permaneceria enunciado normativo sem correspondente</w:t>
      </w:r>
      <w:r>
        <w:t xml:space="preserve"> </w:t>
      </w:r>
      <w:r>
        <w:t xml:space="preserve">computável. A existência do conjunto demonstra que a estrutura de persistência descrita na</w:t>
      </w:r>
      <w:r>
        <w:t xml:space="preserve"> </w:t>
      </w:r>
      <w:r>
        <w:t xml:space="preserve">subseção 3.3 produz, em operação real, o insumo longitudinal que a camada de decisão</w:t>
      </w:r>
      <w:r>
        <w:t xml:space="preserve"> </w:t>
      </w:r>
      <w:r>
        <w:t xml:space="preserve">consome.</w:t>
      </w:r>
    </w:p>
    <w:p>
      <w:pPr>
        <w:pStyle w:val="BodyText"/>
      </w:pPr>
      <w:r>
        <w:t xml:space="preserve">O contraste com a organização anterior dos dados é o ponto central. Uma planilha em que</w:t>
      </w:r>
      <w:r>
        <w:t xml:space="preserve"> </w:t>
      </w:r>
      <w:r>
        <w:t xml:space="preserve">cada unidade sobrescreve a nota da competência preserva apenas o estado corrente e reduz a</w:t>
      </w:r>
      <w:r>
        <w:t xml:space="preserve"> </w:t>
      </w:r>
      <w:r>
        <w:t xml:space="preserve">zero o número de pares comparáveis, independentemente de quantas avaliações tenham sido</w:t>
      </w:r>
      <w:r>
        <w:t xml:space="preserve"> </w:t>
      </w:r>
      <w:r>
        <w:t xml:space="preserve">efetivamente conduzidas. Por meio da separação entre o evento de avaliação e o valor medido,</w:t>
      </w:r>
      <w:r>
        <w:t xml:space="preserve"> </w:t>
      </w:r>
      <w:r>
        <w:t xml:space="preserve">a mesma competência do mesmo discente passa a ocupar tantas linhas quantas forem as</w:t>
      </w:r>
      <w:r>
        <w:t xml:space="preserve"> </w:t>
      </w:r>
      <w:r>
        <w:t xml:space="preserve">unidades, e é essa multiplicação que converte um requisito de regulamento em consulta</w:t>
      </w:r>
      <w:r>
        <w:t xml:space="preserve"> </w:t>
      </w:r>
      <w:r>
        <w:t xml:space="preserve">executável.</w:t>
      </w:r>
    </w:p>
    <w:p>
      <w:pPr>
        <w:pStyle w:val="BodyText"/>
      </w:pPr>
      <w:r>
        <w:t xml:space="preserve">A verificação da aptidão propriamente dita não pôde ser reportada. O filtro de permanência</w:t>
      </w:r>
      <w:r>
        <w:t xml:space="preserve"> </w:t>
      </w:r>
      <w:r>
        <w:t xml:space="preserve">mínima de 365 dias opera sobre a data de entrada do vínculo mais recente do discente com um</w:t>
      </w:r>
      <w:r>
        <w:t xml:space="preserve"> </w:t>
      </w:r>
      <w:r>
        <w:t xml:space="preserve">projeto, e os cadastros analisados concentram-se no primeiro trimestre de 2025, de forma que</w:t>
      </w:r>
      <w:r>
        <w:t xml:space="preserve"> </w:t>
      </w:r>
      <w:r>
        <w:t xml:space="preserve">o resultado do endpoint depende da data em que ele é consultado. A instância de banco</w:t>
      </w:r>
      <w:r>
        <w:t xml:space="preserve"> </w:t>
      </w:r>
      <w:r>
        <w:t xml:space="preserve">utilizada no ciclo foi posteriormente desativada, de modo que a contagem de discentes</w:t>
      </w:r>
      <w:r>
        <w:t xml:space="preserve"> </w:t>
      </w:r>
      <w:r>
        <w:t xml:space="preserve">retornada pelo endpoint não pôde ser apurada nem reproduzida. O que a base sustenta é a</w:t>
      </w:r>
      <w:r>
        <w:t xml:space="preserve"> </w:t>
      </w:r>
      <w:r>
        <w:t xml:space="preserve">computabilidade da regra, evidenciada pelos 49 pares competência × discente com duas ou mais</w:t>
      </w:r>
      <w:r>
        <w:t xml:space="preserve"> </w:t>
      </w:r>
      <w:r>
        <w:t xml:space="preserve">medições, e não o número de discentes que a satisfariam em uma data determinada.</w:t>
      </w:r>
    </w:p>
    <w:p>
      <w:pPr>
        <w:pStyle w:val="Heading3"/>
      </w:pPr>
      <w:bookmarkStart w:id="36" w:name="X4c2c2f052d6b2bf03a9e2fdbda407addf68e42a"/>
      <w:r>
        <w:t xml:space="preserve">4.3 Comportamento observado das camadas de decisão e de intervenção</w:t>
      </w:r>
      <w:bookmarkEnd w:id="36"/>
    </w:p>
    <w:p>
      <w:pPr>
        <w:pStyle w:val="FirstParagraph"/>
      </w:pPr>
      <w:r>
        <w:t xml:space="preserve">A camada de decisão foi verificada por inspeção do código do método que a implementa e do</w:t>
      </w:r>
      <w:r>
        <w:t xml:space="preserve"> </w:t>
      </w:r>
      <w:r>
        <w:t xml:space="preserve">endpoint que a expõe, e não por observação de emissões efetivamente filtradas. A regra está</w:t>
      </w:r>
      <w:r>
        <w:t xml:space="preserve"> </w:t>
      </w:r>
      <w:r>
        <w:t xml:space="preserve">disponível como serviço autenticado e devolve a relação de aptos a partir dos quatro</w:t>
      </w:r>
      <w:r>
        <w:t xml:space="preserve"> </w:t>
      </w:r>
      <w:r>
        <w:t xml:space="preserve">filtros descritos na subseção 3.4. Já o fluxo de emissão exportado consome a listagem geral</w:t>
      </w:r>
      <w:r>
        <w:t xml:space="preserve"> </w:t>
      </w:r>
      <w:r>
        <w:t xml:space="preserve">de discentes e produz certificados de participação para todos os retornados, sem aplicar o</w:t>
      </w:r>
      <w:r>
        <w:t xml:space="preserve"> </w:t>
      </w:r>
      <w:r>
        <w:t xml:space="preserve">filtro. O resultado defensável, portanto, é a disponibilidade da camada de decisão como</w:t>
      </w:r>
      <w:r>
        <w:t xml:space="preserve"> </w:t>
      </w:r>
      <w:r>
        <w:t xml:space="preserve">serviço, não seu emprego no ato de emissão.</w:t>
      </w:r>
    </w:p>
    <w:p>
      <w:pPr>
        <w:pStyle w:val="BodyText"/>
      </w:pPr>
      <w:r>
        <w:t xml:space="preserve">A camada de intervenção opera sobre a mesma base longitudinal e dispensa intervenção humana</w:t>
      </w:r>
      <w:r>
        <w:t xml:space="preserve"> </w:t>
      </w:r>
      <w:r>
        <w:t xml:space="preserve">entre a leitura das notas e a entrega da mensagem. O fluxo recupera o histórico completo,</w:t>
      </w:r>
      <w:r>
        <w:t xml:space="preserve"> </w:t>
      </w:r>
      <w:r>
        <w:t xml:space="preserve">ordena as autoavaliações por unidade, aplica as duas condições de disparo, compõe o</w:t>
      </w:r>
      <w:r>
        <w:t xml:space="preserve"> </w:t>
      </w:r>
      <w:r>
        <w:t xml:space="preserve">documento e o envia por correio eletrônico. A condição de queda depende de medição anterior</w:t>
      </w:r>
      <w:r>
        <w:t xml:space="preserve"> </w:t>
      </w:r>
      <w:r>
        <w:t xml:space="preserve">persistida e só se torna avaliável a partir da segunda unidade, o que faz da cobertura</w:t>
      </w:r>
      <w:r>
        <w:t xml:space="preserve"> </w:t>
      </w:r>
      <w:r>
        <w:t xml:space="preserve">descrita na subseção 4.2 o limite superior do que essa camada consegue detectar. Nas cinco</w:t>
      </w:r>
      <w:r>
        <w:t xml:space="preserve"> </w:t>
      </w:r>
      <w:r>
        <w:t xml:space="preserve">primeiras unidades, com 33 registros cada, a condição esteve disponível em quatro delas.</w:t>
      </w:r>
    </w:p>
    <w:p>
      <w:pPr>
        <w:pStyle w:val="BodyText"/>
      </w:pPr>
      <w:r>
        <w:t xml:space="preserve">O envio das mensagens não é persistido em tabela do banco, de modo que o volume entregue</w:t>
      </w:r>
      <w:r>
        <w:t xml:space="preserve"> </w:t>
      </w:r>
      <w:r>
        <w:t xml:space="preserve">não dispõe de evidência transacional e não é reportado aqui. O mesmo vale para a emissão dos</w:t>
      </w:r>
      <w:r>
        <w:t xml:space="preserve"> </w:t>
      </w:r>
      <w:r>
        <w:t xml:space="preserve">certificados, cujos artefatos residem em serviço de armazenamento em nuvem, fora do domínio</w:t>
      </w:r>
      <w:r>
        <w:t xml:space="preserve"> </w:t>
      </w:r>
      <w:r>
        <w:t xml:space="preserve">transacional da aplicação. Ambas as camadas são reportadas como funcionalidades</w:t>
      </w:r>
      <w:r>
        <w:t xml:space="preserve"> </w:t>
      </w:r>
      <w:r>
        <w:t xml:space="preserve">implementadas e demonstradas em operação, sem afirmação de volume — uma escolha de</w:t>
      </w:r>
      <w:r>
        <w:t xml:space="preserve"> </w:t>
      </w:r>
      <w:r>
        <w:t xml:space="preserve">enunciação que preserva a correspondência entre o que se afirma e o que a evidência</w:t>
      </w:r>
      <w:r>
        <w:t xml:space="preserve"> </w:t>
      </w:r>
      <w:r>
        <w:t xml:space="preserve">disponível sustenta.</w:t>
      </w:r>
    </w:p>
    <w:p>
      <w:pPr>
        <w:pStyle w:val="Heading3"/>
      </w:pPr>
      <w:bookmarkStart w:id="37" w:name="tempo-de-execução"/>
      <w:r>
        <w:t xml:space="preserve">4.4 Tempo de execução</w:t>
      </w:r>
      <w:bookmarkEnd w:id="37"/>
    </w:p>
    <w:p>
      <w:pPr>
        <w:pStyle w:val="FirstParagraph"/>
      </w:pPr>
      <w:r>
        <w:t xml:space="preserve">O processo manual que antecedeu a automação consumia 40 minutos por discente, considerando</w:t>
      </w:r>
      <w:r>
        <w:t xml:space="preserve"> </w:t>
      </w:r>
      <w:r>
        <w:t xml:space="preserve">a coleta das respostas, o cálculo das médias, a produção do gráfico de perfil e a</w:t>
      </w:r>
      <w:r>
        <w:t xml:space="preserve"> </w:t>
      </w:r>
      <w:r>
        <w:t xml:space="preserve">organização do material para o mentor. No ciclo anterior do projeto, a execução automatizada</w:t>
      </w:r>
      <w:r>
        <w:t xml:space="preserve"> </w:t>
      </w:r>
      <w:r>
        <w:t xml:space="preserve">do mesmo conjunto de etapas passou a demandar cerca de 12 segundos por discente, redução</w:t>
      </w:r>
      <w:r>
        <w:t xml:space="preserve"> </w:t>
      </w:r>
      <w:r>
        <w:t xml:space="preserve">superior a 99% do tempo empregado, e produziu mais de 160 relatórios de perfil. No ciclo de</w:t>
      </w:r>
      <w:r>
        <w:t xml:space="preserve"> </w:t>
      </w:r>
      <w:r>
        <w:t xml:space="preserve">2025, o registro das notas de uma autoavaliação completa passou a ocorrer em 2 a 3 segundos,</w:t>
      </w:r>
      <w:r>
        <w:t xml:space="preserve"> </w:t>
      </w:r>
      <w:r>
        <w:t xml:space="preserve">e a geração do gráfico com o consequente armazenamento em nuvem, em 12 a 15 segundos. A</w:t>
      </w:r>
      <w:r>
        <w:t xml:space="preserve"> </w:t>
      </w:r>
      <w:r>
        <w:t xml:space="preserve">Tabela 3 reúne as medições.</w:t>
      </w:r>
    </w:p>
    <w:p>
      <w:pPr>
        <w:pStyle w:val="BlockText"/>
      </w:pPr>
      <w:r>
        <w:t xml:space="preserve">⚠️ IMAGEM AUSENTE:</w:t>
      </w:r>
      <w:r>
        <w:t xml:space="preserve"> </w:t>
      </w:r>
      <w:r>
        <w:rPr>
          <w:rStyle w:val="VerbatimChar"/>
        </w:rPr>
        <w:t xml:space="preserve">figuras/tab-04-2.md</w:t>
      </w:r>
      <w:r>
        <w:t xml:space="preserve"> </w:t>
      </w:r>
      <w:r>
        <w:t xml:space="preserve">— Quadro editável comparando o tempo do processo manual, o tempo do ciclo automatizado anterior e os tempos das etapas do ciclo de 2025. Colunas para a etapa, o tempo e o ciclo a que a medição pertence. Corpo em TNR 10.</w:t>
      </w:r>
    </w:p>
    <w:p>
      <w:pPr>
        <w:pStyle w:val="FirstParagraph"/>
      </w:pPr>
      <w:r>
        <w:rPr>
          <w:b/>
        </w:rPr>
        <w:t xml:space="preserve">Tabela 3 — Tempo de execução por etapa, do processo manual às etapas automatizadas dos ciclos de 2024 e de 2025. Fonte: dados da pesquisa.</w:t>
      </w:r>
    </w:p>
    <w:p>
      <w:pPr>
        <w:pStyle w:val="BodyText"/>
      </w:pPr>
      <w:r>
        <w:t xml:space="preserve">Os tempos do ciclo de 2025 não são diretamente comparáveis aos 12 segundos do ciclo</w:t>
      </w:r>
      <w:r>
        <w:t xml:space="preserve"> </w:t>
      </w:r>
      <w:r>
        <w:t xml:space="preserve">anterior, porque medem etapas distintas de um fluxo que foi reorganizado: o cálculo migrou</w:t>
      </w:r>
      <w:r>
        <w:t xml:space="preserve"> </w:t>
      </w:r>
      <w:r>
        <w:t xml:space="preserve">das planilhas para a interface, e a operação de escrita passou a inserir as dez medições em</w:t>
      </w:r>
      <w:r>
        <w:t xml:space="preserve"> </w:t>
      </w:r>
      <w:r>
        <w:t xml:space="preserve">lote, dentro de uma única transação. A grandeza que interessa aqui não é o ganho adicional</w:t>
      </w:r>
      <w:r>
        <w:t xml:space="preserve"> </w:t>
      </w:r>
      <w:r>
        <w:t xml:space="preserve">sobre a automação anterior, que seria marginal, e sim a preservação da ordem de magnitude</w:t>
      </w:r>
      <w:r>
        <w:t xml:space="preserve"> </w:t>
      </w:r>
      <w:r>
        <w:t xml:space="preserve">alcançada em 2024 mesmo com o acréscimo das duas camadas descritas neste trabalho, das</w:t>
      </w:r>
      <w:r>
        <w:t xml:space="preserve"> </w:t>
      </w:r>
      <w:r>
        <w:t xml:space="preserve">garantias de integridade referencial e da trilha de auditoria.</w:t>
      </w:r>
    </w:p>
    <w:p>
      <w:pPr>
        <w:pStyle w:val="BodyText"/>
      </w:pPr>
      <w:r>
        <w:t xml:space="preserve">Convém delimitar o que essas medições cobrem. Elas dizem respeito ao tempo de execução das</w:t>
      </w:r>
      <w:r>
        <w:t xml:space="preserve"> </w:t>
      </w:r>
      <w:r>
        <w:t xml:space="preserve">etapas automatizadas, e não ao tempo total do ciclo avaliativo, que permanece determinado</w:t>
      </w:r>
      <w:r>
        <w:t xml:space="preserve"> </w:t>
      </w:r>
      <w:r>
        <w:t xml:space="preserve">pela disponibilidade dos discentes para responder ao formulário e pela decisão humana de</w:t>
      </w:r>
      <w:r>
        <w:t xml:space="preserve"> </w:t>
      </w:r>
      <w:r>
        <w:t xml:space="preserve">disparar cada fluxo. O ganho reportado é, portanto, de esforço da equipe, não de duração do</w:t>
      </w:r>
      <w:r>
        <w:t xml:space="preserve"> </w:t>
      </w:r>
      <w:r>
        <w:t xml:space="preserve">ciclo formativo. Essa distinção importa porque o processo manual de 40 minutos por discente</w:t>
      </w:r>
      <w:r>
        <w:t xml:space="preserve"> </w:t>
      </w:r>
      <w:r>
        <w:t xml:space="preserve">consumia trabalho qualificado de mentores, que passou a ser realocado para a leitura dos</w:t>
      </w:r>
      <w:r>
        <w:t xml:space="preserve"> </w:t>
      </w:r>
      <w:r>
        <w:t xml:space="preserve">perfis e para o acompanhamento propriamente dito.</w:t>
      </w:r>
    </w:p>
    <w:p>
      <w:pPr>
        <w:pStyle w:val="BodyText"/>
      </w:pPr>
      <w:r>
        <w:t xml:space="preserve">A migração da persistência para a plataforma sem servidor introduziu latência de</w:t>
      </w:r>
      <w:r>
        <w:t xml:space="preserve"> </w:t>
      </w:r>
      <w:r>
        <w:t xml:space="preserve">inicialização a frio nas primeiras requisições após período de inatividade, característica</w:t>
      </w:r>
      <w:r>
        <w:t xml:space="preserve"> </w:t>
      </w:r>
      <w:r>
        <w:t xml:space="preserve">esperada desse modelo de execução. Como os fluxos são disparados sob demanda e não em</w:t>
      </w:r>
      <w:r>
        <w:t xml:space="preserve"> </w:t>
      </w:r>
      <w:r>
        <w:t xml:space="preserve">regime contínuo, essa latência incide com frequência apreciável no início de cada sessão de</w:t>
      </w:r>
      <w:r>
        <w:t xml:space="preserve"> </w:t>
      </w:r>
      <w:r>
        <w:t xml:space="preserve">trabalho. Os tempos reportados nesta subseção foram cronometrados em condições correntes de</w:t>
      </w:r>
      <w:r>
        <w:t xml:space="preserve"> </w:t>
      </w:r>
      <w:r>
        <w:t xml:space="preserve">uso, sem que a primeira requisição após inatividade fosse isolada das demais, e portanto já</w:t>
      </w:r>
      <w:r>
        <w:t xml:space="preserve"> </w:t>
      </w:r>
      <w:r>
        <w:t xml:space="preserve">incorporam a inicialização a frio quando ela ocorreu. Os valores descrevem, assim, o</w:t>
      </w:r>
      <w:r>
        <w:t xml:space="preserve"> </w:t>
      </w:r>
      <w:r>
        <w:t xml:space="preserve">comportamento percebido pelo operador, e não o melhor caso com a função previamente ativa.</w:t>
      </w:r>
    </w:p>
    <w:p>
      <w:pPr>
        <w:pStyle w:val="Heading3"/>
      </w:pPr>
      <w:bookmarkStart w:id="38" w:name="discussão"/>
      <w:r>
        <w:t xml:space="preserve">4.5 Discussão</w:t>
      </w:r>
      <w:bookmarkEnd w:id="38"/>
    </w:p>
    <w:p>
      <w:pPr>
        <w:pStyle w:val="FirstParagraph"/>
      </w:pPr>
      <w:r>
        <w:t xml:space="preserve">O conjunto dos resultados delimita com precisão o que foi demonstrado. Há uma base</w:t>
      </w:r>
      <w:r>
        <w:t xml:space="preserve"> </w:t>
      </w:r>
      <w:r>
        <w:t xml:space="preserve">constituída em operação real, com 165 notas íntegras, cobertura completa da turma em cinco</w:t>
      </w:r>
      <w:r>
        <w:t xml:space="preserve"> </w:t>
      </w:r>
      <w:r>
        <w:t xml:space="preserve">unidades consecutivas e 49 pares competência × discente comparáveis longitudinalmente. Sobre</w:t>
      </w:r>
      <w:r>
        <w:t xml:space="preserve"> </w:t>
      </w:r>
      <w:r>
        <w:t xml:space="preserve">essa base, as duas camadas propostas estão implementadas: a de decisão como serviço</w:t>
      </w:r>
      <w:r>
        <w:t xml:space="preserve"> </w:t>
      </w:r>
      <w:r>
        <w:t xml:space="preserve">consultável e a de intervenção em execução autônoma até a entrega da mensagem. O que não foi</w:t>
      </w:r>
      <w:r>
        <w:t xml:space="preserve"> </w:t>
      </w:r>
      <w:r>
        <w:t xml:space="preserve">demonstrado é a escala, e tampouco o efeito pedagógico da devolutiva sobre o desempenho</w:t>
      </w:r>
      <w:r>
        <w:t xml:space="preserve"> </w:t>
      </w:r>
      <w:r>
        <w:t xml:space="preserve">subsequente dos discentes.</w:t>
      </w:r>
    </w:p>
    <w:p>
      <w:pPr>
        <w:pStyle w:val="BodyText"/>
      </w:pPr>
      <w:r>
        <w:t xml:space="preserve">A separação entre esses dois planos é o que permite avaliar a contribuição sem</w:t>
      </w:r>
      <w:r>
        <w:t xml:space="preserve"> </w:t>
      </w:r>
      <w:r>
        <w:t xml:space="preserve">superestimá-la. O ciclo anterior do projeto já havia demonstrado que a produção de</w:t>
      </w:r>
      <w:r>
        <w:t xml:space="preserve"> </w:t>
      </w:r>
      <w:r>
        <w:t xml:space="preserve">indicadores é automatizável, com ganho de tempo superior a 99% e mais de 160 relatórios</w:t>
      </w:r>
      <w:r>
        <w:t xml:space="preserve"> </w:t>
      </w:r>
      <w:r>
        <w:t xml:space="preserve">gerados. O que os resultados acrescentam é que o encerramento do ciclo formativo, que consiste em decidir</w:t>
      </w:r>
      <w:r>
        <w:t xml:space="preserve"> </w:t>
      </w:r>
      <w:r>
        <w:t xml:space="preserve">quem cumpriu o critério e devolver orientação a quem não o cumpriu, depende de uma</w:t>
      </w:r>
      <w:r>
        <w:t xml:space="preserve"> </w:t>
      </w:r>
      <w:r>
        <w:t xml:space="preserve">propriedade da camada de dados, e não de sofisticação adicional na camada de orquestração.</w:t>
      </w:r>
      <w:r>
        <w:t xml:space="preserve"> </w:t>
      </w:r>
      <w:r>
        <w:t xml:space="preserve">Os 49 pares comparáveis são a forma mensurável dessa dependência.</w:t>
      </w:r>
    </w:p>
    <w:p>
      <w:pPr>
        <w:pStyle w:val="BodyText"/>
      </w:pPr>
      <w:r>
        <w:t xml:space="preserve">A regra de certificação, ao ser explicitada como algoritmo, revelou-se mais restritiva do</w:t>
      </w:r>
      <w:r>
        <w:t xml:space="preserve"> </w:t>
      </w:r>
      <w:r>
        <w:t xml:space="preserve">que seu enunciado verbal sugere. Exigir salto de dois pontos na escala, tomar a menor</w:t>
      </w:r>
      <w:r>
        <w:t xml:space="preserve"> </w:t>
      </w:r>
      <w:r>
        <w:t xml:space="preserve">medição como referência e impor permanência mínima de um ano são decisões que permaneciam</w:t>
      </w:r>
      <w:r>
        <w:t xml:space="preserve"> </w:t>
      </w:r>
      <w:r>
        <w:t xml:space="preserve">implícitas enquanto o critério era aplicado por leitura de planilha, e que se tornaram</w:t>
      </w:r>
      <w:r>
        <w:t xml:space="preserve"> </w:t>
      </w:r>
      <w:r>
        <w:t xml:space="preserve">auditáveis ao serem codificadas. Esse ganho de explicitação é independente do ganho de</w:t>
      </w:r>
      <w:r>
        <w:t xml:space="preserve"> </w:t>
      </w:r>
      <w:r>
        <w:t xml:space="preserve">tempo, e provavelmente o mais relevante para a governança do programa, ainda que o presente</w:t>
      </w:r>
      <w:r>
        <w:t xml:space="preserve"> </w:t>
      </w:r>
      <w:r>
        <w:t xml:space="preserve">recorte não permita quantificá-lo. A separação entre a lógica de decisão e o fluxo que a</w:t>
      </w:r>
      <w:r>
        <w:t xml:space="preserve"> </w:t>
      </w:r>
      <w:r>
        <w:t xml:space="preserve">executa é tratada na literatura de gestão de processos como condição para que o critério</w:t>
      </w:r>
      <w:r>
        <w:t xml:space="preserve"> </w:t>
      </w:r>
      <w:r>
        <w:t xml:space="preserve">possa ser inspecionado e alterado sem que o processo precise ser reconstruído (Bazhenova</w:t>
      </w:r>
      <w:r>
        <w:t xml:space="preserve"> </w:t>
      </w:r>
      <w:r>
        <w:t xml:space="preserve">et al., 2019).</w:t>
      </w:r>
    </w:p>
    <w:p>
      <w:pPr>
        <w:pStyle w:val="BodyText"/>
      </w:pPr>
      <w:r>
        <w:t xml:space="preserve">A divisão de responsabilidades entre orquestração e interface é o que torna o arranjo</w:t>
      </w:r>
      <w:r>
        <w:t xml:space="preserve"> </w:t>
      </w:r>
      <w:r>
        <w:t xml:space="preserve">transferível para outro programa formativo. Os fluxos de automação não contêm regra de</w:t>
      </w:r>
      <w:r>
        <w:t xml:space="preserve"> </w:t>
      </w:r>
      <w:r>
        <w:t xml:space="preserve">negócio: eles iteram sobre a relação de discentes e formatam a entrega, enquanto o cálculo das médias, a</w:t>
      </w:r>
      <w:r>
        <w:t xml:space="preserve"> </w:t>
      </w:r>
      <w:r>
        <w:t xml:space="preserve">agregação das subcompetências e os dois critérios de disparo residem na interface, atrás de</w:t>
      </w:r>
      <w:r>
        <w:t xml:space="preserve"> </w:t>
      </w:r>
      <w:r>
        <w:t xml:space="preserve">um contrato documentado em padrão aberto (Fielding, 2000). Substituir a matriz de</w:t>
      </w:r>
      <w:r>
        <w:t xml:space="preserve"> </w:t>
      </w:r>
      <w:r>
        <w:t xml:space="preserve">competências ou o limiar de disparo é alteração localizada, que não exige reconstruir os</w:t>
      </w:r>
      <w:r>
        <w:t xml:space="preserve"> </w:t>
      </w:r>
      <w:r>
        <w:t xml:space="preserve">fluxos; substituir a ferramenta de orquestração, do mesmo modo, não afeta as regras. Essa</w:t>
      </w:r>
      <w:r>
        <w:t xml:space="preserve"> </w:t>
      </w:r>
      <w:r>
        <w:t xml:space="preserve">propriedade não foi testada em segundo contexto e permanece como expectativa de projeto,</w:t>
      </w:r>
      <w:r>
        <w:t xml:space="preserve"> </w:t>
      </w:r>
      <w:r>
        <w:t xml:space="preserve">ainda que a revisão sobre adoção de plataformas de baixo código registre que manter a regra</w:t>
      </w:r>
      <w:r>
        <w:t xml:space="preserve"> </w:t>
      </w:r>
      <w:r>
        <w:t xml:space="preserve">de negócio fora da ferramenta de orquestração é o que reduz a dependência do fornecedor e</w:t>
      </w:r>
      <w:r>
        <w:t xml:space="preserve"> </w:t>
      </w:r>
      <w:r>
        <w:t xml:space="preserve">preserva a possibilidade de migração (Ajimati; Carroll; Maher, 2025).</w:t>
      </w:r>
    </w:p>
    <w:p>
      <w:pPr>
        <w:pStyle w:val="BodyText"/>
      </w:pPr>
      <w:r>
        <w:t xml:space="preserve">A camada de intervenção, por sua vez, alcança personalização de nível de competência, não de</w:t>
      </w:r>
      <w:r>
        <w:t xml:space="preserve"> </w:t>
      </w:r>
      <w:r>
        <w:t xml:space="preserve">nível individual. O sistema identifica corretamente qual competência motivou o apontamento e</w:t>
      </w:r>
      <w:r>
        <w:t xml:space="preserve"> </w:t>
      </w:r>
      <w:r>
        <w:t xml:space="preserve">distingue desempenho baixo estável de trajetória de queda, mas o texto entregue é sorteado</w:t>
      </w:r>
      <w:r>
        <w:t xml:space="preserve"> </w:t>
      </w:r>
      <w:r>
        <w:t xml:space="preserve">de um banco de práticas organizado por competência. Trata-se de devolutiva dirigida, e não</w:t>
      </w:r>
      <w:r>
        <w:t xml:space="preserve"> </w:t>
      </w:r>
      <w:r>
        <w:t xml:space="preserve">adaptativa, distinção que precisa acompanhar qualquer leitura dos resultados desta camada.</w:t>
      </w:r>
      <w:r>
        <w:t xml:space="preserve"> </w:t>
      </w:r>
      <w:r>
        <w:t xml:space="preserve">O limite corresponde ao que a literatura de análise da aprendizagem atribui aos painéis de</w:t>
      </w:r>
      <w:r>
        <w:t xml:space="preserve"> </w:t>
      </w:r>
      <w:r>
        <w:t xml:space="preserve">natureza descritiva, cuja orientação não decorre de modelo ajustado ao percurso individual</w:t>
      </w:r>
      <w:r>
        <w:t xml:space="preserve"> </w:t>
      </w:r>
      <w:r>
        <w:t xml:space="preserve">(Susnjak; Ramaswami; Mathrani, 2022), e que os trabalhos de recomendação explicável</w:t>
      </w:r>
      <w:r>
        <w:t xml:space="preserve"> </w:t>
      </w:r>
      <w:r>
        <w:t xml:space="preserve">procuram superar por meio da vinculação entre a orientação entregue e os fatores</w:t>
      </w:r>
      <w:r>
        <w:t xml:space="preserve"> </w:t>
      </w:r>
      <w:r>
        <w:t xml:space="preserve">identificados como responsáveis pelo desempenho de cada discente (Afzaal et al., 2021).</w:t>
      </w:r>
    </w:p>
    <w:p>
      <w:pPr>
        <w:pStyle w:val="BodyText"/>
      </w:pPr>
      <w:r>
        <w:t xml:space="preserve">A integridade referencial por proteção, adotada em todas as chaves estrangeiras, mostrou-se</w:t>
      </w:r>
      <w:r>
        <w:t xml:space="preserve"> </w:t>
      </w:r>
      <w:r>
        <w:t xml:space="preserve">compatível com a operação e não produziu bloqueio que exigisse contorno durante o ciclo. A</w:t>
      </w:r>
      <w:r>
        <w:t xml:space="preserve"> </w:t>
      </w:r>
      <w:r>
        <w:t xml:space="preserve">recusa de exclusão em cascata é o que garante que nenhuma medição desapareça pela remoção de</w:t>
      </w:r>
      <w:r>
        <w:t xml:space="preserve"> </w:t>
      </w:r>
      <w:r>
        <w:t xml:space="preserve">uma competência ou de um vínculo, condição sem a qual a comparação longitudinal ficaria</w:t>
      </w:r>
      <w:r>
        <w:t xml:space="preserve"> </w:t>
      </w:r>
      <w:r>
        <w:t xml:space="preserve">sujeita a lacunas silenciosas (Elmasri, 2018). Em um domínio cujo objeto é justamente a</w:t>
      </w:r>
      <w:r>
        <w:t xml:space="preserve"> </w:t>
      </w:r>
      <w:r>
        <w:t xml:space="preserve">variação de um valor ao longo do tempo, a preservação do histórico é requisito funcional, e</w:t>
      </w:r>
      <w:r>
        <w:t xml:space="preserve"> </w:t>
      </w:r>
      <w:r>
        <w:t xml:space="preserve">não precaução administrativa.</w:t>
      </w:r>
    </w:p>
    <w:p>
      <w:pPr>
        <w:pStyle w:val="Heading3"/>
      </w:pPr>
      <w:bookmarkStart w:id="39" w:name="limitações"/>
      <w:r>
        <w:t xml:space="preserve">4.6 Limitações</w:t>
      </w:r>
      <w:bookmarkEnd w:id="39"/>
    </w:p>
    <w:p>
      <w:pPr>
        <w:pStyle w:val="FirstParagraph"/>
      </w:pPr>
      <w:r>
        <w:t xml:space="preserve">A instância analisada serviu simultaneamente à operação e ao desenvolvimento da solução, de</w:t>
      </w:r>
      <w:r>
        <w:t xml:space="preserve"> </w:t>
      </w:r>
      <w:r>
        <w:t xml:space="preserve">modo que as contagens de cadastro descrevem o conteúdo da base e não o universo do programa.</w:t>
      </w:r>
      <w:r>
        <w:t xml:space="preserve"> </w:t>
      </w:r>
      <w:r>
        <w:t xml:space="preserve">Os valores empregados nas análises desta seção não dependem dessa distinção, porque exigem</w:t>
      </w:r>
      <w:r>
        <w:t xml:space="preserve"> </w:t>
      </w:r>
      <w:r>
        <w:t xml:space="preserve">integridade interna do registro para existir: as 165 notas, os quinze conjuntos completos de</w:t>
      </w:r>
      <w:r>
        <w:t xml:space="preserve"> </w:t>
      </w:r>
      <w:r>
        <w:t xml:space="preserve">dez itens e os 49 pares competência × discente comparáveis são pisos verificáveis. Nenhuma</w:t>
      </w:r>
      <w:r>
        <w:t xml:space="preserve"> </w:t>
      </w:r>
      <w:r>
        <w:t xml:space="preserve">inferência sobre desempenho da turma, sobre efeito da intervenção ou sobre comportamento do</w:t>
      </w:r>
      <w:r>
        <w:t xml:space="preserve"> </w:t>
      </w:r>
      <w:r>
        <w:t xml:space="preserve">sistema em volume maior se sustenta sobre essa base, e o que ela demonstra é a viabilidade</w:t>
      </w:r>
      <w:r>
        <w:t xml:space="preserve"> </w:t>
      </w:r>
      <w:r>
        <w:t xml:space="preserve">das duas camadas em condições reais de uso.</w:t>
      </w:r>
    </w:p>
    <w:p>
      <w:pPr>
        <w:pStyle w:val="BodyText"/>
      </w:pPr>
      <w:r>
        <w:t xml:space="preserve">O instrumento é a autoavaliação, e nenhum mecanismo de controle contra superestimação das</w:t>
      </w:r>
      <w:r>
        <w:t xml:space="preserve"> </w:t>
      </w:r>
      <w:r>
        <w:t xml:space="preserve">notas foi implementado. A média de 2,47 e o uso integral da escala, de 0,00 a 4,00, indicam</w:t>
      </w:r>
      <w:r>
        <w:t xml:space="preserve"> </w:t>
      </w:r>
      <w:r>
        <w:t xml:space="preserve">que não houve concentração no extremo superior, mas isso não substitui um procedimento de</w:t>
      </w:r>
      <w:r>
        <w:t xml:space="preserve"> </w:t>
      </w:r>
      <w:r>
        <w:t xml:space="preserve">validação. A observação textual do mentor, prevista no modelo de dados, oferece o ponto de</w:t>
      </w:r>
      <w:r>
        <w:t xml:space="preserve"> </w:t>
      </w:r>
      <w:r>
        <w:t xml:space="preserve">ancoragem para essa validação e não foi explorada neste ciclo.</w:t>
      </w:r>
    </w:p>
    <w:p>
      <w:pPr>
        <w:pStyle w:val="BodyText"/>
      </w:pPr>
      <w:r>
        <w:t xml:space="preserve">O desenho do estudo também impõe limites. Trata-se de relato de uma implantação conduzida</w:t>
      </w:r>
      <w:r>
        <w:t xml:space="preserve"> </w:t>
      </w:r>
      <w:r>
        <w:t xml:space="preserve">pela própria equipe que a avalia, sem grupo de comparação e sem instrumento externo de</w:t>
      </w:r>
      <w:r>
        <w:t xml:space="preserve"> </w:t>
      </w:r>
      <w:r>
        <w:t xml:space="preserve">verificação, condição usual em pesquisa aplicada sobre sistema em operação, mas que restringe</w:t>
      </w:r>
      <w:r>
        <w:t xml:space="preserve"> </w:t>
      </w:r>
      <w:r>
        <w:t xml:space="preserve">as conclusões ao que é diretamente observável nos artefatos e nos dados persistidos. Os</w:t>
      </w:r>
      <w:r>
        <w:t xml:space="preserve"> </w:t>
      </w:r>
      <w:r>
        <w:t xml:space="preserve">tempos do processo manual, em particular, provêm do registro do ciclo anterior do projeto e</w:t>
      </w:r>
      <w:r>
        <w:t xml:space="preserve"> </w:t>
      </w:r>
      <w:r>
        <w:t xml:space="preserve">não foram remedidos neste ciclo, de modo que funcionam como linha de base histórica, e não</w:t>
      </w:r>
      <w:r>
        <w:t xml:space="preserve"> </w:t>
      </w:r>
      <w:r>
        <w:t xml:space="preserve">como medição controlada.</w:t>
      </w:r>
    </w:p>
    <w:p>
      <w:pPr>
        <w:pStyle w:val="BodyText"/>
      </w:pPr>
      <w:r>
        <w:t xml:space="preserve">O acoplamento entre a camada de decisão e a emissão do certificado não está demonstrado, e a</w:t>
      </w:r>
      <w:r>
        <w:t xml:space="preserve"> </w:t>
      </w:r>
      <w:r>
        <w:t xml:space="preserve">apuração dos artefatos emitidos dependeria de contagem de arquivos em serviço de</w:t>
      </w:r>
      <w:r>
        <w:t xml:space="preserve"> </w:t>
      </w:r>
      <w:r>
        <w:t xml:space="preserve">armazenamento, não de registro transacional. Somam-se a isso a ausência de agendamento</w:t>
      </w:r>
      <w:r>
        <w:t xml:space="preserve"> </w:t>
      </w:r>
      <w:r>
        <w:t xml:space="preserve">periódico nos fluxos, que mantém a periodicidade do ciclo sob controle humano, e a latência</w:t>
      </w:r>
      <w:r>
        <w:t xml:space="preserve"> </w:t>
      </w:r>
      <w:r>
        <w:t xml:space="preserve">decorrente da hospedagem da interface e do banco em região geograficamente distante dos</w:t>
      </w:r>
      <w:r>
        <w:t xml:space="preserve"> </w:t>
      </w:r>
      <w:r>
        <w:t xml:space="preserve">usuários, para a qual a equipe apontou a hospedagem institucional local como mitigação. O</w:t>
      </w:r>
      <w:r>
        <w:t xml:space="preserve"> </w:t>
      </w:r>
      <w:r>
        <w:t xml:space="preserve">orquestrador, por sua vez, foi executado em contêiner instalado em estação de trabalho de um</w:t>
      </w:r>
      <w:r>
        <w:t xml:space="preserve"> </w:t>
      </w:r>
      <w:r>
        <w:t xml:space="preserve">integrante da equipe, e não em serviço mantido pela instituição, condição que limita a</w:t>
      </w:r>
      <w:r>
        <w:t xml:space="preserve"> </w:t>
      </w:r>
      <w:r>
        <w:t xml:space="preserve">continuidade da operação para além do período do vínculo desse integrante.</w:t>
      </w:r>
    </w:p>
    <w:p>
      <w:pPr>
        <w:pStyle w:val="Heading1"/>
      </w:pPr>
      <w:bookmarkStart w:id="40" w:name="referências"/>
      <w:r>
        <w:t xml:space="preserve">REFERÊNCIAS</w:t>
      </w:r>
      <w:bookmarkEnd w:id="40"/>
    </w:p>
    <w:p>
      <w:pPr>
        <w:pStyle w:val="FirstParagraph"/>
      </w:pPr>
      <w:r>
        <w:t xml:space="preserve">AFZAAL, Muhammad; NOURI, Jalal; ZIA, Aayesha; PAPAPETROU, Panagiotis; FORS, Uno; WU, Yongchao; LI, Xiu; WEEGAR, Rebecka.</w:t>
      </w:r>
      <w:r>
        <w:t xml:space="preserve"> </w:t>
      </w:r>
      <w:r>
        <w:rPr>
          <w:b/>
        </w:rPr>
        <w:t xml:space="preserve">Explainable AI for data-driven feedback and intelligent action recommendations to support students self-regulation</w:t>
      </w:r>
      <w:r>
        <w:t xml:space="preserve">. Frontiers in Artificial Intelligence, v. 4, art. 723447, 2021. Disponível em: https://doi.org/10.3389/frai.2021.723447. Acesso em: 03 set. 2026.</w:t>
      </w:r>
    </w:p>
    <w:p>
      <w:pPr>
        <w:pStyle w:val="BodyText"/>
      </w:pPr>
      <w:r>
        <w:t xml:space="preserve">AJIMATI, Matthew Oladeji; CARROLL, Noel; MAHER, Mary.</w:t>
      </w:r>
      <w:r>
        <w:t xml:space="preserve"> </w:t>
      </w:r>
      <w:r>
        <w:rPr>
          <w:b/>
        </w:rPr>
        <w:t xml:space="preserve">Adoption of low-code and no-code development: a systematic literature review and future research agenda</w:t>
      </w:r>
      <w:r>
        <w:t xml:space="preserve">. Journal of Systems and Software, v. 222, art. 112300, 2025. Disponível em: https://doi.org/10.1016/j.jss.2024.112300. Acesso em: 03 set. 2026.</w:t>
      </w:r>
    </w:p>
    <w:p>
      <w:pPr>
        <w:pStyle w:val="BodyText"/>
      </w:pPr>
      <w:r>
        <w:t xml:space="preserve">AL-SA’DI, Ahmed; YAMJAL, Parina; AHMAD, Esraa; PANJABI, Richa; ALLOTT MCPHEE, Cam; GULER, Olkan.</w:t>
      </w:r>
      <w:r>
        <w:t xml:space="preserve"> </w:t>
      </w:r>
      <w:r>
        <w:rPr>
          <w:b/>
        </w:rPr>
        <w:t xml:space="preserve">Assessing educators’ soft skills: developing a self-assessment instrument</w:t>
      </w:r>
      <w:r>
        <w:t xml:space="preserve">. Administrative Sciences, v. 13, n. 9, art. 208, 2023. Disponível em: https://doi.org/10.3390/admsci13090208. Acesso em: 03 set. 2026.</w:t>
      </w:r>
    </w:p>
    <w:p>
      <w:pPr>
        <w:pStyle w:val="BodyText"/>
      </w:pPr>
      <w:r>
        <w:t xml:space="preserve">BAZHENOVA, Ekaterina; ZERBATO, Francesca; OLIBONI, Barbara; WESKE, Mathias.</w:t>
      </w:r>
      <w:r>
        <w:t xml:space="preserve"> </w:t>
      </w:r>
      <w:r>
        <w:rPr>
          <w:b/>
        </w:rPr>
        <w:t xml:space="preserve">From BPMN process models to DMN decision models</w:t>
      </w:r>
      <w:r>
        <w:t xml:space="preserve">. Information Systems, v. 83, p. 69-88, 2019. Disponível em: https://doi.org/10.1016/j.is.2019.02.001. Acesso em: 03 set. 2026.</w:t>
      </w:r>
    </w:p>
    <w:p>
      <w:pPr>
        <w:pStyle w:val="BodyText"/>
      </w:pPr>
      <w:r>
        <w:t xml:space="preserve">BHARDWAJ, Vivek; KUMAR, Mukesh.</w:t>
      </w:r>
      <w:r>
        <w:t xml:space="preserve"> </w:t>
      </w:r>
      <w:r>
        <w:rPr>
          <w:b/>
        </w:rPr>
        <w:t xml:space="preserve">Transforming higher education with robotic process automation: enhancing efficiency, innovation, and student-centered learning</w:t>
      </w:r>
      <w:r>
        <w:t xml:space="preserve">. Discover Sustainability, v. 6, n. 1, art. 356, 2025. Disponível em: https://doi.org/10.1007/s43621-025-01198-6. Acesso em: 03 set. 2026.</w:t>
      </w:r>
    </w:p>
    <w:p>
      <w:pPr>
        <w:pStyle w:val="BodyText"/>
      </w:pPr>
      <w:r>
        <w:t xml:space="preserve">DJANGO SOFTWARE FOUNDATION.</w:t>
      </w:r>
      <w:r>
        <w:t xml:space="preserve"> </w:t>
      </w:r>
      <w:r>
        <w:rPr>
          <w:b/>
        </w:rPr>
        <w:t xml:space="preserve">Django documentation</w:t>
      </w:r>
      <w:r>
        <w:t xml:space="preserve">. documentação oficial, versão 4.2, 2026. Disponível em: https://docs.djangoproject.com/en/4.2/. Acesso em: 03 fev. 2026.</w:t>
      </w:r>
    </w:p>
    <w:p>
      <w:pPr>
        <w:pStyle w:val="BodyText"/>
      </w:pPr>
      <w:r>
        <w:t xml:space="preserve">ELMASRI, Ramez; NAVATHE, Shamkant B.</w:t>
      </w:r>
      <w:r>
        <w:t xml:space="preserve"> </w:t>
      </w:r>
      <w:r>
        <w:rPr>
          <w:b/>
        </w:rPr>
        <w:t xml:space="preserve">Sistemas de banco de dados</w:t>
      </w:r>
      <w:r>
        <w:t xml:space="preserve">. 7. ed. Rio de Janeiro: Pearson, 2018.</w:t>
      </w:r>
    </w:p>
    <w:p>
      <w:pPr>
        <w:pStyle w:val="BodyText"/>
      </w:pPr>
      <w:r>
        <w:t xml:space="preserve">EMBRAPII.</w:t>
      </w:r>
      <w:r>
        <w:t xml:space="preserve"> </w:t>
      </w:r>
      <w:r>
        <w:rPr>
          <w:b/>
        </w:rPr>
        <w:t xml:space="preserve">Manual do Programa Capacitação 4.0</w:t>
      </w:r>
      <w:r>
        <w:t xml:space="preserve">. v. 1.0. Brasília: Empresa Brasileira de Pesquisa e Inovação Industrial, 2021.</w:t>
      </w:r>
    </w:p>
    <w:p>
      <w:pPr>
        <w:pStyle w:val="BodyText"/>
      </w:pPr>
      <w:r>
        <w:t xml:space="preserve">FIELDING, Roy Thomas.</w:t>
      </w:r>
      <w:r>
        <w:t xml:space="preserve"> </w:t>
      </w:r>
      <w:r>
        <w:rPr>
          <w:b/>
        </w:rPr>
        <w:t xml:space="preserve">Architectural styles and the design of network-based software architectures</w:t>
      </w:r>
      <w:r>
        <w:t xml:space="preserve">. Tese (Doutorado em Informação e Ciência da Computação) – University of California, Irvine, 2000.</w:t>
      </w:r>
    </w:p>
    <w:p>
      <w:pPr>
        <w:pStyle w:val="BodyText"/>
      </w:pPr>
      <w:r>
        <w:t xml:space="preserve">GROOVER, Mikell P.</w:t>
      </w:r>
      <w:r>
        <w:t xml:space="preserve"> </w:t>
      </w:r>
      <w:r>
        <w:rPr>
          <w:b/>
        </w:rPr>
        <w:t xml:space="preserve">Automação industrial e sistemas de manufatura</w:t>
      </w:r>
      <w:r>
        <w:t xml:space="preserve">. 3. ed. São Paulo: Pearson Prentice Hall, 2010.</w:t>
      </w:r>
    </w:p>
    <w:p>
      <w:pPr>
        <w:pStyle w:val="BodyText"/>
      </w:pPr>
      <w:r>
        <w:t xml:space="preserve">MERKEL, Dirk.</w:t>
      </w:r>
      <w:r>
        <w:t xml:space="preserve"> </w:t>
      </w:r>
      <w:r>
        <w:rPr>
          <w:b/>
        </w:rPr>
        <w:t xml:space="preserve">Docker: lightweight Linux containers for consistent development and deployment</w:t>
      </w:r>
      <w:r>
        <w:t xml:space="preserve">. Linux Journal, n. 239, p. 2, 2014.</w:t>
      </w:r>
    </w:p>
    <w:p>
      <w:pPr>
        <w:pStyle w:val="BodyText"/>
      </w:pPr>
      <w:r>
        <w:t xml:space="preserve">MUNIR, Fouzia.</w:t>
      </w:r>
      <w:r>
        <w:t xml:space="preserve"> </w:t>
      </w:r>
      <w:r>
        <w:rPr>
          <w:b/>
        </w:rPr>
        <w:t xml:space="preserve">More than technical experts: engineering professionals’ perspectives on the role of soft skills in their practice</w:t>
      </w:r>
      <w:r>
        <w:t xml:space="preserve">. Industry and Higher Education, v. 36, n. 3, p. 294-305, 2022. Disponível em: https://doi.org/10.1177/09504222211034725. Acesso em: 03 set. 2026.</w:t>
      </w:r>
    </w:p>
    <w:p>
      <w:pPr>
        <w:pStyle w:val="BodyText"/>
      </w:pPr>
      <w:r>
        <w:t xml:space="preserve">N8N.</w:t>
      </w:r>
      <w:r>
        <w:t xml:space="preserve"> </w:t>
      </w:r>
      <w:r>
        <w:rPr>
          <w:b/>
        </w:rPr>
        <w:t xml:space="preserve">n8n documentation</w:t>
      </w:r>
      <w:r>
        <w:t xml:space="preserve">. documentação oficial, 2025. Disponível em: https://docs.n8n.io. Acesso em: 30 jun. 2025.</w:t>
      </w:r>
    </w:p>
    <w:p>
      <w:pPr>
        <w:pStyle w:val="BodyText"/>
      </w:pPr>
      <w:r>
        <w:t xml:space="preserve">SILBERSCHATZ, Abraham; KORTH, Henry F.; SUDARSHAN, S.</w:t>
      </w:r>
      <w:r>
        <w:t xml:space="preserve"> </w:t>
      </w:r>
      <w:r>
        <w:rPr>
          <w:b/>
        </w:rPr>
        <w:t xml:space="preserve">Sistema de banco de dados</w:t>
      </w:r>
      <w:r>
        <w:t xml:space="preserve">. 7. ed. Rio de Janeiro: Elsevier, 2020.</w:t>
      </w:r>
    </w:p>
    <w:p>
      <w:pPr>
        <w:pStyle w:val="BodyText"/>
      </w:pPr>
      <w:r>
        <w:t xml:space="preserve">SUSNJAK, Teo; RAMASWAMI, Gomathy Suganya; MATHRANI, Anuradha.</w:t>
      </w:r>
      <w:r>
        <w:t xml:space="preserve"> </w:t>
      </w:r>
      <w:r>
        <w:rPr>
          <w:b/>
        </w:rPr>
        <w:t xml:space="preserve">Learning analytics dashboard: a tool for providing actionable insights to learners</w:t>
      </w:r>
      <w:r>
        <w:t xml:space="preserve">. International Journal of Educational Technology in Higher Education, v. 19, n. 1, art. 12, 2022. Disponível em: https://doi.org/10.1186/s41239-021-00313-7. Acesso em: 03 set. 2026.</w:t>
      </w:r>
    </w:p>
    <w:sectPr>
      <w:pgSz w:w="11909" w:h="16834"/>
      <w:pgMar w:top="1985" w:right="1418" w:bottom="1134" w:left="1418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pt-BR"/>
      </w:rPr>
    </w:rPrDefault>
    <w:pPrDefault>
      <w:pPr>
        <w:spacing w:before="0" w:after="0" w:line="240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before="0" w:after="0" w:line="240" w:lineRule="auto"/>
      <w:ind w:firstLine="567"/>
      <w:jc w:val="both"/>
    </w:pPr>
    <w:name w:val="Normal"/>
    <w:qFormat/>
  </w:style>
  <w:style w:type="paragraph" w:styleId="BodyText">
    <w:pPr>
      <w:spacing w:before="0" w:after="0" w:line="240" w:lineRule="auto"/>
      <w:ind w:firstLine="567"/>
      <w:jc w:val="both"/>
    </w:pPr>
    <w:name w:val="Body Text"/>
    <w:basedOn w:val="Normal"/>
    <w:link w:val="BodyTextChar"/>
    <w:qFormat/>
  </w:style>
  <w:style w:type="paragraph" w:customStyle="1" w:styleId="FirstParagraph">
    <w:pPr>
      <w:spacing w:before="0" w:after="0" w:line="240" w:lineRule="auto"/>
      <w:ind w:firstLine="567"/>
      <w:jc w:val="both"/>
    </w:pPr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1"/>
    <w:basedOn w:val="Normal"/>
    <w:next w:val="BodyText"/>
    <w:uiPriority w:val="9"/>
    <w:qFormat/>
  </w:style>
  <w:style w:type="paragraph" w:styleId="Heading2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2"/>
    <w:basedOn w:val="Normal"/>
    <w:next w:val="BodyText"/>
    <w:uiPriority w:val="9"/>
    <w:unhideWhenUsed/>
    <w:qFormat/>
  </w:style>
  <w:style w:type="paragraph" w:styleId="Heading3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3"/>
    <w:basedOn w:val="Normal"/>
    <w:next w:val="BodyText"/>
    <w:uiPriority w:val="9"/>
    <w:unhideWhenUsed/>
    <w:qFormat/>
  </w:style>
  <w:style w:type="paragraph" w:styleId="Heading4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4"/>
    <w:basedOn w:val="Normal"/>
    <w:next w:val="BodyText"/>
    <w:uiPriority w:val="9"/>
    <w:unhideWhenUsed/>
    <w:qFormat/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2026-09-04T01:09:57Z</dcterms:created>
  <dcterms:modified xsi:type="dcterms:W3CDTF">2026-09-04T01:09:57Z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