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communes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Macé</w:t>
      </w:r>
    </w:p>
    <w:p>
      <w:pPr>
        <w:pStyle w:val="Date"/>
      </w:pPr>
      <w:r>
        <w:t xml:space="preserve">2024-06-14</w:t>
      </w:r>
    </w:p>
    <w:bookmarkStart w:id="23" w:name="trouver-des-outliers"/>
    <w:p>
      <w:pPr>
        <w:pStyle w:val="Heading1"/>
      </w:pPr>
      <w:r>
        <w:t xml:space="preserve">trouver des outliers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s_commune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36 : Grenoble : Grande population, densité, part résidences principales en location, faible part maisons, fort taux de changement, faible niveau de vie, peu de dossier par hab</w:t>
      </w:r>
    </w:p>
    <w:p>
      <w:pPr>
        <w:pStyle w:val="BodyText"/>
      </w:pPr>
      <w:r>
        <w:t xml:space="preserve">123 : Chamrousse : gros taux objectifs de changement par maison mais 0 changement, faible part maisons, peu de maisons et de personnes, faible niveau de vie, fort taux foyers ouverts ,et fort taux de majoration</w:t>
      </w:r>
    </w:p>
    <w:p>
      <w:pPr>
        <w:pStyle w:val="BodyText"/>
      </w:pPr>
      <w:r>
        <w:t xml:space="preserve">78 : Plateau-des-Petites-Roches -&gt; fort : nombre de dossiers, taux de dossiers par habitants, taux de changement</w:t>
      </w:r>
    </w:p>
    <w:p>
      <w:pPr>
        <w:pStyle w:val="BodyText"/>
      </w:pPr>
      <w:r>
        <w:t xml:space="preserve">29 : Le Haut-Bréda : grande superficie de forêts, baisse du nb logements, faible niveau de vie</w:t>
      </w:r>
    </w:p>
    <w:p>
      <w:pPr>
        <w:pStyle w:val="BodyText"/>
      </w:pPr>
      <w:r>
        <w:t xml:space="preserve">98 : Sarcenas : fort taux de forets, baisse du nb logements, peu d’habitants, fort niveau de vie, fort taux de dossiers par habitants, et changement d’appareils / objectifs</w:t>
      </w:r>
    </w:p>
    <w:bookmarkEnd w:id="23"/>
    <w:bookmarkStart w:id="24" w:name="clustering"/>
    <w:p>
      <w:pPr>
        <w:pStyle w:val="Heading1"/>
      </w:pPr>
      <w:r>
        <w:t xml:space="preserve">Clustering :</w:t>
      </w:r>
    </w:p>
    <w:p>
      <w:pPr>
        <w:pStyle w:val="FirstParagraph"/>
      </w:pPr>
      <w:r>
        <w:t xml:space="preserve">5 groupes, dont 2 avec des outliers.</w:t>
      </w:r>
    </w:p>
    <w:p>
      <w:pPr>
        <w:pStyle w:val="SourceCode"/>
      </w:pPr>
      <w:r>
        <w:rPr>
          <w:rStyle w:val="VerbatimChar"/>
        </w:rPr>
        <w:t xml:space="preserve">##                                            grp</w:t>
      </w:r>
      <w:r>
        <w:br/>
      </w:r>
      <w:r>
        <w:rPr>
          <w:rStyle w:val="VerbatimChar"/>
        </w:rPr>
        <w:t xml:space="preserve">##                                              1  2  3  4  5</w:t>
      </w:r>
      <w:r>
        <w:br/>
      </w:r>
      <w:r>
        <w:rPr>
          <w:rStyle w:val="VerbatimChar"/>
        </w:rPr>
        <w:t xml:space="preserve">##   CA2017 du Pays Voironnais                  0  0 24  0  7</w:t>
      </w:r>
      <w:r>
        <w:br/>
      </w:r>
      <w:r>
        <w:rPr>
          <w:rStyle w:val="VerbatimChar"/>
        </w:rPr>
        <w:t xml:space="preserve">##   CC2017 le Grésivaudan                      0  1 32  7  3</w:t>
      </w:r>
      <w:r>
        <w:br/>
      </w:r>
      <w:r>
        <w:rPr>
          <w:rStyle w:val="VerbatimChar"/>
        </w:rPr>
        <w:t xml:space="preserve">##   CU2017 Métropole Grenoble-Alpes-Métropole  1  1 23  9 14</w:t>
      </w:r>
    </w:p>
    <w:p>
      <w:pPr>
        <w:pStyle w:val="FirstParagraph"/>
      </w:pPr>
      <w:r>
        <w:t xml:space="preserve">Les groupes ne correspondents pas aux territoires</w:t>
      </w:r>
    </w:p>
    <w:p>
      <w:pPr>
        <w:pStyle w:val="BodyText"/>
      </w:pPr>
      <w:r>
        <w:t xml:space="preserve">Variable qui se ressemblent fortement :</w:t>
      </w:r>
      <w:r>
        <w:t xml:space="preserve"> </w:t>
      </w:r>
      <w:r>
        <w:t xml:space="preserve">Densité pop / nb_menages_fiscaux / nb_personnes_menages_fiscaux : garder densité pop</w:t>
      </w:r>
      <w:r>
        <w:t xml:space="preserve"> </w:t>
      </w:r>
      <w:r>
        <w:t xml:space="preserve">Part_résidences_principales_loc / part_maisons : garder part maison</w:t>
      </w:r>
      <w:r>
        <w:t xml:space="preserve"> </w:t>
      </w:r>
      <w:r>
        <w:t xml:space="preserve">nb_maisons_2020 / objectifs_2022 / changment_2023 et un peu nb dossier : enlever chgment 2023, ratio objectif / nb_maison, garder nb maison</w:t>
      </w:r>
      <w:r>
        <w:t xml:space="preserve"> </w:t>
      </w:r>
      <w:r>
        <w:t xml:space="preserve">3 taux de dossiers : maisons / menages / habitants : garder par habitants</w:t>
      </w:r>
    </w:p>
    <w:p>
      <w:pPr>
        <w:pStyle w:val="BodyText"/>
      </w:pPr>
      <w:r>
        <w:rPr>
          <w:bCs/>
          <w:b/>
        </w:rPr>
        <w:t xml:space="preserve">Tests corrélation variables quantitatives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communes</dc:title>
  <dc:creator>Gabriel Macé</dc:creator>
  <cp:keywords/>
  <dcterms:created xsi:type="dcterms:W3CDTF">2024-06-17T15:07:32Z</dcterms:created>
  <dcterms:modified xsi:type="dcterms:W3CDTF">2024-06-17T15:07:32Z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2024-06-14</vt:lpwstr>
  </property>
  <property fmtid="{D5CDD505-2E9C-101B-9397-08002B2CF9AE}" pid="3" name="output">
    <vt:lpwstr/>
  </property>
</Properties>
</file>