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pPr>
      <w:r>
        <w:rPr>
          <w:b/>
          <w:bCs/>
          <w:color w:val="1F3A5F"/>
          <w:sz w:val="56"/>
          <w:szCs w:val="56"/>
        </w:rPr>
        <w:t xml:space="preserve">SUIVI DES MAILLES</w:t>
      </w:r>
    </w:p>
    <w:p>
      <w:pPr>
        <w:pBdr>
          <w:bottom w:val="single" w:color="1F5FD1" w:sz="18" w:space="8"/>
        </w:pBdr>
        <w:spacing w:after="360"/>
      </w:pPr>
      <w:r>
        <w:rPr>
          <w:color w:val="1F5FD1"/>
          <w:sz w:val="36"/>
          <w:szCs w:val="36"/>
        </w:rPr>
        <w:t xml:space="preserve">Guide utilisateur</w:t>
      </w:r>
    </w:p>
    <w:p>
      <w:pPr>
        <w:spacing w:after="1600"/>
      </w:pPr>
      <w:r>
        <w:rPr>
          <w:color w:val="5D6779"/>
          <w:sz w:val="26"/>
          <w:szCs w:val="26"/>
        </w:rPr>
        <w:t xml:space="preserve">Gestion des sociétés, chaîne de mise à jour des mailles et traitement des statuts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rPr>
                <w:b/>
                <w:bCs/>
                <w:color w:val="5D6779"/>
              </w:rPr>
              <w:t xml:space="preserve">Application</w:t>
            </w:r>
          </w:p>
        </w:tc>
        <w:tc>
          <w:tcPr>
            <w:tcW w:type="dxa" w:w="38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Suivi des mailles</w:t>
            </w:r>
          </w:p>
        </w:tc>
      </w:tr>
      <w:tr>
        <w:tc>
          <w:tcPr>
            <w:tcW w:type="dxa" w:w="22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rPr>
                <w:b/>
                <w:bCs/>
                <w:color w:val="5D6779"/>
              </w:rPr>
              <w:t xml:space="preserve">Version du guide</w:t>
            </w:r>
          </w:p>
        </w:tc>
        <w:tc>
          <w:tcPr>
            <w:tcW w:type="dxa" w:w="38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1.0</w:t>
            </w:r>
          </w:p>
        </w:tc>
      </w:tr>
      <w:tr>
        <w:tc>
          <w:tcPr>
            <w:tcW w:type="dxa" w:w="22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rPr>
                <w:b/>
                <w:bCs/>
                <w:color w:val="5D6779"/>
              </w:rPr>
              <w:t xml:space="preserve">Date</w:t>
            </w:r>
          </w:p>
        </w:tc>
        <w:tc>
          <w:tcPr>
            <w:tcW w:type="dxa" w:w="38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19 octobre 2026</w:t>
            </w:r>
          </w:p>
        </w:tc>
      </w:tr>
      <w:tr>
        <w:tc>
          <w:tcPr>
            <w:tcW w:type="dxa" w:w="22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rPr>
                <w:b/>
                <w:bCs/>
                <w:color w:val="5D6779"/>
              </w:rPr>
              <w:t xml:space="preserve">Public</w:t>
            </w:r>
          </w:p>
        </w:tc>
        <w:tc>
          <w:tcPr>
            <w:tcW w:type="dxa" w:w="38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Utilisateurs chargés de la qualification des mailles</w:t>
            </w:r>
          </w:p>
        </w:tc>
      </w:tr>
      <w:tr>
        <w:tc>
          <w:tcPr>
            <w:tcW w:type="dxa" w:w="22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rPr>
                <w:b/>
                <w:bCs/>
                <w:color w:val="5D6779"/>
              </w:rPr>
              <w:t xml:space="preserve">Adresse</w:t>
            </w:r>
          </w:p>
        </w:tc>
        <w:tc>
          <w:tcPr>
            <w:tcW w:type="dxa" w:w="38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http://localhost:8082/ (serveur applicatif)</w:t>
            </w:r>
          </w:p>
        </w:tc>
      </w:tr>
    </w:tbl>
    <w:p>
      <w:r>
        <w:br w:type="page"/>
      </w:r>
    </w:p>
    <w:p>
      <w:pPr>
        <w:spacing w:after="240"/>
      </w:pPr>
      <w:r>
        <w:rPr>
          <w:b/>
          <w:bCs/>
          <w:color w:val="1F3A5F"/>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before="200"/>
      </w:pPr>
      <w:r>
        <w:rPr>
          <w:i/>
          <w:iCs/>
          <w:color w:val="5D6779"/>
          <w:sz w:val="18"/>
          <w:szCs w:val="18"/>
        </w:rPr>
        <w:t xml:space="preserve">Si le sommaire est vide, faites un clic droit dessus puis « Mettre à jour les champs ».</w:t>
      </w:r>
    </w:p>
    <w:p>
      <w:pPr>
        <w:pStyle w:val="Heading1"/>
        <w:pageBreakBefore/>
      </w:pPr>
      <w:r>
        <w:t xml:space="preserve">1. Présentation de l'application</w:t>
      </w:r>
    </w:p>
    <w:p>
      <w:pPr>
        <w:pStyle w:val="Heading2"/>
      </w:pPr>
      <w:r>
        <w:t xml:space="preserve">1.1 Objet</w:t>
      </w:r>
    </w:p>
    <w:p>
      <w:pPr>
        <w:spacing w:after="120" w:line="288"/>
      </w:pPr>
      <w:r>
        <w:t xml:space="preserve">L'application </w:t>
      </w:r>
      <w:r>
        <w:rPr>
          <w:b/>
          <w:bCs/>
        </w:rPr>
        <w:t xml:space="preserve">Suivi des mailles</w:t>
      </w:r>
      <w:r>
        <w:t xml:space="preserve"> recense, pour chaque société identifiée par son SIREN, ses </w:t>
      </w:r>
      <w:r>
        <w:rPr>
          <w:b/>
          <w:bCs/>
        </w:rPr>
        <w:t xml:space="preserve">mailles</w:t>
      </w:r>
      <w:r>
        <w:t xml:space="preserve">, c'est-à-dire ses adresses de facturation électronique publiées dans l'annuaire de la facturation électronique (Chorus Pro). Elle permet de qualifier chaque maille : une maille découverte est d'abord </w:t>
      </w:r>
      <w:r>
        <w:rPr>
          <w:b/>
          <w:bCs/>
        </w:rPr>
        <w:t xml:space="preserve">Nouvelle</w:t>
      </w:r>
      <w:r>
        <w:t xml:space="preserve">, puis elle est déclarée </w:t>
      </w:r>
      <w:r>
        <w:rPr>
          <w:b/>
          <w:bCs/>
        </w:rPr>
        <w:t xml:space="preserve">Légitime</w:t>
      </w:r>
      <w:r>
        <w:t xml:space="preserve"> ou </w:t>
      </w:r>
      <w:r>
        <w:rPr>
          <w:b/>
          <w:bCs/>
        </w:rPr>
        <w:t xml:space="preserve">Non légitime</w:t>
      </w:r>
      <w:r>
        <w:t xml:space="preserve"> après analyse.</w:t>
      </w:r>
    </w:p>
    <w:p>
      <w:pPr>
        <w:spacing w:after="120" w:line="288"/>
      </w:pPr>
      <w:r>
        <w:t xml:space="preserve">Le guide décrit les trois activités de l'utilisateur :</w:t>
      </w:r>
    </w:p>
    <w:p>
      <w:pPr>
        <w:pStyle w:val="ListParagraph"/>
        <w:numPr>
          <w:ilvl w:val="0"/>
          <w:numId w:val="2"/>
        </w:numPr>
        <w:spacing w:after="60" w:line="276"/>
      </w:pPr>
      <w:r>
        <w:rPr>
          <w:b/>
          <w:bCs/>
        </w:rPr>
        <w:t xml:space="preserve">la gestion des sociétés</w:t>
      </w:r>
      <w:r>
        <w:t xml:space="preserve"> : tenir à jour le nom de chaque société rattachée à un SIREN ;</w:t>
      </w:r>
    </w:p>
    <w:p>
      <w:pPr>
        <w:pStyle w:val="ListParagraph"/>
        <w:numPr>
          <w:ilvl w:val="0"/>
          <w:numId w:val="2"/>
        </w:numPr>
        <w:spacing w:after="60" w:line="276"/>
      </w:pPr>
      <w:r>
        <w:rPr>
          <w:b/>
          <w:bCs/>
        </w:rPr>
        <w:t xml:space="preserve">la chaîne de mise à jour</w:t>
      </w:r>
      <w:r>
        <w:t xml:space="preserve"> : rechercher dans l'annuaire les adresses de facturation des SIREN suivis et intégrer les nouvelles mailles ;</w:t>
      </w:r>
    </w:p>
    <w:p>
      <w:pPr>
        <w:pStyle w:val="ListParagraph"/>
        <w:numPr>
          <w:ilvl w:val="0"/>
          <w:numId w:val="2"/>
        </w:numPr>
        <w:spacing w:after="60" w:line="276"/>
      </w:pPr>
      <w:r>
        <w:rPr>
          <w:b/>
          <w:bCs/>
        </w:rPr>
        <w:t xml:space="preserve">le traitement des mailles</w:t>
      </w:r>
      <w:r>
        <w:t xml:space="preserve"> : qualifier chaque maille nouvelle.</w:t>
      </w:r>
    </w:p>
    <w:p>
      <w:pPr>
        <w:pStyle w:val="Heading2"/>
      </w:pPr>
      <w:r>
        <w:t xml:space="preserve">1.2 Accès</w:t>
      </w:r>
    </w:p>
    <w:p>
      <w:pPr>
        <w:spacing w:after="120" w:line="288"/>
      </w:pPr>
      <w:r>
        <w:t xml:space="preserve">L'application est installée sur le serveur applicatif et s'ouvre dans un navigateur web (Edge, Chrome ou Firefox) à l'adresse </w:t>
      </w:r>
      <w:r>
        <w:rPr>
          <w:rFonts w:ascii="Consolas" w:cs="Consolas" w:eastAsia="Consolas" w:hAnsi="Consolas"/>
          <w:color w:val="263238"/>
          <w:sz w:val="19"/>
          <w:szCs w:val="19"/>
        </w:rPr>
        <w:t xml:space="preserve">http://localhost:8082/</w:t>
      </w:r>
      <w:r>
        <w:t xml:space="preserve"> depuis le serveur. Aucune identification supplémentaire n'est demandée par l'application.</w:t>
      </w:r>
    </w:p>
    <w:p>
      <w:pPr>
        <w:pStyle w:val="Heading2"/>
      </w:pPr>
      <w:r>
        <w:t xml:space="preserve">1.3 Organisation de l'écran</w:t>
      </w:r>
    </w:p>
    <w:p>
      <w:pPr>
        <w:spacing w:after="120" w:line="288"/>
      </w:pPr>
      <w:r>
        <w:t xml:space="preserve">L'écran est organisé en trois onglets, affichés sous le titre de l'application :</w:t>
      </w:r>
    </w:p>
    <w:p>
      <w:pPr>
        <w:keepNext/>
        <w:spacing w:after="60" w:before="120"/>
        <w:jc w:val="center"/>
      </w:pPr>
      <w:r>
        <w:drawing>
          <wp:inline distT="0" distB="0" distL="0" distR="0">
            <wp:extent cx="2857500" cy="361950"/>
            <wp:effectExtent t="0" r="0" b="0" l="0"/>
            <wp:docPr id="1" name="onglets.png" descr="Les trois onglets de l'application" title="Les trois onglets de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
                    </a:xfrm>
                    <a:prstGeom prst="rect">
                      <a:avLst/>
                    </a:prstGeom>
                  </pic:spPr>
                </pic:pic>
              </a:graphicData>
            </a:graphic>
          </wp:inline>
        </w:drawing>
      </w:r>
    </w:p>
    <w:p>
      <w:pPr>
        <w:spacing w:after="200"/>
        <w:jc w:val="center"/>
      </w:pPr>
      <w:r>
        <w:rPr>
          <w:b/>
          <w:bCs/>
          <w:color w:val="5D6779"/>
          <w:sz w:val="18"/>
          <w:szCs w:val="18"/>
        </w:rPr>
        <w:t xml:space="preserve">Figure 1 – </w:t>
      </w:r>
      <w:r>
        <w:rPr>
          <w:i/>
          <w:iCs/>
          <w:color w:val="5D6779"/>
          <w:sz w:val="18"/>
          <w:szCs w:val="18"/>
        </w:rPr>
        <w:t xml:space="preserve">Les trois onglets de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338"/>
        <w:gridCol w:w="2400"/>
      </w:tblGrid>
      <w:tr>
        <w:trPr>
          <w:tblHeader/>
        </w:trPr>
        <w:tc>
          <w:tcPr>
            <w:tcW w:type="dxa" w:w="1900"/>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Onglet</w:t>
            </w:r>
          </w:p>
        </w:tc>
        <w:tc>
          <w:tcPr>
            <w:tcW w:type="dxa" w:w="5338"/>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Contenu</w:t>
            </w:r>
          </w:p>
        </w:tc>
        <w:tc>
          <w:tcPr>
            <w:tcW w:type="dxa" w:w="2400"/>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Partie du guide</w:t>
            </w:r>
          </w:p>
        </w:tc>
      </w:tr>
      <w:tr>
        <w:trPr>
          <w:cantSplit/>
        </w:trPr>
        <w:tc>
          <w:tcPr>
            <w:tcW w:type="dxa" w:w="19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rPr>
                <w:b/>
                <w:bCs/>
              </w:rPr>
              <w:t xml:space="preserve">Mailles</w:t>
            </w:r>
          </w:p>
        </w:tc>
        <w:tc>
          <w:tcPr>
            <w:tcW w:type="dxa" w:w="53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Répartition par statut, liste des mailles, filtres, changement de statut, suppression, export Excel.</w:t>
            </w:r>
          </w:p>
        </w:tc>
        <w:tc>
          <w:tcPr>
            <w:tcW w:type="dxa" w:w="24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4. Traitement des mailles</w:t>
            </w:r>
          </w:p>
        </w:tc>
      </w:tr>
      <w:tr>
        <w:trPr>
          <w:cantSplit/>
        </w:trPr>
        <w:tc>
          <w:tcPr>
            <w:tcW w:type="dxa" w:w="19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rPr>
                <w:b/>
                <w:bCs/>
              </w:rPr>
              <w:t xml:space="preserve">Sociétés</w:t>
            </w:r>
          </w:p>
        </w:tc>
        <w:tc>
          <w:tcPr>
            <w:tcW w:type="dxa" w:w="5338"/>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Référentiel des sociétés : un nom par SIREN, ajout et renommage.</w:t>
            </w:r>
          </w:p>
        </w:tc>
        <w:tc>
          <w:tcPr>
            <w:tcW w:type="dxa" w:w="24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2. Gestion des sociétés</w:t>
            </w:r>
          </w:p>
        </w:tc>
      </w:tr>
      <w:tr>
        <w:trPr>
          <w:cantSplit/>
        </w:trPr>
        <w:tc>
          <w:tcPr>
            <w:tcW w:type="dxa" w:w="19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rPr>
                <w:b/>
                <w:bCs/>
              </w:rPr>
              <w:t xml:space="preserve">Import / export</w:t>
            </w:r>
          </w:p>
        </w:tc>
        <w:tc>
          <w:tcPr>
            <w:tcW w:type="dxa" w:w="53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Export des SIREN, accès à l'annuaire de la facturation électronique, import des adresses de facturation.</w:t>
            </w:r>
          </w:p>
        </w:tc>
        <w:tc>
          <w:tcPr>
            <w:tcW w:type="dxa" w:w="24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3. Chaîne de mise à jour</w:t>
            </w:r>
          </w:p>
        </w:tc>
      </w:tr>
    </w:tbl>
    <w:p>
      <w:pPr>
        <w:spacing w:after="120"/>
      </w:pPr>
    </w:p>
    <w:p>
      <w:pPr>
        <w:pStyle w:val="Heading2"/>
      </w:pPr>
      <w:r>
        <w:t xml:space="preserve">1.4 Les trois statuts d'une maille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6238"/>
      </w:tblGrid>
      <w:tr>
        <w:trPr>
          <w:tblHeader/>
        </w:trPr>
        <w:tc>
          <w:tcPr>
            <w:tcW w:type="dxa" w:w="2000"/>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Statut</w:t>
            </w:r>
          </w:p>
        </w:tc>
        <w:tc>
          <w:tcPr>
            <w:tcW w:type="dxa" w:w="1400"/>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Couleur</w:t>
            </w:r>
          </w:p>
        </w:tc>
        <w:tc>
          <w:tcPr>
            <w:tcW w:type="dxa" w:w="6238"/>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Signification</w:t>
            </w:r>
          </w:p>
        </w:tc>
      </w:tr>
      <w:tr>
        <w:trPr>
          <w:cantSplit/>
        </w:trPr>
        <w:tc>
          <w:tcPr>
            <w:tcW w:type="dxa" w:w="2000"/>
            <w:tcBorders>
              <w:top w:val="single" w:color="C4CAD4" w:sz="4"/>
              <w:left w:val="single" w:color="C4CAD4" w:sz="4"/>
              <w:bottom w:val="single" w:color="C4CAD4" w:sz="4"/>
              <w:right w:val="single" w:color="C4CAD4" w:sz="4"/>
            </w:tcBorders>
            <w:shd w:fill="E6EEFC" w:color="auto" w:val="clear"/>
            <w:tcMar>
              <w:top w:type="dxa" w:w="80"/>
              <w:left w:type="dxa" w:w="120"/>
              <w:bottom w:type="dxa" w:w="80"/>
              <w:right w:type="dxa" w:w="120"/>
            </w:tcMar>
            <w:vAlign w:val="center"/>
          </w:tcPr>
          <w:p>
            <w:pPr>
              <w:spacing w:after="40"/>
            </w:pPr>
            <w:r>
              <w:rPr>
                <w:b/>
                <w:bCs/>
                <w:color w:val="1F5FD1"/>
              </w:rPr>
              <w:t xml:space="preserve">Nouveau</w:t>
            </w:r>
          </w:p>
        </w:tc>
        <w:tc>
          <w:tcPr>
            <w:tcW w:type="dxa" w:w="14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Bleu</w:t>
            </w:r>
          </w:p>
        </w:tc>
        <w:tc>
          <w:tcPr>
            <w:tcW w:type="dxa" w:w="62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Maille ajoutée par un import et pas encore analysée. C'est le statut de toute maille à son arrivée.</w:t>
            </w:r>
          </w:p>
        </w:tc>
      </w:tr>
      <w:tr>
        <w:trPr>
          <w:cantSplit/>
        </w:trPr>
        <w:tc>
          <w:tcPr>
            <w:tcW w:type="dxa" w:w="2000"/>
            <w:tcBorders>
              <w:top w:val="single" w:color="C4CAD4" w:sz="4"/>
              <w:left w:val="single" w:color="C4CAD4" w:sz="4"/>
              <w:bottom w:val="single" w:color="C4CAD4" w:sz="4"/>
              <w:right w:val="single" w:color="C4CAD4" w:sz="4"/>
            </w:tcBorders>
            <w:shd w:fill="E3F3E9" w:color="auto" w:val="clear"/>
            <w:tcMar>
              <w:top w:type="dxa" w:w="80"/>
              <w:left w:type="dxa" w:w="120"/>
              <w:bottom w:type="dxa" w:w="80"/>
              <w:right w:type="dxa" w:w="120"/>
            </w:tcMar>
            <w:vAlign w:val="center"/>
          </w:tcPr>
          <w:p>
            <w:pPr>
              <w:spacing w:after="40"/>
            </w:pPr>
            <w:r>
              <w:rPr>
                <w:b/>
                <w:bCs/>
                <w:color w:val="1D7A45"/>
              </w:rPr>
              <w:t xml:space="preserve">Légitime</w:t>
            </w:r>
          </w:p>
        </w:tc>
        <w:tc>
          <w:tcPr>
            <w:tcW w:type="dxa" w:w="14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Vert</w:t>
            </w:r>
          </w:p>
        </w:tc>
        <w:tc>
          <w:tcPr>
            <w:tcW w:type="dxa" w:w="6238"/>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Maille analysée et reconnue comme une adresse de facturation valable pour la société.</w:t>
            </w:r>
          </w:p>
        </w:tc>
      </w:tr>
      <w:tr>
        <w:trPr>
          <w:cantSplit/>
        </w:trPr>
        <w:tc>
          <w:tcPr>
            <w:tcW w:type="dxa" w:w="2000"/>
            <w:tcBorders>
              <w:top w:val="single" w:color="C4CAD4" w:sz="4"/>
              <w:left w:val="single" w:color="C4CAD4" w:sz="4"/>
              <w:bottom w:val="single" w:color="C4CAD4" w:sz="4"/>
              <w:right w:val="single" w:color="C4CAD4" w:sz="4"/>
            </w:tcBorders>
            <w:shd w:fill="FBE8E6" w:color="auto" w:val="clear"/>
            <w:tcMar>
              <w:top w:type="dxa" w:w="80"/>
              <w:left w:type="dxa" w:w="120"/>
              <w:bottom w:type="dxa" w:w="80"/>
              <w:right w:type="dxa" w:w="120"/>
            </w:tcMar>
            <w:vAlign w:val="center"/>
          </w:tcPr>
          <w:p>
            <w:pPr>
              <w:spacing w:after="40"/>
            </w:pPr>
            <w:r>
              <w:rPr>
                <w:b/>
                <w:bCs/>
                <w:color w:val="C0322B"/>
              </w:rPr>
              <w:t xml:space="preserve">Non légitime</w:t>
            </w:r>
          </w:p>
        </w:tc>
        <w:tc>
          <w:tcPr>
            <w:tcW w:type="dxa" w:w="14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Rouge</w:t>
            </w:r>
          </w:p>
        </w:tc>
        <w:tc>
          <w:tcPr>
            <w:tcW w:type="dxa" w:w="62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Maille analysée et non reconnue pour la société. Elle reste dans la liste pour garder la trace de la décision.</w:t>
            </w:r>
          </w:p>
        </w:tc>
      </w:tr>
    </w:tbl>
    <w:p>
      <w:pPr>
        <w:spacing w:after="120"/>
      </w:pPr>
    </w:p>
    <w:p>
      <w:pPr>
        <w:pStyle w:val="Heading2"/>
      </w:pPr>
      <w:r>
        <w:t xml:space="preserve">1.5 Enregistrement des modifications</w:t>
      </w:r>
    </w:p>
    <w:p>
      <w:pPr>
        <w:spacing w:after="120" w:line="288"/>
      </w:pPr>
      <w:r>
        <w:t xml:space="preserve">Il n'y a pas de bouton « Enregistrer » : chaque action (changement de statut, nom de société, ajout, suppression, import) est enregistrée immédiatement sur le serveur. Un message de confirmation s'affiche quelques secondes en bas de l'écran. Les autres utilisateurs voient la modification en rechargeant la page (touche F5).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E8EEF8" w:sz="4"/>
              <w:left w:val="single" w:color="1F5FD1" w:sz="24"/>
              <w:bottom w:val="single" w:color="E8EEF8" w:sz="4"/>
              <w:right w:val="single" w:color="E8EEF8" w:sz="4"/>
            </w:tcBorders>
            <w:shd w:fill="E8EEF8" w:color="auto" w:val="clear"/>
            <w:tcMar>
              <w:top w:type="dxa" w:w="120"/>
              <w:left w:type="dxa" w:w="200"/>
              <w:bottom w:type="dxa" w:w="120"/>
              <w:right w:type="dxa" w:w="200"/>
            </w:tcMar>
          </w:tcPr>
          <w:p>
            <w:pPr>
              <w:spacing w:after="60"/>
            </w:pPr>
            <w:r>
              <w:rPr>
                <w:b/>
                <w:bCs/>
                <w:color w:val="1F5FD1"/>
              </w:rPr>
              <w:t xml:space="preserve">En cas d'erreur</w:t>
            </w:r>
          </w:p>
          <w:p>
            <w:pPr>
              <w:spacing w:after="60" w:line="276"/>
            </w:pPr>
            <w:r>
              <w:t xml:space="preserve">Si le serveur refuse une modification, un message l'indique en bas de l'écran et la valeur précédente est rétablie : rien n'est enregistré à moitié. Rechargez la page puis recommencez ; si le problème persiste, contactez l'administrateur de l'application.</w:t>
            </w:r>
          </w:p>
        </w:tc>
      </w:tr>
    </w:tbl>
    <w:p>
      <w:pPr>
        <w:pStyle w:val="Heading1"/>
        <w:pageBreakBefore/>
      </w:pPr>
      <w:r>
        <w:t xml:space="preserve">2. Gestion des sociétés</w:t>
      </w:r>
    </w:p>
    <w:p>
      <w:pPr>
        <w:pStyle w:val="Heading2"/>
      </w:pPr>
      <w:r>
        <w:t xml:space="preserve">2.1 Rôle du référentiel des sociétés</w:t>
      </w:r>
    </w:p>
    <w:p>
      <w:pPr>
        <w:spacing w:after="120" w:line="288"/>
      </w:pPr>
      <w:r>
        <w:t xml:space="preserve">L'onglet </w:t>
      </w:r>
      <w:r>
        <w:rPr>
          <w:b/>
          <w:bCs/>
        </w:rPr>
        <w:t xml:space="preserve">Sociétés</w:t>
      </w:r>
      <w:r>
        <w:t xml:space="preserve"> est le référentiel des sociétés suivies : il associe </w:t>
      </w:r>
      <w:r>
        <w:rPr>
          <w:b/>
          <w:bCs/>
        </w:rPr>
        <w:t xml:space="preserve">un nom à chaque SIREN</w:t>
      </w:r>
      <w:r>
        <w:t xml:space="preserve">. Ce nom est utilisé partout dans l'application :</w:t>
      </w:r>
    </w:p>
    <w:p>
      <w:pPr>
        <w:pStyle w:val="ListParagraph"/>
        <w:numPr>
          <w:ilvl w:val="0"/>
          <w:numId w:val="2"/>
        </w:numPr>
        <w:spacing w:after="60" w:line="276"/>
      </w:pPr>
      <w:r>
        <w:t xml:space="preserve">il est </w:t>
      </w:r>
      <w:r>
        <w:rPr>
          <w:b/>
          <w:bCs/>
        </w:rPr>
        <w:t xml:space="preserve">reporté automatiquement sur toutes les mailles</w:t>
      </w:r>
      <w:r>
        <w:t xml:space="preserve"> du SIREN, dans la colonne Société de l'onglet Mailles ;</w:t>
      </w:r>
    </w:p>
    <w:p>
      <w:pPr>
        <w:pStyle w:val="ListParagraph"/>
        <w:numPr>
          <w:ilvl w:val="0"/>
          <w:numId w:val="2"/>
        </w:numPr>
        <w:spacing w:after="60" w:line="276"/>
      </w:pPr>
      <w:r>
        <w:t xml:space="preserve">les mailles ajoutées plus tard pour ce SIREN (voir partie 3) </w:t>
      </w:r>
      <w:r>
        <w:rPr>
          <w:b/>
          <w:bCs/>
        </w:rPr>
        <w:t xml:space="preserve">reprennent ce nom dès leur arrivée</w:t>
      </w:r>
      <w:r>
        <w:t xml:space="preserve"> ;</w:t>
      </w:r>
    </w:p>
    <w:p>
      <w:pPr>
        <w:pStyle w:val="ListParagraph"/>
        <w:numPr>
          <w:ilvl w:val="0"/>
          <w:numId w:val="2"/>
        </w:numPr>
        <w:spacing w:after="60" w:line="276"/>
      </w:pPr>
      <w:r>
        <w:t xml:space="preserve">chaque SIREN du référentiel est inclus dans le fichier </w:t>
      </w:r>
      <w:r>
        <w:rPr>
          <w:rFonts w:ascii="Consolas" w:cs="Consolas" w:eastAsia="Consolas" w:hAnsi="Consolas"/>
          <w:color w:val="263238"/>
          <w:sz w:val="19"/>
          <w:szCs w:val="19"/>
        </w:rPr>
        <w:t xml:space="preserve">siren.csv</w:t>
      </w:r>
      <w:r>
        <w:t xml:space="preserve"> envoyé à l'annuaire, même s'il n'a encore aucune maille.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E8EEF8" w:sz="4"/>
              <w:left w:val="single" w:color="1F5FD1" w:sz="24"/>
              <w:bottom w:val="single" w:color="E8EEF8" w:sz="4"/>
              <w:right w:val="single" w:color="E8EEF8" w:sz="4"/>
            </w:tcBorders>
            <w:shd w:fill="E8EEF8" w:color="auto" w:val="clear"/>
            <w:tcMar>
              <w:top w:type="dxa" w:w="120"/>
              <w:left w:type="dxa" w:w="200"/>
              <w:bottom w:type="dxa" w:w="120"/>
              <w:right w:type="dxa" w:w="200"/>
            </w:tcMar>
          </w:tcPr>
          <w:p>
            <w:pPr>
              <w:spacing w:after="60"/>
            </w:pPr>
            <w:r>
              <w:rPr>
                <w:b/>
                <w:bCs/>
                <w:color w:val="1F5FD1"/>
              </w:rPr>
              <w:t xml:space="preserve">À retenir</w:t>
            </w:r>
          </w:p>
          <w:p>
            <w:pPr>
              <w:spacing w:after="60" w:line="276"/>
            </w:pPr>
            <w:r>
              <w:t xml:space="preserve">Le nom d'une société se saisit </w:t>
            </w:r>
            <w:r>
              <w:rPr>
                <w:b/>
                <w:bCs/>
              </w:rPr>
              <w:t xml:space="preserve">une seule fois</w:t>
            </w:r>
            <w:r>
              <w:t xml:space="preserve">, dans l'onglet Sociétés. Il ne se modifie jamais maille par maille.</w:t>
            </w:r>
          </w:p>
        </w:tc>
      </w:tr>
    </w:tbl>
    <w:p>
      <w:pPr>
        <w:spacing w:after="120"/>
      </w:pPr>
    </w:p>
    <w:p>
      <w:pPr>
        <w:pStyle w:val="Heading2"/>
      </w:pPr>
      <w:r>
        <w:t xml:space="preserve">2.2 Consulter la liste des sociétés</w:t>
      </w:r>
    </w:p>
    <w:p>
      <w:pPr>
        <w:spacing w:after="120" w:line="288"/>
      </w:pPr>
      <w:r>
        <w:t xml:space="preserve">Cliquez sur l'onglet </w:t>
      </w:r>
      <w:r>
        <w:rPr>
          <w:b/>
          <w:bCs/>
        </w:rPr>
        <w:t xml:space="preserve">Sociétés</w:t>
      </w:r>
      <w:r>
        <w:t xml:space="preserve">. La liste affiche une ligne par SIREN :</w:t>
      </w:r>
    </w:p>
    <w:p>
      <w:pPr>
        <w:keepNext/>
        <w:spacing w:after="60" w:before="120"/>
        <w:jc w:val="center"/>
      </w:pPr>
      <w:r>
        <w:drawing>
          <wp:inline distT="0" distB="0" distL="0" distR="0">
            <wp:extent cx="5905500" cy="1819275"/>
            <wp:effectExtent t="0" r="0" b="0" l="0"/>
            <wp:docPr id="1" name="soc-liste.png" descr="Liste des sociétés" title="Liste des soc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819275"/>
                    </a:xfrm>
                    <a:prstGeom prst="rect">
                      <a:avLst/>
                    </a:prstGeom>
                  </pic:spPr>
                </pic:pic>
              </a:graphicData>
            </a:graphic>
          </wp:inline>
        </w:drawing>
      </w:r>
    </w:p>
    <w:p>
      <w:pPr>
        <w:spacing w:after="200"/>
        <w:jc w:val="center"/>
      </w:pPr>
      <w:r>
        <w:rPr>
          <w:b/>
          <w:bCs/>
          <w:color w:val="5D6779"/>
          <w:sz w:val="18"/>
          <w:szCs w:val="18"/>
        </w:rPr>
        <w:t xml:space="preserve">Figure 2 – </w:t>
      </w:r>
      <w:r>
        <w:rPr>
          <w:i/>
          <w:iCs/>
          <w:color w:val="5D6779"/>
          <w:sz w:val="18"/>
          <w:szCs w:val="18"/>
        </w:rPr>
        <w:t xml:space="preserve">Liste des sociétés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Colonne</w:t>
            </w:r>
          </w:p>
        </w:tc>
        <w:tc>
          <w:tcPr>
            <w:tcW w:type="dxa" w:w="7838"/>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Description</w:t>
            </w:r>
          </w:p>
        </w:tc>
      </w:tr>
      <w:tr>
        <w:trPr>
          <w:cantSplit/>
        </w:trPr>
        <w:tc>
          <w:tcPr>
            <w:tcW w:type="dxa" w:w="18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Société</w:t>
            </w:r>
          </w:p>
        </w:tc>
        <w:tc>
          <w:tcPr>
            <w:tcW w:type="dxa" w:w="78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Nom de la société, modifiable directement dans la liste. « Saisir le nom de la société » s'affiche en gris quand le nom n'est pas encore renseigné.</w:t>
            </w:r>
          </w:p>
        </w:tc>
      </w:tr>
      <w:tr>
        <w:trPr>
          <w:cantSplit/>
        </w:trPr>
        <w:tc>
          <w:tcPr>
            <w:tcW w:type="dxa" w:w="18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SIREN</w:t>
            </w:r>
          </w:p>
        </w:tc>
        <w:tc>
          <w:tcPr>
            <w:tcW w:type="dxa" w:w="7838"/>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Numéro SIREN à 9 chiffres, affiché par groupes de trois chiffres pour faciliter la lecture (055 804 124).</w:t>
            </w:r>
          </w:p>
        </w:tc>
      </w:tr>
      <w:tr>
        <w:trPr>
          <w:cantSplit/>
        </w:trPr>
        <w:tc>
          <w:tcPr>
            <w:tcW w:type="dxa" w:w="18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Mailles</w:t>
            </w:r>
          </w:p>
        </w:tc>
        <w:tc>
          <w:tcPr>
            <w:tcW w:type="dxa" w:w="78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Nombre de mailles rattachées au SIREN. Le lien ouvre l'onglet Mailles filtré sur ce SIREN. « Aucune » : société suivie pour laquelle aucune maille n'a encore été trouvée.</w:t>
            </w:r>
          </w:p>
        </w:tc>
      </w:tr>
    </w:tbl>
    <w:p>
      <w:pPr>
        <w:spacing w:after="120"/>
      </w:pPr>
    </w:p>
    <w:p>
      <w:pPr>
        <w:spacing w:after="120" w:line="288"/>
      </w:pPr>
      <w:r>
        <w:t xml:space="preserve">En haut de la liste, le compteur indique le nombre total de sociétés et le nombre de sociétés </w:t>
      </w:r>
      <w:r>
        <w:rPr>
          <w:b/>
          <w:bCs/>
        </w:rPr>
        <w:t xml:space="preserve">sans nom</w:t>
      </w:r>
      <w:r>
        <w:t xml:space="preserve">, par exemple « 3 sociétés, dont 1 sans nom ». Les sociétés nommées sont classées par ordre alphabétique ; les sociétés sans nom apparaissent en fin de liste, pour être repérées facilement.</w:t>
      </w:r>
    </w:p>
    <w:p>
      <w:pPr>
        <w:spacing w:after="120" w:line="288"/>
      </w:pPr>
      <w:r>
        <w:t xml:space="preserve">Un SIREN apparaît dans la liste dès qu'il est saisi dans l'onglet Sociétés </w:t>
      </w:r>
      <w:r>
        <w:rPr>
          <w:b/>
          <w:bCs/>
        </w:rPr>
        <w:t xml:space="preserve">ou</w:t>
      </w:r>
      <w:r>
        <w:t xml:space="preserve"> qu'une maille de ce SIREN a été importée. Un SIREN arrivé par l'import des adresses de facturation apparaît donc d'abord </w:t>
      </w:r>
      <w:r>
        <w:rPr>
          <w:b/>
          <w:bCs/>
        </w:rPr>
        <w:t xml:space="preserve">sans nom</w:t>
      </w:r>
      <w:r>
        <w:t xml:space="preserve"> : c'est le signal qu'il faut le renseigner.</w:t>
      </w:r>
    </w:p>
    <w:p>
      <w:pPr>
        <w:pStyle w:val="Heading2"/>
      </w:pPr>
      <w:r>
        <w:t xml:space="preserve">2.3 Rechercher une société</w:t>
      </w:r>
    </w:p>
    <w:p>
      <w:pPr>
        <w:spacing w:after="120" w:line="288"/>
      </w:pPr>
      <w:r>
        <w:t xml:space="preserve">Sous les en-têtes Société et SIREN, les champs </w:t>
      </w:r>
      <w:r>
        <w:rPr>
          <w:b/>
          <w:bCs/>
        </w:rPr>
        <w:t xml:space="preserve">Filtrer…</w:t>
      </w:r>
      <w:r>
        <w:t xml:space="preserve"> restreignent la liste au fur et à mesure de la saisie :</w:t>
      </w:r>
    </w:p>
    <w:p>
      <w:pPr>
        <w:pStyle w:val="ListParagraph"/>
        <w:numPr>
          <w:ilvl w:val="0"/>
          <w:numId w:val="2"/>
        </w:numPr>
        <w:spacing w:after="60" w:line="276"/>
      </w:pPr>
      <w:r>
        <w:t xml:space="preserve">le filtre </w:t>
      </w:r>
      <w:r>
        <w:rPr>
          <w:b/>
          <w:bCs/>
        </w:rPr>
        <w:t xml:space="preserve">Société</w:t>
      </w:r>
      <w:r>
        <w:t xml:space="preserve"> ne tient compte ni des majuscules ni des accents : « societe » trouve « Société exemple 1 » ;</w:t>
      </w:r>
    </w:p>
    <w:p>
      <w:pPr>
        <w:pStyle w:val="ListParagraph"/>
        <w:numPr>
          <w:ilvl w:val="0"/>
          <w:numId w:val="2"/>
        </w:numPr>
        <w:spacing w:after="60" w:line="276"/>
      </w:pPr>
      <w:r>
        <w:t xml:space="preserve">le filtre </w:t>
      </w:r>
      <w:r>
        <w:rPr>
          <w:b/>
          <w:bCs/>
        </w:rPr>
        <w:t xml:space="preserve">SIREN</w:t>
      </w:r>
      <w:r>
        <w:t xml:space="preserve"> accepte le numéro avec ou sans espaces, complet ou partiel : « 414 70 » ou « 41470 » ;</w:t>
      </w:r>
    </w:p>
    <w:p>
      <w:pPr>
        <w:pStyle w:val="ListParagraph"/>
        <w:numPr>
          <w:ilvl w:val="0"/>
          <w:numId w:val="2"/>
        </w:numPr>
        <w:spacing w:after="60" w:line="276"/>
      </w:pPr>
      <w:r>
        <w:t xml:space="preserve">les deux filtres se combinent ; le compteur indique alors le nombre de sociétés affichées.</w:t>
      </w:r>
    </w:p>
    <w:p>
      <w:pPr>
        <w:spacing w:after="120" w:line="288"/>
      </w:pPr>
      <w:r>
        <w:t xml:space="preserve">Pour revenir à la liste complète, videz les champs de filtre.</w:t>
      </w:r>
    </w:p>
    <w:p>
      <w:pPr>
        <w:pStyle w:val="Heading2"/>
      </w:pPr>
      <w:r>
        <w:t xml:space="preserve">2.4 Ajouter une société</w:t>
      </w:r>
    </w:p>
    <w:p>
      <w:pPr>
        <w:spacing w:after="120" w:line="288"/>
      </w:pPr>
      <w:r>
        <w:t xml:space="preserve">Ajoutez une société pour la suivre avant même qu'une maille ne soit trouvée : elle sera incluse dans la prochaine recherche dans l'annuaire.</w:t>
      </w:r>
    </w:p>
    <w:p>
      <w:pPr>
        <w:pStyle w:val="ListParagraph"/>
        <w:numPr>
          <w:ilvl w:val="0"/>
          <w:numId w:val="3"/>
        </w:numPr>
        <w:spacing w:after="80" w:line="276"/>
      </w:pPr>
      <w:r>
        <w:t xml:space="preserve">Dans la ligne d'ajout au-dessus de la liste, saisissez le </w:t>
      </w:r>
      <w:r>
        <w:rPr>
          <w:b/>
          <w:bCs/>
        </w:rPr>
        <w:t xml:space="preserve">nom de la société</w:t>
      </w:r>
      <w:r>
        <w:t xml:space="preserve"> dans le premier champ.</w:t>
      </w:r>
    </w:p>
    <w:p>
      <w:pPr>
        <w:pStyle w:val="ListParagraph"/>
        <w:numPr>
          <w:ilvl w:val="0"/>
          <w:numId w:val="3"/>
        </w:numPr>
        <w:spacing w:after="80" w:line="276"/>
      </w:pPr>
      <w:r>
        <w:t xml:space="preserve">Saisissez le </w:t>
      </w:r>
      <w:r>
        <w:rPr>
          <w:b/>
          <w:bCs/>
        </w:rPr>
        <w:t xml:space="preserve">SIREN</w:t>
      </w:r>
      <w:r>
        <w:t xml:space="preserve"> dans le second champ : 9 chiffres, avec ou sans espaces.</w:t>
      </w:r>
    </w:p>
    <w:p>
      <w:pPr>
        <w:pStyle w:val="ListParagraph"/>
        <w:numPr>
          <w:ilvl w:val="0"/>
          <w:numId w:val="3"/>
        </w:numPr>
        <w:spacing w:after="80" w:line="276"/>
      </w:pPr>
      <w:r>
        <w:t xml:space="preserve">Cliquez sur </w:t>
      </w:r>
      <w:r>
        <w:rPr>
          <w:b/>
          <w:bCs/>
        </w:rPr>
        <w:t xml:space="preserve">Ajouter</w:t>
      </w:r>
      <w:r>
        <w:t xml:space="preserve"> (ou appuyez sur Entrée).</w:t>
      </w:r>
    </w:p>
    <w:p>
      <w:pPr>
        <w:pStyle w:val="ListParagraph"/>
        <w:numPr>
          <w:ilvl w:val="0"/>
          <w:numId w:val="3"/>
        </w:numPr>
        <w:spacing w:after="80" w:line="276"/>
      </w:pPr>
      <w:r>
        <w:t xml:space="preserve">Le message « Société … ajoutée » confirme l'enregistrement ; la société apparaît dans la liste avec « Aucune » dans la colonne Mailles.</w:t>
      </w:r>
    </w:p>
    <w:p>
      <w:pPr>
        <w:keepNext/>
        <w:spacing w:after="60" w:before="120"/>
        <w:jc w:val="center"/>
      </w:pPr>
      <w:r>
        <w:drawing>
          <wp:inline distT="0" distB="0" distL="0" distR="0">
            <wp:extent cx="5905500" cy="1552575"/>
            <wp:effectExtent t="0" r="0" b="0" l="0"/>
            <wp:docPr id="1" name="soc-ajout.png" descr="Saisie d'une nouvelle société" title="Saisie d'une nouvelle socié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552575"/>
                    </a:xfrm>
                    <a:prstGeom prst="rect">
                      <a:avLst/>
                    </a:prstGeom>
                  </pic:spPr>
                </pic:pic>
              </a:graphicData>
            </a:graphic>
          </wp:inline>
        </w:drawing>
      </w:r>
    </w:p>
    <w:p>
      <w:pPr>
        <w:spacing w:after="200"/>
        <w:jc w:val="center"/>
      </w:pPr>
      <w:r>
        <w:rPr>
          <w:b/>
          <w:bCs/>
          <w:color w:val="5D6779"/>
          <w:sz w:val="18"/>
          <w:szCs w:val="18"/>
        </w:rPr>
        <w:t xml:space="preserve">Figure 3 – </w:t>
      </w:r>
      <w:r>
        <w:rPr>
          <w:i/>
          <w:iCs/>
          <w:color w:val="5D6779"/>
          <w:sz w:val="18"/>
          <w:szCs w:val="18"/>
        </w:rPr>
        <w:t xml:space="preserve">Saisie d'une nouvelle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Situation</w:t>
            </w:r>
          </w:p>
        </w:tc>
        <w:tc>
          <w:tcPr>
            <w:tcW w:type="dxa" w:w="6638"/>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Comportement de l'application</w:t>
            </w:r>
          </w:p>
        </w:tc>
      </w:tr>
      <w:tr>
        <w:trPr>
          <w:cantSplit/>
        </w:trPr>
        <w:tc>
          <w:tcPr>
            <w:tcW w:type="dxa" w:w="30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Le SIREN n'a pas 9 chiffres</w:t>
            </w:r>
          </w:p>
        </w:tc>
        <w:tc>
          <w:tcPr>
            <w:tcW w:type="dxa" w:w="66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Message « Le SIREN doit comporter 9 chiffres. » ; rien n'est enregistré, corrigez la saisie.</w:t>
            </w:r>
          </w:p>
        </w:tc>
      </w:tr>
      <w:tr>
        <w:trPr>
          <w:cantSplit/>
        </w:trPr>
        <w:tc>
          <w:tcPr>
            <w:tcW w:type="dxa" w:w="30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Le nom est vide</w:t>
            </w:r>
          </w:p>
        </w:tc>
        <w:tc>
          <w:tcPr>
            <w:tcW w:type="dxa" w:w="6638"/>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Message « Saisissez le nom de la société. » ; rien n'est enregistré.</w:t>
            </w:r>
          </w:p>
        </w:tc>
      </w:tr>
      <w:tr>
        <w:trPr>
          <w:cantSplit/>
        </w:trPr>
        <w:tc>
          <w:tcPr>
            <w:tcW w:type="dxa" w:w="30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Le SIREN existe déjà</w:t>
            </w:r>
          </w:p>
        </w:tc>
        <w:tc>
          <w:tcPr>
            <w:tcW w:type="dxa" w:w="66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Pas de doublon : la société existante est renommée avec le nom saisi, et le message l'indique.</w:t>
            </w:r>
          </w:p>
        </w:tc>
      </w:tr>
    </w:tbl>
    <w:p>
      <w:pPr>
        <w:spacing w:after="120"/>
      </w:pPr>
    </w:p>
    <w:p>
      <w:pPr>
        <w:pStyle w:val="Heading2"/>
      </w:pPr>
      <w:r>
        <w:t xml:space="preserve">2.5 Renommer une société ou renseigner un nom manquant</w:t>
      </w:r>
    </w:p>
    <w:p>
      <w:pPr>
        <w:pStyle w:val="ListParagraph"/>
        <w:numPr>
          <w:ilvl w:val="0"/>
          <w:numId w:val="4"/>
        </w:numPr>
        <w:spacing w:after="80" w:line="276"/>
      </w:pPr>
      <w:r>
        <w:t xml:space="preserve">Cliquez sur le nom de la société dans la colonne </w:t>
      </w:r>
      <w:r>
        <w:rPr>
          <w:b/>
          <w:bCs/>
        </w:rPr>
        <w:t xml:space="preserve">Société</w:t>
      </w:r>
      <w:r>
        <w:t xml:space="preserve"> (ou sur « Saisir le nom de la société » s'il est vide). Le champ s'encadre en bleu.</w:t>
      </w:r>
    </w:p>
    <w:p>
      <w:pPr>
        <w:pStyle w:val="ListParagraph"/>
        <w:numPr>
          <w:ilvl w:val="0"/>
          <w:numId w:val="4"/>
        </w:numPr>
        <w:spacing w:after="80" w:line="276"/>
      </w:pPr>
      <w:r>
        <w:t xml:space="preserve">Saisissez ou corrigez le nom.</w:t>
      </w:r>
    </w:p>
    <w:p>
      <w:pPr>
        <w:pStyle w:val="ListParagraph"/>
        <w:numPr>
          <w:ilvl w:val="0"/>
          <w:numId w:val="4"/>
        </w:numPr>
        <w:spacing w:after="80" w:line="276"/>
      </w:pPr>
      <w:r>
        <w:t xml:space="preserve">Validez avec la touche </w:t>
      </w:r>
      <w:r>
        <w:rPr>
          <w:b/>
          <w:bCs/>
        </w:rPr>
        <w:t xml:space="preserve">Entrée</w:t>
      </w:r>
      <w:r>
        <w:t xml:space="preserve">, ou cliquez simplement ailleurs : le nom est enregistré.</w:t>
      </w:r>
    </w:p>
    <w:p>
      <w:pPr>
        <w:pStyle w:val="ListParagraph"/>
        <w:numPr>
          <w:ilvl w:val="0"/>
          <w:numId w:val="4"/>
        </w:numPr>
        <w:spacing w:after="80" w:line="276"/>
      </w:pPr>
      <w:r>
        <w:t xml:space="preserve">Le message de confirmation indique le nombre de mailles sur lesquelles le nom a été reporté, par exemple « 414 704 163 : « Société exemple 2 », reporté sur 3 mailles ».</w:t>
      </w:r>
    </w:p>
    <w:p>
      <w:pPr>
        <w:keepNext/>
        <w:spacing w:after="60" w:before="120"/>
        <w:jc w:val="center"/>
      </w:pPr>
      <w:r>
        <w:drawing>
          <wp:inline distT="0" distB="0" distL="0" distR="0">
            <wp:extent cx="5905500" cy="1819275"/>
            <wp:effectExtent t="0" r="0" b="0" l="0"/>
            <wp:docPr id="1" name="soc-edition.png" descr="Modification du nom d'une société directement dans la liste" title="Modification du nom d'une société directement dans la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819275"/>
                    </a:xfrm>
                    <a:prstGeom prst="rect">
                      <a:avLst/>
                    </a:prstGeom>
                  </pic:spPr>
                </pic:pic>
              </a:graphicData>
            </a:graphic>
          </wp:inline>
        </w:drawing>
      </w:r>
    </w:p>
    <w:p>
      <w:pPr>
        <w:spacing w:after="200"/>
        <w:jc w:val="center"/>
      </w:pPr>
      <w:r>
        <w:rPr>
          <w:b/>
          <w:bCs/>
          <w:color w:val="5D6779"/>
          <w:sz w:val="18"/>
          <w:szCs w:val="18"/>
        </w:rPr>
        <w:t xml:space="preserve">Figure 4 – </w:t>
      </w:r>
      <w:r>
        <w:rPr>
          <w:i/>
          <w:iCs/>
          <w:color w:val="5D6779"/>
          <w:sz w:val="18"/>
          <w:szCs w:val="18"/>
        </w:rPr>
        <w:t xml:space="preserve">Modification du nom d'une société directement dans la liste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E8EEF8" w:sz="4"/>
              <w:left w:val="single" w:color="1F5FD1" w:sz="24"/>
              <w:bottom w:val="single" w:color="E8EEF8" w:sz="4"/>
              <w:right w:val="single" w:color="E8EEF8" w:sz="4"/>
            </w:tcBorders>
            <w:shd w:fill="E8EEF8" w:color="auto" w:val="clear"/>
            <w:tcMar>
              <w:top w:type="dxa" w:w="120"/>
              <w:left w:type="dxa" w:w="200"/>
              <w:bottom w:type="dxa" w:w="120"/>
              <w:right w:type="dxa" w:w="200"/>
            </w:tcMar>
          </w:tcPr>
          <w:p>
            <w:pPr>
              <w:spacing w:after="60"/>
            </w:pPr>
            <w:r>
              <w:rPr>
                <w:b/>
                <w:bCs/>
                <w:color w:val="1F5FD1"/>
              </w:rPr>
              <w:t xml:space="preserve">Annuler une saisie en cours</w:t>
            </w:r>
          </w:p>
          <w:p>
            <w:pPr>
              <w:spacing w:after="60" w:line="276"/>
            </w:pPr>
            <w:r>
              <w:t xml:space="preserve">Appuyez sur la touche </w:t>
            </w:r>
            <w:r>
              <w:rPr>
                <w:b/>
                <w:bCs/>
              </w:rPr>
              <w:t xml:space="preserve">Échap</w:t>
            </w:r>
            <w:r>
              <w:t xml:space="preserve"> avant de valider : le nom d'origine est rétabli et rien n'est enregistré.</w:t>
            </w:r>
          </w:p>
        </w:tc>
      </w:tr>
    </w:tbl>
    <w:p>
      <w:pPr>
        <w:spacing w:after="120"/>
      </w:pPr>
    </w:p>
    <w:p>
      <w:pPr>
        <w:pStyle w:val="Heading2"/>
      </w:pPr>
      <w:r>
        <w:t xml:space="preserve">2.6 Effacer le nom d'une société</w:t>
      </w:r>
    </w:p>
    <w:p>
      <w:pPr>
        <w:spacing w:after="120" w:line="288"/>
      </w:pPr>
      <w:r>
        <w:t xml:space="preserve">Videz le champ du nom puis validez. Les mailles du SIREN affichent alors « Non renseignée » dans la colonne Société. Si le SIREN n'a aucune maille, il disparaît de la liste des sociétés et n'est plus inclus dans le fichier </w:t>
      </w:r>
      <w:r>
        <w:rPr>
          <w:rFonts w:ascii="Consolas" w:cs="Consolas" w:eastAsia="Consolas" w:hAnsi="Consolas"/>
          <w:color w:val="263238"/>
          <w:sz w:val="19"/>
          <w:szCs w:val="19"/>
        </w:rPr>
        <w:t xml:space="preserve">siren.csv</w:t>
      </w:r>
      <w:r>
        <w:t xml:space="preserve">.</w:t>
      </w:r>
    </w:p>
    <w:p>
      <w:pPr>
        <w:pStyle w:val="Heading2"/>
      </w:pPr>
      <w:r>
        <w:t xml:space="preserve">2.7 Accéder aux mailles d'une société</w:t>
      </w:r>
    </w:p>
    <w:p>
      <w:pPr>
        <w:spacing w:after="120" w:line="288"/>
      </w:pPr>
      <w:r>
        <w:t xml:space="preserve">Dans la colonne </w:t>
      </w:r>
      <w:r>
        <w:rPr>
          <w:b/>
          <w:bCs/>
        </w:rPr>
        <w:t xml:space="preserve">Mailles</w:t>
      </w:r>
      <w:r>
        <w:t xml:space="preserve">, cliquez sur le lien (par exemple « 4 mailles »). L'onglet </w:t>
      </w:r>
      <w:r>
        <w:rPr>
          <w:b/>
          <w:bCs/>
        </w:rPr>
        <w:t xml:space="preserve">Mailles</w:t>
      </w:r>
      <w:r>
        <w:t xml:space="preserve"> s'ouvre, filtré sur le SIREN de la société : vous pouvez traiter directement ses mailles (voir partie 4). Cliquez sur </w:t>
      </w:r>
      <w:r>
        <w:rPr>
          <w:b/>
          <w:bCs/>
        </w:rPr>
        <w:t xml:space="preserve">Effacer les filtres</w:t>
      </w:r>
      <w:r>
        <w:t xml:space="preserve"> pour revenir à la liste complète.</w:t>
      </w:r>
    </w:p>
    <w:p>
      <w:pPr>
        <w:pStyle w:val="Heading2"/>
      </w:pPr>
      <w:r>
        <w:t xml:space="preserve">2.8 Bonnes pratiques</w:t>
      </w:r>
    </w:p>
    <w:p>
      <w:pPr>
        <w:pStyle w:val="ListParagraph"/>
        <w:numPr>
          <w:ilvl w:val="0"/>
          <w:numId w:val="2"/>
        </w:numPr>
        <w:spacing w:after="60" w:line="276"/>
      </w:pPr>
      <w:r>
        <w:t xml:space="preserve">Renseignez le nom des sociétés </w:t>
      </w:r>
      <w:r>
        <w:rPr>
          <w:b/>
          <w:bCs/>
        </w:rPr>
        <w:t xml:space="preserve">avant</w:t>
      </w:r>
      <w:r>
        <w:t xml:space="preserve"> de traiter leurs mailles : la qualification est plus sûre quand la société est identifiée.</w:t>
      </w:r>
    </w:p>
    <w:p>
      <w:pPr>
        <w:pStyle w:val="ListParagraph"/>
        <w:numPr>
          <w:ilvl w:val="0"/>
          <w:numId w:val="2"/>
        </w:numPr>
        <w:spacing w:after="60" w:line="276"/>
      </w:pPr>
      <w:r>
        <w:t xml:space="preserve">Utilisez la </w:t>
      </w:r>
      <w:r>
        <w:rPr>
          <w:b/>
          <w:bCs/>
        </w:rPr>
        <w:t xml:space="preserve">dénomination sociale officielle</w:t>
      </w:r>
      <w:r>
        <w:t xml:space="preserve"> (celle qui figure au registre du commerce ou dans l'annuaire), pour que la liste reste homogène et que les recherches fonctionnent.</w:t>
      </w:r>
    </w:p>
    <w:p>
      <w:pPr>
        <w:pStyle w:val="ListParagraph"/>
        <w:numPr>
          <w:ilvl w:val="0"/>
          <w:numId w:val="2"/>
        </w:numPr>
        <w:spacing w:after="60" w:line="276"/>
      </w:pPr>
      <w:r>
        <w:t xml:space="preserve">Après chaque import d'adresses de facturation, vérifiez que le compteur n'affiche </w:t>
      </w:r>
      <w:r>
        <w:rPr>
          <w:b/>
          <w:bCs/>
        </w:rPr>
        <w:t xml:space="preserve">aucune société sans nom</w:t>
      </w:r>
      <w:r>
        <w:t xml:space="preserve">.</w:t>
      </w:r>
    </w:p>
    <w:p>
      <w:pPr>
        <w:pStyle w:val="ListParagraph"/>
        <w:numPr>
          <w:ilvl w:val="0"/>
          <w:numId w:val="2"/>
        </w:numPr>
        <w:spacing w:after="60" w:line="276"/>
      </w:pPr>
      <w:r>
        <w:t xml:space="preserve">Avant de lancer une recherche dans l'annuaire pour une nouvelle société, </w:t>
      </w:r>
      <w:r>
        <w:rPr>
          <w:b/>
          <w:bCs/>
        </w:rPr>
        <w:t xml:space="preserve">ajoutez-la d'abord</w:t>
      </w:r>
      <w:r>
        <w:t xml:space="preserve"> dans l'onglet Sociétés : sans cela, son SIREN ne figure pas dans le fichier exporté.</w:t>
      </w:r>
    </w:p>
    <w:p>
      <w:pPr>
        <w:pStyle w:val="Heading1"/>
        <w:pageBreakBefore/>
      </w:pPr>
      <w:r>
        <w:t xml:space="preserve">3. Chaîne de mise à jour des mailles</w:t>
      </w:r>
    </w:p>
    <w:p>
      <w:pPr>
        <w:pStyle w:val="Heading2"/>
      </w:pPr>
      <w:r>
        <w:t xml:space="preserve">3.1 Vue d'ensemble</w:t>
      </w:r>
    </w:p>
    <w:p>
      <w:pPr>
        <w:spacing w:after="120" w:line="288"/>
      </w:pPr>
      <w:r>
        <w:t xml:space="preserve">Les mailles ne se saisissent pas à la main : elles proviennent de l'</w:t>
      </w:r>
      <w:r>
        <w:rPr>
          <w:b/>
          <w:bCs/>
        </w:rPr>
        <w:t xml:space="preserve">annuaire de la facturation électronique</w:t>
      </w:r>
      <w:r>
        <w:t xml:space="preserve">, qui publie les adresses de facturation de chaque SIREN. La mise à jour suit une chaîne en trois étapes, toutes accessibles depuis l'onglet </w:t>
      </w:r>
      <w:r>
        <w:rPr>
          <w:b/>
          <w:bCs/>
        </w:rPr>
        <w:t xml:space="preserve">Import / export</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3438"/>
        <w:gridCol w:w="2200"/>
      </w:tblGrid>
      <w:tr>
        <w:trPr>
          <w:tblHeader/>
        </w:trPr>
        <w:tc>
          <w:tcPr>
            <w:tcW w:type="dxa" w:w="1500"/>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Étape</w:t>
            </w:r>
          </w:p>
        </w:tc>
        <w:tc>
          <w:tcPr>
            <w:tcW w:type="dxa" w:w="2500"/>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Où</w:t>
            </w:r>
          </w:p>
        </w:tc>
        <w:tc>
          <w:tcPr>
            <w:tcW w:type="dxa" w:w="3438"/>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Action</w:t>
            </w:r>
          </w:p>
        </w:tc>
        <w:tc>
          <w:tcPr>
            <w:tcW w:type="dxa" w:w="2200"/>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Résultat</w:t>
            </w:r>
          </w:p>
        </w:tc>
      </w:tr>
      <w:tr>
        <w:trPr>
          <w:cantSplit/>
        </w:trPr>
        <w:tc>
          <w:tcPr>
            <w:tcW w:type="dxa" w:w="15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rPr>
                <w:b/>
                <w:bCs/>
              </w:rPr>
              <w:t xml:space="preserve">1. Export</w:t>
            </w:r>
          </w:p>
        </w:tc>
        <w:tc>
          <w:tcPr>
            <w:tcW w:type="dxa" w:w="25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Application, onglet Import / export</w:t>
            </w:r>
          </w:p>
        </w:tc>
        <w:tc>
          <w:tcPr>
            <w:tcW w:type="dxa" w:w="34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Exporter la liste des SIREN suivis.</w:t>
            </w:r>
          </w:p>
        </w:tc>
        <w:tc>
          <w:tcPr>
            <w:tcW w:type="dxa" w:w="22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Fichier </w:t>
            </w:r>
            <w:r>
              <w:rPr>
                <w:rFonts w:ascii="Consolas" w:cs="Consolas" w:eastAsia="Consolas" w:hAnsi="Consolas"/>
                <w:color w:val="263238"/>
                <w:sz w:val="19"/>
                <w:szCs w:val="19"/>
              </w:rPr>
              <w:t xml:space="preserve">siren.csv</w:t>
            </w:r>
          </w:p>
        </w:tc>
      </w:tr>
      <w:tr>
        <w:trPr>
          <w:cantSplit/>
        </w:trPr>
        <w:tc>
          <w:tcPr>
            <w:tcW w:type="dxa" w:w="15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rPr>
                <w:b/>
                <w:bCs/>
              </w:rPr>
              <w:t xml:space="preserve">2. Annuaire</w:t>
            </w:r>
          </w:p>
        </w:tc>
        <w:tc>
          <w:tcPr>
            <w:tcW w:type="dxa" w:w="25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Site Chorus Pro (annuaire de la facturation électronique)</w:t>
            </w:r>
          </w:p>
        </w:tc>
        <w:tc>
          <w:tcPr>
            <w:tcW w:type="dxa" w:w="3438"/>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Déposer </w:t>
            </w:r>
            <w:r>
              <w:rPr>
                <w:rFonts w:ascii="Consolas" w:cs="Consolas" w:eastAsia="Consolas" w:hAnsi="Consolas"/>
                <w:color w:val="263238"/>
                <w:sz w:val="19"/>
                <w:szCs w:val="19"/>
              </w:rPr>
              <w:t xml:space="preserve">siren.csv</w:t>
            </w:r>
            <w:r>
              <w:t xml:space="preserve"> et récupérer le fichier enrichi des adresses de facturation.</w:t>
            </w:r>
          </w:p>
        </w:tc>
        <w:tc>
          <w:tcPr>
            <w:tcW w:type="dxa" w:w="22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Fichier </w:t>
            </w:r>
            <w:r>
              <w:rPr>
                <w:rFonts w:ascii="Consolas" w:cs="Consolas" w:eastAsia="Consolas" w:hAnsi="Consolas"/>
                <w:color w:val="263238"/>
                <w:sz w:val="19"/>
                <w:szCs w:val="19"/>
              </w:rPr>
              <w:t xml:space="preserve">adresses_de_facturation.csv</w:t>
            </w:r>
          </w:p>
        </w:tc>
      </w:tr>
      <w:tr>
        <w:trPr>
          <w:cantSplit/>
        </w:trPr>
        <w:tc>
          <w:tcPr>
            <w:tcW w:type="dxa" w:w="15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rPr>
                <w:b/>
                <w:bCs/>
              </w:rPr>
              <w:t xml:space="preserve">3. Import</w:t>
            </w:r>
          </w:p>
        </w:tc>
        <w:tc>
          <w:tcPr>
            <w:tcW w:type="dxa" w:w="25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Application, onglet Import / export</w:t>
            </w:r>
          </w:p>
        </w:tc>
        <w:tc>
          <w:tcPr>
            <w:tcW w:type="dxa" w:w="34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Importer le fichier enrichi.</w:t>
            </w:r>
          </w:p>
        </w:tc>
        <w:tc>
          <w:tcPr>
            <w:tcW w:type="dxa" w:w="22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Nouvelles mailles ajoutées au statut </w:t>
            </w:r>
            <w:r>
              <w:rPr>
                <w:b/>
                <w:bCs/>
              </w:rPr>
              <w:t xml:space="preserve">Nouveau</w:t>
            </w:r>
          </w:p>
        </w:tc>
      </w:tr>
    </w:tbl>
    <w:p>
      <w:pPr>
        <w:spacing w:after="120"/>
      </w:pPr>
    </w:p>
    <w:p>
      <w:pPr>
        <w:spacing w:after="120" w:line="288"/>
      </w:pPr>
      <w:r>
        <w:t xml:space="preserve">L'onglet Import / export présente les trois étapes dans cet ordre, de haut en bas.</w:t>
      </w:r>
    </w:p>
    <w:p>
      <w:pPr>
        <w:pStyle w:val="Heading3"/>
      </w:pPr>
      <w:r>
        <w:t xml:space="preserve">Quand lancer la chaîne ?</w:t>
      </w:r>
    </w:p>
    <w:p>
      <w:pPr>
        <w:pStyle w:val="ListParagraph"/>
        <w:numPr>
          <w:ilvl w:val="0"/>
          <w:numId w:val="2"/>
        </w:numPr>
        <w:spacing w:after="60" w:line="276"/>
      </w:pPr>
      <w:r>
        <w:t xml:space="preserve">après l'ajout d'une ou plusieurs sociétés dans l'onglet Sociétés, pour trouver leurs mailles ;</w:t>
      </w:r>
    </w:p>
    <w:p>
      <w:pPr>
        <w:pStyle w:val="ListParagraph"/>
        <w:numPr>
          <w:ilvl w:val="0"/>
          <w:numId w:val="2"/>
        </w:numPr>
        <w:spacing w:after="60" w:line="276"/>
      </w:pPr>
      <w:r>
        <w:t xml:space="preserve">à intervalle régulier, pour détecter les nouvelles adresses de facturation publiées par les sociétés déjà suivies.</w:t>
      </w:r>
    </w:p>
    <w:p>
      <w:pPr>
        <w:spacing w:after="120" w:line="288"/>
      </w:pPr>
      <w:r>
        <w:t xml:space="preserve">La chaîne peut être relancée autant de fois que nécessaire : une maille déjà connue n'est jamais réimportée et son statut n'est jamais modifié par un import.</w:t>
      </w:r>
    </w:p>
    <w:p>
      <w:pPr>
        <w:pStyle w:val="Heading2"/>
      </w:pPr>
      <w:r>
        <w:t xml:space="preserve">3.2 Étape 1 – Exporter les SIREN</w:t>
      </w:r>
    </w:p>
    <w:p>
      <w:pPr>
        <w:pStyle w:val="ListParagraph"/>
        <w:numPr>
          <w:ilvl w:val="0"/>
          <w:numId w:val="5"/>
        </w:numPr>
        <w:spacing w:after="80" w:line="276"/>
      </w:pPr>
      <w:r>
        <w:t xml:space="preserve">Ouvrez l'onglet </w:t>
      </w:r>
      <w:r>
        <w:rPr>
          <w:b/>
          <w:bCs/>
        </w:rPr>
        <w:t xml:space="preserve">Import / export</w:t>
      </w:r>
      <w:r>
        <w:t xml:space="preserve">.</w:t>
      </w:r>
    </w:p>
    <w:p>
      <w:pPr>
        <w:pStyle w:val="ListParagraph"/>
        <w:numPr>
          <w:ilvl w:val="0"/>
          <w:numId w:val="5"/>
        </w:numPr>
        <w:spacing w:after="80" w:line="276"/>
      </w:pPr>
      <w:r>
        <w:t xml:space="preserve">Dans le bloc </w:t>
      </w:r>
      <w:r>
        <w:rPr>
          <w:b/>
          <w:bCs/>
        </w:rPr>
        <w:t xml:space="preserve">Exporter les SIREN</w:t>
      </w:r>
      <w:r>
        <w:t xml:space="preserve">, vérifiez le nombre de SIREN indiqué (« 3 SIREN distincts, un par ligne, sans en-tête »).</w:t>
      </w:r>
    </w:p>
    <w:p>
      <w:pPr>
        <w:pStyle w:val="ListParagraph"/>
        <w:numPr>
          <w:ilvl w:val="0"/>
          <w:numId w:val="5"/>
        </w:numPr>
        <w:spacing w:after="80" w:line="276"/>
      </w:pPr>
      <w:r>
        <w:t xml:space="preserve">Cliquez sur </w:t>
      </w:r>
      <w:r>
        <w:rPr>
          <w:b/>
          <w:bCs/>
        </w:rPr>
        <w:t xml:space="preserve">Exporter siren.csv</w:t>
      </w:r>
      <w:r>
        <w:t xml:space="preserve">.</w:t>
      </w:r>
    </w:p>
    <w:p>
      <w:pPr>
        <w:pStyle w:val="ListParagraph"/>
        <w:numPr>
          <w:ilvl w:val="0"/>
          <w:numId w:val="5"/>
        </w:numPr>
        <w:spacing w:after="80" w:line="276"/>
      </w:pPr>
      <w:r>
        <w:t xml:space="preserve">Enregistrez le fichier </w:t>
      </w:r>
      <w:r>
        <w:rPr>
          <w:rFonts w:ascii="Consolas" w:cs="Consolas" w:eastAsia="Consolas" w:hAnsi="Consolas"/>
          <w:color w:val="263238"/>
          <w:sz w:val="19"/>
          <w:szCs w:val="19"/>
        </w:rPr>
        <w:t xml:space="preserve">siren.csv</w:t>
      </w:r>
      <w:r>
        <w:t xml:space="preserve"> proposé par le navigateur (par défaut dans le dossier Téléchargements).</w:t>
      </w:r>
    </w:p>
    <w:p>
      <w:pPr>
        <w:keepNext/>
        <w:spacing w:after="60" w:before="120"/>
        <w:jc w:val="center"/>
      </w:pPr>
      <w:r>
        <w:drawing>
          <wp:inline distT="0" distB="0" distL="0" distR="0">
            <wp:extent cx="5905500" cy="695325"/>
            <wp:effectExtent t="0" r="0" b="0" l="0"/>
            <wp:docPr id="1" name="export.png" descr="Bloc d'export des SIREN" title="Bloc d'export des SI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695325"/>
                    </a:xfrm>
                    <a:prstGeom prst="rect">
                      <a:avLst/>
                    </a:prstGeom>
                  </pic:spPr>
                </pic:pic>
              </a:graphicData>
            </a:graphic>
          </wp:inline>
        </w:drawing>
      </w:r>
    </w:p>
    <w:p>
      <w:pPr>
        <w:spacing w:after="200"/>
        <w:jc w:val="center"/>
      </w:pPr>
      <w:r>
        <w:rPr>
          <w:b/>
          <w:bCs/>
          <w:color w:val="5D6779"/>
          <w:sz w:val="18"/>
          <w:szCs w:val="18"/>
        </w:rPr>
        <w:t xml:space="preserve">Figure 5 – </w:t>
      </w:r>
      <w:r>
        <w:rPr>
          <w:i/>
          <w:iCs/>
          <w:color w:val="5D6779"/>
          <w:sz w:val="18"/>
          <w:szCs w:val="18"/>
        </w:rPr>
        <w:t xml:space="preserve">Bloc d'export des SIREN</w:t>
      </w:r>
    </w:p>
    <w:p>
      <w:pPr>
        <w:pStyle w:val="Heading3"/>
      </w:pPr>
      <w:r>
        <w:t xml:space="preserve">Contenu du fichier siren.csv</w:t>
      </w:r>
    </w:p>
    <w:p>
      <w:pPr>
        <w:spacing w:after="120" w:line="288"/>
      </w:pPr>
      <w:r>
        <w:t xml:space="preserve">Le fichier contient </w:t>
      </w:r>
      <w:r>
        <w:rPr>
          <w:b/>
          <w:bCs/>
        </w:rPr>
        <w:t xml:space="preserve">un SIREN par ligne</w:t>
      </w:r>
      <w:r>
        <w:t xml:space="preserve">, sans ligne d'en-tête, ce qui correspond au format attendu par l'annuaire (« une liste de SIREN dans la première colonne »)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4CAD4" w:sz="4"/>
              <w:left w:val="single" w:color="C4CAD4" w:sz="4"/>
              <w:bottom w:val="single" w:color="C4CAD4" w:sz="4"/>
              <w:right w:val="single" w:color="C4CAD4" w:sz="4"/>
            </w:tcBorders>
            <w:shd w:fill="F6F7F9" w:color="auto" w:val="clear"/>
            <w:tcMar>
              <w:top w:type="dxa" w:w="100"/>
              <w:left w:type="dxa" w:w="200"/>
              <w:bottom w:type="dxa" w:w="100"/>
              <w:right w:type="dxa" w:w="200"/>
            </w:tcMar>
          </w:tcPr>
          <w:p>
            <w:pPr>
              <w:spacing w:after="0"/>
            </w:pPr>
            <w:r>
              <w:rPr>
                <w:rFonts w:ascii="Consolas" w:cs="Consolas" w:eastAsia="Consolas" w:hAnsi="Consolas"/>
                <w:sz w:val="19"/>
                <w:szCs w:val="19"/>
              </w:rPr>
              <w:t xml:space="preserve">055804124</w:t>
            </w:r>
          </w:p>
          <w:p>
            <w:pPr>
              <w:spacing w:after="0"/>
            </w:pPr>
            <w:r>
              <w:rPr>
                <w:rFonts w:ascii="Consolas" w:cs="Consolas" w:eastAsia="Consolas" w:hAnsi="Consolas"/>
                <w:sz w:val="19"/>
                <w:szCs w:val="19"/>
              </w:rPr>
              <w:t xml:space="preserve">123456789</w:t>
            </w:r>
          </w:p>
          <w:p>
            <w:pPr>
              <w:spacing w:after="0"/>
            </w:pPr>
            <w:r>
              <w:rPr>
                <w:rFonts w:ascii="Consolas" w:cs="Consolas" w:eastAsia="Consolas" w:hAnsi="Consolas"/>
                <w:sz w:val="19"/>
                <w:szCs w:val="19"/>
              </w:rPr>
              <w:t xml:space="preserve">414704163</w:t>
            </w:r>
          </w:p>
        </w:tc>
      </w:tr>
    </w:tbl>
    <w:p>
      <w:pPr>
        <w:spacing w:after="120"/>
      </w:pPr>
    </w:p>
    <w:p>
      <w:pPr>
        <w:spacing w:after="120" w:line="288"/>
      </w:pPr>
      <w:r>
        <w:t xml:space="preserve">Chaque SIREN n'apparaît qu'une fois. Le fichier regroupe les SIREN des sociétés du référentiel (onglet Sociétés) et ceux des mailles déjà connues.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FF4E0" w:sz="4"/>
              <w:left w:val="single" w:color="C98A1B" w:sz="24"/>
              <w:bottom w:val="single" w:color="FFF4E0" w:sz="4"/>
              <w:right w:val="single" w:color="FFF4E0" w:sz="4"/>
            </w:tcBorders>
            <w:shd w:fill="FFF4E0" w:color="auto" w:val="clear"/>
            <w:tcMar>
              <w:top w:type="dxa" w:w="120"/>
              <w:left w:type="dxa" w:w="200"/>
              <w:bottom w:type="dxa" w:w="120"/>
              <w:right w:type="dxa" w:w="200"/>
            </w:tcMar>
          </w:tcPr>
          <w:p>
            <w:pPr>
              <w:spacing w:after="60"/>
            </w:pPr>
            <w:r>
              <w:rPr>
                <w:b/>
                <w:bCs/>
                <w:color w:val="C98A1B"/>
              </w:rPr>
              <w:t xml:space="preserve">Ne pas ouvrir le fichier dans Excel avant le dépôt</w:t>
            </w:r>
          </w:p>
          <w:p>
            <w:pPr>
              <w:spacing w:after="60" w:line="276"/>
            </w:pPr>
            <w:r>
              <w:t xml:space="preserve">Excel supprime les zéros en tête des SIREN (055804124 devient 55804124) s'il enregistre le fichier. Déposez </w:t>
            </w:r>
            <w:r>
              <w:rPr>
                <w:rFonts w:ascii="Consolas" w:cs="Consolas" w:eastAsia="Consolas" w:hAnsi="Consolas"/>
                <w:color w:val="263238"/>
                <w:sz w:val="19"/>
                <w:szCs w:val="19"/>
              </w:rPr>
              <w:t xml:space="preserve">siren.csv</w:t>
            </w:r>
            <w:r>
              <w:t xml:space="preserve"> tel quel sur le site de l'annuaire.</w:t>
            </w:r>
          </w:p>
        </w:tc>
      </w:tr>
    </w:tbl>
    <w:p>
      <w:pPr>
        <w:spacing w:after="120"/>
      </w:pPr>
    </w:p>
    <w:p>
      <w:pPr>
        <w:pStyle w:val="Heading2"/>
      </w:pPr>
      <w:r>
        <w:t xml:space="preserve">3.3 Étape 2 – Rechercher les adresses dans l'annuaire</w:t>
      </w:r>
    </w:p>
    <w:p>
      <w:pPr>
        <w:spacing w:after="120" w:line="288"/>
      </w:pPr>
      <w:r>
        <w:t xml:space="preserve">Dans le bloc </w:t>
      </w:r>
      <w:r>
        <w:rPr>
          <w:b/>
          <w:bCs/>
        </w:rPr>
        <w:t xml:space="preserve">Annuaire de la facturation électronique</w:t>
      </w:r>
      <w:r>
        <w:t xml:space="preserve">, cliquez sur </w:t>
      </w:r>
      <w:r>
        <w:rPr>
          <w:b/>
          <w:bCs/>
        </w:rPr>
        <w:t xml:space="preserve">Ouvrir l'annuaire</w:t>
      </w:r>
      <w:r>
        <w:t xml:space="preserve">. Le site s'ouvre dans un nouvel onglet du navigateur, à l'adresse :</w:t>
      </w:r>
    </w:p>
    <w:p>
      <w:pPr>
        <w:spacing w:after="120" w:line="288"/>
      </w:pPr>
      <w:r>
        <w:rPr>
          <w:rFonts w:ascii="Consolas" w:cs="Consolas" w:eastAsia="Consolas" w:hAnsi="Consolas"/>
          <w:color w:val="263238"/>
          <w:sz w:val="19"/>
          <w:szCs w:val="19"/>
        </w:rPr>
        <w:t xml:space="preserve">https://facturation.chorus-pro.gouv.fr/annuaire</w:t>
      </w:r>
    </w:p>
    <w:p>
      <w:pPr>
        <w:keepNext/>
        <w:spacing w:after="60" w:before="120"/>
        <w:jc w:val="center"/>
      </w:pPr>
      <w:r>
        <w:drawing>
          <wp:inline distT="0" distB="0" distL="0" distR="0">
            <wp:extent cx="5905500" cy="695325"/>
            <wp:effectExtent t="0" r="0" b="0" l="0"/>
            <wp:docPr id="1" name="annuaire.png" descr="Bloc d'accès à l'annuaire dans l'application" title="Bloc d'accès à l'annuaire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695325"/>
                    </a:xfrm>
                    <a:prstGeom prst="rect">
                      <a:avLst/>
                    </a:prstGeom>
                  </pic:spPr>
                </pic:pic>
              </a:graphicData>
            </a:graphic>
          </wp:inline>
        </w:drawing>
      </w:r>
    </w:p>
    <w:p>
      <w:pPr>
        <w:spacing w:after="200"/>
        <w:jc w:val="center"/>
      </w:pPr>
      <w:r>
        <w:rPr>
          <w:b/>
          <w:bCs/>
          <w:color w:val="5D6779"/>
          <w:sz w:val="18"/>
          <w:szCs w:val="18"/>
        </w:rPr>
        <w:t xml:space="preserve">Figure 6 – </w:t>
      </w:r>
      <w:r>
        <w:rPr>
          <w:i/>
          <w:iCs/>
          <w:color w:val="5D6779"/>
          <w:sz w:val="18"/>
          <w:szCs w:val="18"/>
        </w:rPr>
        <w:t xml:space="preserve">Bloc d'accès à l'annuaire dans l'application</w:t>
      </w:r>
    </w:p>
    <w:p>
      <w:pPr>
        <w:spacing w:after="120" w:line="288"/>
      </w:pPr>
      <w:r>
        <w:t xml:space="preserve">Si le lien ne s'ouvre pas, copiez l'adresse affichée à côté du bouton et collez-la dans la barre d'adresse du navigateur.</w:t>
      </w:r>
    </w:p>
    <w:p>
      <w:pPr>
        <w:pStyle w:val="Heading3"/>
      </w:pPr>
      <w:r>
        <w:t xml:space="preserve">Sur le site de l'annuaire</w:t>
      </w:r>
    </w:p>
    <w:p>
      <w:pPr>
        <w:pStyle w:val="ListParagraph"/>
        <w:numPr>
          <w:ilvl w:val="0"/>
          <w:numId w:val="6"/>
        </w:numPr>
        <w:spacing w:after="80" w:line="276"/>
      </w:pPr>
      <w:r>
        <w:t xml:space="preserve">Descendez jusqu'à la section </w:t>
      </w:r>
      <w:r>
        <w:rPr>
          <w:b/>
          <w:bCs/>
        </w:rPr>
        <w:t xml:space="preserve">« Rechercher les adresses de facturation de plusieurs structures en renseignant leurs SIREN »</w:t>
      </w:r>
      <w:r>
        <w:t xml:space="preserve">.</w:t>
      </w:r>
    </w:p>
    <w:p>
      <w:pPr>
        <w:pStyle w:val="ListParagraph"/>
        <w:numPr>
          <w:ilvl w:val="0"/>
          <w:numId w:val="6"/>
        </w:numPr>
        <w:spacing w:after="80" w:line="276"/>
      </w:pPr>
      <w:r>
        <w:t xml:space="preserve">Cliquez sur le bouton </w:t>
      </w:r>
      <w:r>
        <w:rPr>
          <w:b/>
          <w:bCs/>
        </w:rPr>
        <w:t xml:space="preserve">Déposer</w:t>
      </w:r>
      <w:r>
        <w:t xml:space="preserve"> (repéré en jaune sur la figure ci-dessous).</w:t>
      </w:r>
    </w:p>
    <w:p>
      <w:pPr>
        <w:pStyle w:val="ListParagraph"/>
        <w:numPr>
          <w:ilvl w:val="0"/>
          <w:numId w:val="6"/>
        </w:numPr>
        <w:spacing w:after="80" w:line="276"/>
      </w:pPr>
      <w:r>
        <w:t xml:space="preserve">Sélectionnez le fichier </w:t>
      </w:r>
      <w:r>
        <w:rPr>
          <w:rFonts w:ascii="Consolas" w:cs="Consolas" w:eastAsia="Consolas" w:hAnsi="Consolas"/>
          <w:color w:val="263238"/>
          <w:sz w:val="19"/>
          <w:szCs w:val="19"/>
        </w:rPr>
        <w:t xml:space="preserve">siren.csv</w:t>
      </w:r>
      <w:r>
        <w:t xml:space="preserve"> enregistré à l'étape 1.</w:t>
      </w:r>
    </w:p>
    <w:p>
      <w:pPr>
        <w:pStyle w:val="ListParagraph"/>
        <w:numPr>
          <w:ilvl w:val="0"/>
          <w:numId w:val="6"/>
        </w:numPr>
        <w:spacing w:after="80" w:line="276"/>
      </w:pPr>
      <w:r>
        <w:t xml:space="preserve">Suivez les indications du site pour </w:t>
      </w:r>
      <w:r>
        <w:rPr>
          <w:b/>
          <w:bCs/>
        </w:rPr>
        <w:t xml:space="preserve">récupérer le fichier enrichi</w:t>
      </w:r>
      <w:r>
        <w:t xml:space="preserve"> du statut du rattachement à une plateforme agréée (PA) et des adresses de facturation.</w:t>
      </w:r>
    </w:p>
    <w:p>
      <w:pPr>
        <w:pStyle w:val="ListParagraph"/>
        <w:numPr>
          <w:ilvl w:val="0"/>
          <w:numId w:val="6"/>
        </w:numPr>
        <w:spacing w:after="80" w:line="276"/>
      </w:pPr>
      <w:r>
        <w:t xml:space="preserve">Enregistrez ce fichier sous le nom </w:t>
      </w:r>
      <w:r>
        <w:rPr>
          <w:rFonts w:ascii="Consolas" w:cs="Consolas" w:eastAsia="Consolas" w:hAnsi="Consolas"/>
          <w:color w:val="263238"/>
          <w:sz w:val="19"/>
          <w:szCs w:val="19"/>
        </w:rPr>
        <w:t xml:space="preserve">adresses_de_facturation.csv</w:t>
      </w:r>
      <w:r>
        <w:t xml:space="preserve">.</w:t>
      </w:r>
    </w:p>
    <w:p>
      <w:pPr>
        <w:keepNext/>
        <w:spacing w:after="60" w:before="120"/>
        <w:jc w:val="center"/>
      </w:pPr>
      <w:r>
        <w:drawing>
          <wp:inline distT="0" distB="0" distL="0" distR="0">
            <wp:extent cx="5715000" cy="3190875"/>
            <wp:effectExtent t="0" r="0" b="0" l="0"/>
            <wp:docPr id="1" name="chorus.png" descr="Annuaire de la facturation électronique (Chorus Pro) : dépôt d'un fichier de SIREN" title="Annuaire de la facturation électronique (Chorus Pro) : dépôt d'un fichier de SI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90875"/>
                    </a:xfrm>
                    <a:prstGeom prst="rect">
                      <a:avLst/>
                    </a:prstGeom>
                  </pic:spPr>
                </pic:pic>
              </a:graphicData>
            </a:graphic>
          </wp:inline>
        </w:drawing>
      </w:r>
    </w:p>
    <w:p>
      <w:pPr>
        <w:spacing w:after="200"/>
        <w:jc w:val="center"/>
      </w:pPr>
      <w:r>
        <w:rPr>
          <w:b/>
          <w:bCs/>
          <w:color w:val="5D6779"/>
          <w:sz w:val="18"/>
          <w:szCs w:val="18"/>
        </w:rPr>
        <w:t xml:space="preserve">Figure 7 – </w:t>
      </w:r>
      <w:r>
        <w:rPr>
          <w:i/>
          <w:iCs/>
          <w:color w:val="5D6779"/>
          <w:sz w:val="18"/>
          <w:szCs w:val="18"/>
        </w:rPr>
        <w:t xml:space="preserve">Annuaire de la facturation électronique (Chorus Pro) : dépôt d'un fichier de SIREN</w:t>
      </w:r>
    </w:p>
    <w:p>
      <w:pPr>
        <w:pStyle w:val="Heading3"/>
      </w:pPr>
      <w:r>
        <w:t xml:space="preserve">Contenu du fichier retourné par l'annuaire</w:t>
      </w:r>
    </w:p>
    <w:p>
      <w:pPr>
        <w:spacing w:after="120" w:line="288"/>
      </w:pPr>
      <w:r>
        <w:t xml:space="preserve">Le fichier enrichi comporte une ligne par adresse de facturation et cinq colonnes. L'application n'en utilise que deux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4938"/>
      </w:tblGrid>
      <w:tr>
        <w:trPr>
          <w:tblHeader/>
        </w:trPr>
        <w:tc>
          <w:tcPr>
            <w:tcW w:type="dxa" w:w="700"/>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Col.</w:t>
            </w:r>
          </w:p>
        </w:tc>
        <w:tc>
          <w:tcPr>
            <w:tcW w:type="dxa" w:w="4000"/>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En-tête dans le fichier</w:t>
            </w:r>
          </w:p>
        </w:tc>
        <w:tc>
          <w:tcPr>
            <w:tcW w:type="dxa" w:w="4938"/>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Utilisation par l'application</w:t>
            </w:r>
          </w:p>
        </w:tc>
      </w:tr>
      <w:tr>
        <w:trPr>
          <w:cantSplit/>
        </w:trPr>
        <w:tc>
          <w:tcPr>
            <w:tcW w:type="dxa" w:w="700"/>
            <w:tcBorders>
              <w:top w:val="single" w:color="C4CAD4" w:sz="4"/>
              <w:left w:val="single" w:color="C4CAD4" w:sz="4"/>
              <w:bottom w:val="single" w:color="C4CAD4" w:sz="4"/>
              <w:right w:val="single" w:color="C4CAD4" w:sz="4"/>
            </w:tcBorders>
            <w:shd w:fill="E6EEFC" w:color="auto" w:val="clear"/>
            <w:tcMar>
              <w:top w:type="dxa" w:w="80"/>
              <w:left w:type="dxa" w:w="120"/>
              <w:bottom w:type="dxa" w:w="80"/>
              <w:right w:type="dxa" w:w="120"/>
            </w:tcMar>
            <w:vAlign w:val="center"/>
          </w:tcPr>
          <w:p>
            <w:pPr>
              <w:spacing w:after="40"/>
            </w:pPr>
            <w:r>
              <w:rPr>
                <w:b/>
                <w:bCs/>
              </w:rPr>
              <w:t xml:space="preserve">1</w:t>
            </w:r>
          </w:p>
        </w:tc>
        <w:tc>
          <w:tcPr>
            <w:tcW w:type="dxa" w:w="4000"/>
            <w:tcBorders>
              <w:top w:val="single" w:color="C4CAD4" w:sz="4"/>
              <w:left w:val="single" w:color="C4CAD4" w:sz="4"/>
              <w:bottom w:val="single" w:color="C4CAD4" w:sz="4"/>
              <w:right w:val="single" w:color="C4CAD4" w:sz="4"/>
            </w:tcBorders>
            <w:shd w:fill="E6EEFC" w:color="auto" w:val="clear"/>
            <w:tcMar>
              <w:top w:type="dxa" w:w="80"/>
              <w:left w:type="dxa" w:w="120"/>
              <w:bottom w:type="dxa" w:w="80"/>
              <w:right w:type="dxa" w:w="120"/>
            </w:tcMar>
            <w:vAlign w:val="center"/>
          </w:tcPr>
          <w:p>
            <w:pPr>
              <w:spacing w:after="40"/>
            </w:pPr>
            <w:r>
              <w:rPr>
                <w:b/>
                <w:bCs/>
              </w:rPr>
              <w:t xml:space="preserve">SIREN</w:t>
            </w:r>
          </w:p>
        </w:tc>
        <w:tc>
          <w:tcPr>
            <w:tcW w:type="dxa" w:w="49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rPr>
                <w:b/>
                <w:bCs/>
              </w:rPr>
              <w:t xml:space="preserve">Utilisée</w:t>
            </w:r>
            <w:r>
              <w:t xml:space="preserve"> : SIREN de la société.</w:t>
            </w:r>
          </w:p>
        </w:tc>
      </w:tr>
      <w:tr>
        <w:trPr>
          <w:cantSplit/>
        </w:trPr>
        <w:tc>
          <w:tcPr>
            <w:tcW w:type="dxa" w:w="7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2</w:t>
            </w:r>
          </w:p>
        </w:tc>
        <w:tc>
          <w:tcPr>
            <w:tcW w:type="dxa" w:w="40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Présent dans l'annuaire de la facturation électronique</w:t>
            </w:r>
          </w:p>
        </w:tc>
        <w:tc>
          <w:tcPr>
            <w:tcW w:type="dxa" w:w="4938"/>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Non utilisée.</w:t>
            </w:r>
          </w:p>
        </w:tc>
      </w:tr>
      <w:tr>
        <w:trPr>
          <w:cantSplit/>
        </w:trPr>
        <w:tc>
          <w:tcPr>
            <w:tcW w:type="dxa" w:w="7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3</w:t>
            </w:r>
          </w:p>
        </w:tc>
        <w:tc>
          <w:tcPr>
            <w:tcW w:type="dxa" w:w="40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Plateforme agréée rattachée</w:t>
            </w:r>
          </w:p>
        </w:tc>
        <w:tc>
          <w:tcPr>
            <w:tcW w:type="dxa" w:w="49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Non utilisée.</w:t>
            </w:r>
          </w:p>
        </w:tc>
      </w:tr>
      <w:tr>
        <w:trPr>
          <w:cantSplit/>
        </w:trPr>
        <w:tc>
          <w:tcPr>
            <w:tcW w:type="dxa" w:w="700"/>
            <w:tcBorders>
              <w:top w:val="single" w:color="C4CAD4" w:sz="4"/>
              <w:left w:val="single" w:color="C4CAD4" w:sz="4"/>
              <w:bottom w:val="single" w:color="C4CAD4" w:sz="4"/>
              <w:right w:val="single" w:color="C4CAD4" w:sz="4"/>
            </w:tcBorders>
            <w:shd w:fill="E6EEFC" w:color="auto" w:val="clear"/>
            <w:tcMar>
              <w:top w:type="dxa" w:w="80"/>
              <w:left w:type="dxa" w:w="120"/>
              <w:bottom w:type="dxa" w:w="80"/>
              <w:right w:type="dxa" w:w="120"/>
            </w:tcMar>
            <w:vAlign w:val="center"/>
          </w:tcPr>
          <w:p>
            <w:pPr>
              <w:spacing w:after="40"/>
            </w:pPr>
            <w:r>
              <w:rPr>
                <w:b/>
                <w:bCs/>
              </w:rPr>
              <w:t xml:space="preserve">4</w:t>
            </w:r>
          </w:p>
        </w:tc>
        <w:tc>
          <w:tcPr>
            <w:tcW w:type="dxa" w:w="4000"/>
            <w:tcBorders>
              <w:top w:val="single" w:color="C4CAD4" w:sz="4"/>
              <w:left w:val="single" w:color="C4CAD4" w:sz="4"/>
              <w:bottom w:val="single" w:color="C4CAD4" w:sz="4"/>
              <w:right w:val="single" w:color="C4CAD4" w:sz="4"/>
            </w:tcBorders>
            <w:shd w:fill="E6EEFC" w:color="auto" w:val="clear"/>
            <w:tcMar>
              <w:top w:type="dxa" w:w="80"/>
              <w:left w:type="dxa" w:w="120"/>
              <w:bottom w:type="dxa" w:w="80"/>
              <w:right w:type="dxa" w:w="120"/>
            </w:tcMar>
            <w:vAlign w:val="center"/>
          </w:tcPr>
          <w:p>
            <w:pPr>
              <w:spacing w:after="40"/>
            </w:pPr>
            <w:r>
              <w:rPr>
                <w:b/>
                <w:bCs/>
              </w:rPr>
              <w:t xml:space="preserve">Adresse de facturation</w:t>
            </w:r>
          </w:p>
        </w:tc>
        <w:tc>
          <w:tcPr>
            <w:tcW w:type="dxa" w:w="4938"/>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rPr>
                <w:b/>
                <w:bCs/>
              </w:rPr>
              <w:t xml:space="preserve">Utilisée</w:t>
            </w:r>
            <w:r>
              <w:t xml:space="preserve"> : code de la maille (par exemple </w:t>
            </w:r>
            <w:r>
              <w:rPr>
                <w:rFonts w:ascii="Consolas" w:cs="Consolas" w:eastAsia="Consolas" w:hAnsi="Consolas"/>
                <w:color w:val="263238"/>
                <w:sz w:val="19"/>
                <w:szCs w:val="19"/>
              </w:rPr>
              <w:t xml:space="preserve">055804124_FILM</w:t>
            </w:r>
            <w:r>
              <w:t xml:space="preserve">).</w:t>
            </w:r>
          </w:p>
        </w:tc>
      </w:tr>
      <w:tr>
        <w:trPr>
          <w:cantSplit/>
        </w:trPr>
        <w:tc>
          <w:tcPr>
            <w:tcW w:type="dxa" w:w="7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5</w:t>
            </w:r>
          </w:p>
        </w:tc>
        <w:tc>
          <w:tcPr>
            <w:tcW w:type="dxa" w:w="40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Adresse de facturation active</w:t>
            </w:r>
          </w:p>
        </w:tc>
        <w:tc>
          <w:tcPr>
            <w:tcW w:type="dxa" w:w="49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Non utilisée : toutes les adresses du fichier sont importées, actives ou non.</w:t>
            </w:r>
          </w:p>
        </w:tc>
      </w:tr>
    </w:tbl>
    <w:p>
      <w:pPr>
        <w:spacing w:after="120"/>
      </w:pPr>
    </w:p>
    <w:p>
      <w:pPr>
        <w:spacing w:after="120" w:line="288"/>
      </w:pPr>
      <w:r>
        <w:t xml:space="preserve">Exemple de fichier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4CAD4" w:sz="4"/>
              <w:left w:val="single" w:color="C4CAD4" w:sz="4"/>
              <w:bottom w:val="single" w:color="C4CAD4" w:sz="4"/>
              <w:right w:val="single" w:color="C4CAD4" w:sz="4"/>
            </w:tcBorders>
            <w:shd w:fill="F6F7F9" w:color="auto" w:val="clear"/>
            <w:tcMar>
              <w:top w:type="dxa" w:w="100"/>
              <w:left w:type="dxa" w:w="200"/>
              <w:bottom w:type="dxa" w:w="100"/>
              <w:right w:type="dxa" w:w="200"/>
            </w:tcMar>
          </w:tcPr>
          <w:p>
            <w:pPr>
              <w:spacing w:after="0"/>
            </w:pPr>
            <w:r>
              <w:rPr>
                <w:rFonts w:ascii="Consolas" w:cs="Consolas" w:eastAsia="Consolas" w:hAnsi="Consolas"/>
                <w:sz w:val="19"/>
                <w:szCs w:val="19"/>
              </w:rPr>
              <w:t xml:space="preserve">SIREN,Présent dans l'annuaire de la facturation électronique,Plateforme agréée rattachée,Adresse de facturation,Adresse de facturation active</w:t>
            </w:r>
          </w:p>
          <w:p>
            <w:pPr>
              <w:spacing w:after="0"/>
            </w:pPr>
            <w:r>
              <w:rPr>
                <w:rFonts w:ascii="Consolas" w:cs="Consolas" w:eastAsia="Consolas" w:hAnsi="Consolas"/>
                <w:sz w:val="19"/>
                <w:szCs w:val="19"/>
              </w:rPr>
              <w:t xml:space="preserve">055804124,Oui,Oui,055804124_FILM,Oui</w:t>
            </w:r>
          </w:p>
          <w:p>
            <w:pPr>
              <w:spacing w:after="0"/>
            </w:pPr>
            <w:r>
              <w:rPr>
                <w:rFonts w:ascii="Consolas" w:cs="Consolas" w:eastAsia="Consolas" w:hAnsi="Consolas"/>
                <w:sz w:val="19"/>
                <w:szCs w:val="19"/>
              </w:rPr>
              <w:t xml:space="preserve">055804124,Oui,Oui,055804124_HOLD,Oui</w:t>
            </w:r>
          </w:p>
          <w:p>
            <w:pPr>
              <w:spacing w:after="0"/>
            </w:pPr>
            <w:r>
              <w:rPr>
                <w:rFonts w:ascii="Consolas" w:cs="Consolas" w:eastAsia="Consolas" w:hAnsi="Consolas"/>
                <w:sz w:val="19"/>
                <w:szCs w:val="19"/>
              </w:rPr>
              <w:t xml:space="preserve">414704163,Oui,Oui,414704163_NDF,Oui</w:t>
            </w:r>
          </w:p>
        </w:tc>
      </w:tr>
    </w:tbl>
    <w:p>
      <w:pPr>
        <w:spacing w:after="120"/>
      </w:pPr>
    </w:p>
    <w:p>
      <w:pPr>
        <w:pStyle w:val="Heading2"/>
      </w:pPr>
      <w:r>
        <w:t xml:space="preserve">3.4 Étape 3 – Importer les adresses de facturation</w:t>
      </w:r>
    </w:p>
    <w:p>
      <w:pPr>
        <w:pStyle w:val="ListParagraph"/>
        <w:numPr>
          <w:ilvl w:val="0"/>
          <w:numId w:val="7"/>
        </w:numPr>
        <w:spacing w:after="80" w:line="276"/>
      </w:pPr>
      <w:r>
        <w:t xml:space="preserve">Revenez sur l'application, onglet </w:t>
      </w:r>
      <w:r>
        <w:rPr>
          <w:b/>
          <w:bCs/>
        </w:rPr>
        <w:t xml:space="preserve">Import / export</w:t>
      </w:r>
      <w:r>
        <w:t xml:space="preserve">, bloc </w:t>
      </w:r>
      <w:r>
        <w:rPr>
          <w:b/>
          <w:bCs/>
        </w:rPr>
        <w:t xml:space="preserve">Importer les adresses de facturation</w:t>
      </w:r>
      <w:r>
        <w:t xml:space="preserve">.</w:t>
      </w:r>
    </w:p>
    <w:p>
      <w:pPr>
        <w:pStyle w:val="ListParagraph"/>
        <w:numPr>
          <w:ilvl w:val="0"/>
          <w:numId w:val="7"/>
        </w:numPr>
        <w:spacing w:after="80" w:line="276"/>
      </w:pPr>
      <w:r>
        <w:t xml:space="preserve">Cliquez sur </w:t>
      </w:r>
      <w:r>
        <w:rPr>
          <w:b/>
          <w:bCs/>
        </w:rPr>
        <w:t xml:space="preserve">Choisir le fichier…</w:t>
      </w:r>
      <w:r>
        <w:t xml:space="preserve"> et sélectionnez </w:t>
      </w:r>
      <w:r>
        <w:rPr>
          <w:rFonts w:ascii="Consolas" w:cs="Consolas" w:eastAsia="Consolas" w:hAnsi="Consolas"/>
          <w:color w:val="263238"/>
          <w:sz w:val="19"/>
          <w:szCs w:val="19"/>
        </w:rPr>
        <w:t xml:space="preserve">adresses_de_facturation.csv</w:t>
      </w:r>
      <w:r>
        <w:t xml:space="preserve">.</w:t>
      </w:r>
    </w:p>
    <w:p>
      <w:pPr>
        <w:pStyle w:val="ListParagraph"/>
        <w:numPr>
          <w:ilvl w:val="0"/>
          <w:numId w:val="7"/>
        </w:numPr>
        <w:spacing w:after="80" w:line="276"/>
      </w:pPr>
      <w:r>
        <w:t xml:space="preserve">L'application affiche le nombre de lignes lues, par exemple « adresses_de_facturation.csv : 7 lignes de données lues ». Vérifiez que ce nombre correspond au fichier.</w:t>
      </w:r>
    </w:p>
    <w:p>
      <w:pPr>
        <w:pStyle w:val="ListParagraph"/>
        <w:numPr>
          <w:ilvl w:val="0"/>
          <w:numId w:val="7"/>
        </w:numPr>
        <w:spacing w:after="80" w:line="276"/>
      </w:pPr>
      <w:r>
        <w:t xml:space="preserve">Cliquez sur </w:t>
      </w:r>
      <w:r>
        <w:rPr>
          <w:b/>
          <w:bCs/>
        </w:rPr>
        <w:t xml:space="preserve">Importer</w:t>
      </w:r>
      <w:r>
        <w:t xml:space="preserve">.</w:t>
      </w:r>
    </w:p>
    <w:p>
      <w:pPr>
        <w:pStyle w:val="ListParagraph"/>
        <w:numPr>
          <w:ilvl w:val="0"/>
          <w:numId w:val="7"/>
        </w:numPr>
        <w:spacing w:after="80" w:line="276"/>
      </w:pPr>
      <w:r>
        <w:t xml:space="preserve">Lisez le compte rendu affiché sous le bouton (voir 3.5).</w:t>
      </w:r>
    </w:p>
    <w:p>
      <w:pPr>
        <w:keepNext/>
        <w:spacing w:after="60" w:before="120"/>
        <w:jc w:val="center"/>
      </w:pPr>
      <w:r>
        <w:drawing>
          <wp:inline distT="0" distB="0" distL="0" distR="0">
            <wp:extent cx="5905500" cy="1019175"/>
            <wp:effectExtent t="0" r="0" b="0" l="0"/>
            <wp:docPr id="1" name="import-pret.png" descr="Fichier choisi, prêt à être importé" title="Fichier choisi, prêt à être impor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019175"/>
                    </a:xfrm>
                    <a:prstGeom prst="rect">
                      <a:avLst/>
                    </a:prstGeom>
                  </pic:spPr>
                </pic:pic>
              </a:graphicData>
            </a:graphic>
          </wp:inline>
        </w:drawing>
      </w:r>
    </w:p>
    <w:p>
      <w:pPr>
        <w:spacing w:after="200"/>
        <w:jc w:val="center"/>
      </w:pPr>
      <w:r>
        <w:rPr>
          <w:b/>
          <w:bCs/>
          <w:color w:val="5D6779"/>
          <w:sz w:val="18"/>
          <w:szCs w:val="18"/>
        </w:rPr>
        <w:t xml:space="preserve">Figure 8 – </w:t>
      </w:r>
      <w:r>
        <w:rPr>
          <w:i/>
          <w:iCs/>
          <w:color w:val="5D6779"/>
          <w:sz w:val="18"/>
          <w:szCs w:val="18"/>
        </w:rPr>
        <w:t xml:space="preserve">Fichier choisi, prêt à être importé</w:t>
      </w:r>
    </w:p>
    <w:p>
      <w:pPr>
        <w:pStyle w:val="Heading3"/>
      </w:pPr>
      <w:r>
        <w:t xml:space="preserve">Règles appliquées à chaque ligne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38"/>
        <w:gridCol w:w="2800"/>
      </w:tblGrid>
      <w:tr>
        <w:trPr>
          <w:tblHeader/>
        </w:trPr>
        <w:tc>
          <w:tcPr>
            <w:tcW w:type="dxa" w:w="2400"/>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Cas</w:t>
            </w:r>
          </w:p>
        </w:tc>
        <w:tc>
          <w:tcPr>
            <w:tcW w:type="dxa" w:w="4438"/>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Traitement</w:t>
            </w:r>
          </w:p>
        </w:tc>
        <w:tc>
          <w:tcPr>
            <w:tcW w:type="dxa" w:w="2800"/>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Dans le compte rendu</w:t>
            </w:r>
          </w:p>
        </w:tc>
      </w:tr>
      <w:tr>
        <w:trPr>
          <w:cantSplit/>
        </w:trPr>
        <w:tc>
          <w:tcPr>
            <w:tcW w:type="dxa" w:w="24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Maille absente de l'application</w:t>
            </w:r>
          </w:p>
        </w:tc>
        <w:tc>
          <w:tcPr>
            <w:tcW w:type="dxa" w:w="44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Ajoutée au statut </w:t>
            </w:r>
            <w:r>
              <w:rPr>
                <w:b/>
                <w:bCs/>
              </w:rPr>
              <w:t xml:space="preserve">Nouveau</w:t>
            </w:r>
            <w:r>
              <w:t xml:space="preserve">, avec le nom de la société du référentiel (« Non renseignée » si le SIREN n'a pas encore de nom).</w:t>
            </w:r>
          </w:p>
        </w:tc>
        <w:tc>
          <w:tcPr>
            <w:tcW w:type="dxa" w:w="28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 maille(s) ajoutée(s) en « Nouveau » » et tableau des ajouts</w:t>
            </w:r>
          </w:p>
        </w:tc>
      </w:tr>
      <w:tr>
        <w:trPr>
          <w:cantSplit/>
        </w:trPr>
        <w:tc>
          <w:tcPr>
            <w:tcW w:type="dxa" w:w="24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Maille déjà présente</w:t>
            </w:r>
          </w:p>
        </w:tc>
        <w:tc>
          <w:tcPr>
            <w:tcW w:type="dxa" w:w="4438"/>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rPr>
                <w:b/>
                <w:bCs/>
              </w:rPr>
              <w:t xml:space="preserve">Non importée.</w:t>
            </w:r>
            <w:r>
              <w:t xml:space="preserve"> La maille existante et son statut restent inchangés. La comparaison porte sur le code de la maille, sans tenir compte des majuscules ni des espaces, quel que soit le SIREN.</w:t>
            </w:r>
          </w:p>
        </w:tc>
        <w:tc>
          <w:tcPr>
            <w:tcW w:type="dxa" w:w="28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 déjà présente(s), non importée(s) » et liste dépliable</w:t>
            </w:r>
          </w:p>
        </w:tc>
      </w:tr>
      <w:tr>
        <w:trPr>
          <w:cantSplit/>
        </w:trPr>
        <w:tc>
          <w:tcPr>
            <w:tcW w:type="dxa" w:w="24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Maille présente deux fois dans le fichier</w:t>
            </w:r>
          </w:p>
        </w:tc>
        <w:tc>
          <w:tcPr>
            <w:tcW w:type="dxa" w:w="44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Ajoutée une seule fois.</w:t>
            </w:r>
          </w:p>
        </w:tc>
        <w:tc>
          <w:tcPr>
            <w:tcW w:type="dxa" w:w="28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La seconde occurrence est comptée comme déjà présente.</w:t>
            </w:r>
          </w:p>
        </w:tc>
      </w:tr>
      <w:tr>
        <w:trPr>
          <w:cantSplit/>
        </w:trPr>
        <w:tc>
          <w:tcPr>
            <w:tcW w:type="dxa" w:w="24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SIREN manquant ou différent de 9 chiffres</w:t>
            </w:r>
          </w:p>
        </w:tc>
        <w:tc>
          <w:tcPr>
            <w:tcW w:type="dxa" w:w="4438"/>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Ligne ignorée.</w:t>
            </w:r>
          </w:p>
        </w:tc>
        <w:tc>
          <w:tcPr>
            <w:tcW w:type="dxa" w:w="28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 ligne(s) ignorée(s) » avec numéro de ligne et motif</w:t>
            </w:r>
          </w:p>
        </w:tc>
      </w:tr>
      <w:tr>
        <w:trPr>
          <w:cantSplit/>
        </w:trPr>
        <w:tc>
          <w:tcPr>
            <w:tcW w:type="dxa" w:w="24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Code de maille vide</w:t>
            </w:r>
          </w:p>
        </w:tc>
        <w:tc>
          <w:tcPr>
            <w:tcW w:type="dxa" w:w="44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Ligne ignorée.</w:t>
            </w:r>
          </w:p>
        </w:tc>
        <w:tc>
          <w:tcPr>
            <w:tcW w:type="dxa" w:w="28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Idem, motif « Maille vide »</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E8EEF8" w:sz="4"/>
              <w:left w:val="single" w:color="1F5FD1" w:sz="24"/>
              <w:bottom w:val="single" w:color="E8EEF8" w:sz="4"/>
              <w:right w:val="single" w:color="E8EEF8" w:sz="4"/>
            </w:tcBorders>
            <w:shd w:fill="E8EEF8" w:color="auto" w:val="clear"/>
            <w:tcMar>
              <w:top w:type="dxa" w:w="120"/>
              <w:left w:type="dxa" w:w="200"/>
              <w:bottom w:type="dxa" w:w="120"/>
              <w:right w:type="dxa" w:w="200"/>
            </w:tcMar>
          </w:tcPr>
          <w:p>
            <w:pPr>
              <w:spacing w:after="60"/>
            </w:pPr>
            <w:r>
              <w:rPr>
                <w:b/>
                <w:bCs/>
                <w:color w:val="1F5FD1"/>
              </w:rPr>
              <w:t xml:space="preserve">Fichiers ouverts ou enregistrés avec Excel</w:t>
            </w:r>
          </w:p>
          <w:p>
            <w:pPr>
              <w:spacing w:after="60" w:line="276"/>
            </w:pPr>
            <w:r>
              <w:t xml:space="preserve">L'import accepte les fichiers enregistrés depuis Excel : séparateur point-virgule, encodage Windows et SIREN dont les zéros en tête ont été supprimés (complétés automatiquement à 9 chiffres).</w:t>
            </w:r>
          </w:p>
        </w:tc>
      </w:tr>
    </w:tbl>
    <w:p>
      <w:pPr>
        <w:spacing w:after="120"/>
      </w:pPr>
    </w:p>
    <w:p>
      <w:pPr>
        <w:pStyle w:val="Heading2"/>
      </w:pPr>
      <w:r>
        <w:t xml:space="preserve">3.5 Lire le compte rendu d'import</w:t>
      </w:r>
    </w:p>
    <w:p>
      <w:pPr>
        <w:keepNext/>
        <w:spacing w:after="60" w:before="120"/>
        <w:jc w:val="center"/>
      </w:pPr>
      <w:r>
        <w:drawing>
          <wp:inline distT="0" distB="0" distL="0" distR="0">
            <wp:extent cx="5905500" cy="2686050"/>
            <wp:effectExtent t="0" r="0" b="0" l="0"/>
            <wp:docPr id="1" name="import-resultat.png" descr="Compte rendu d'un import : une maille ajoutée, six déjà présentes" title="Compte rendu d'un import : une maille ajoutée, six déjà prés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686050"/>
                    </a:xfrm>
                    <a:prstGeom prst="rect">
                      <a:avLst/>
                    </a:prstGeom>
                  </pic:spPr>
                </pic:pic>
              </a:graphicData>
            </a:graphic>
          </wp:inline>
        </w:drawing>
      </w:r>
    </w:p>
    <w:p>
      <w:pPr>
        <w:spacing w:after="200"/>
        <w:jc w:val="center"/>
      </w:pPr>
      <w:r>
        <w:rPr>
          <w:b/>
          <w:bCs/>
          <w:color w:val="5D6779"/>
          <w:sz w:val="18"/>
          <w:szCs w:val="18"/>
        </w:rPr>
        <w:t xml:space="preserve">Figure 9 – </w:t>
      </w:r>
      <w:r>
        <w:rPr>
          <w:i/>
          <w:iCs/>
          <w:color w:val="5D6779"/>
          <w:sz w:val="18"/>
          <w:szCs w:val="18"/>
        </w:rPr>
        <w:t xml:space="preserve">Compte rendu d'un import : une maille ajoutée, six déjà présentes</w:t>
      </w:r>
    </w:p>
    <w:p>
      <w:pPr>
        <w:pStyle w:val="ListParagraph"/>
        <w:numPr>
          <w:ilvl w:val="0"/>
          <w:numId w:val="2"/>
        </w:numPr>
        <w:spacing w:after="60" w:line="276"/>
      </w:pPr>
      <w:r>
        <w:rPr>
          <w:b/>
          <w:bCs/>
        </w:rPr>
        <w:t xml:space="preserve">Le premier compteur</w:t>
      </w:r>
      <w:r>
        <w:t xml:space="preserve"> (fond bleu) donne le nombre de mailles ajoutées ; le tableau qui suit les liste avec leur SIREN et leur société.</w:t>
      </w:r>
    </w:p>
    <w:p>
      <w:pPr>
        <w:pStyle w:val="ListParagraph"/>
        <w:numPr>
          <w:ilvl w:val="0"/>
          <w:numId w:val="2"/>
        </w:numPr>
        <w:spacing w:after="60" w:line="276"/>
      </w:pPr>
      <w:r>
        <w:rPr>
          <w:b/>
          <w:bCs/>
        </w:rPr>
        <w:t xml:space="preserve">Le deuxième</w:t>
      </w:r>
      <w:r>
        <w:t xml:space="preserve"> donne le nombre de mailles déjà présentes, non importées. Cliquez sur la ligne « … mailles déjà présentes, non importées (statut conservé) » pour afficher leur liste et leur numéro de ligne dans le fichier.</w:t>
      </w:r>
    </w:p>
    <w:p>
      <w:pPr>
        <w:pStyle w:val="ListParagraph"/>
        <w:numPr>
          <w:ilvl w:val="0"/>
          <w:numId w:val="2"/>
        </w:numPr>
        <w:spacing w:after="60" w:line="276"/>
      </w:pPr>
      <w:r>
        <w:rPr>
          <w:b/>
          <w:bCs/>
        </w:rPr>
        <w:t xml:space="preserve">Le troisième</w:t>
      </w:r>
      <w:r>
        <w:t xml:space="preserve"> (fond rouge s'il n'est pas nul) donne le nombre de lignes ignorées ; leur numéro et le motif sont détaillés sous « Lignes ignorées ».</w:t>
      </w:r>
    </w:p>
    <w:p>
      <w:pPr>
        <w:pStyle w:val="Heading2"/>
      </w:pPr>
      <w:r>
        <w:t xml:space="preserve">3.6 Contrôles après import</w:t>
      </w:r>
    </w:p>
    <w:p>
      <w:pPr>
        <w:pStyle w:val="ListParagraph"/>
        <w:numPr>
          <w:ilvl w:val="0"/>
          <w:numId w:val="8"/>
        </w:numPr>
        <w:spacing w:after="80" w:line="276"/>
      </w:pPr>
      <w:r>
        <w:t xml:space="preserve">Si des lignes ont été ignorées, ouvrez le fichier et vérifiez les lignes signalées (SIREN incomplet, maille vide).</w:t>
      </w:r>
    </w:p>
    <w:p>
      <w:pPr>
        <w:pStyle w:val="ListParagraph"/>
        <w:numPr>
          <w:ilvl w:val="0"/>
          <w:numId w:val="8"/>
        </w:numPr>
        <w:spacing w:after="80" w:line="276"/>
      </w:pPr>
      <w:r>
        <w:t xml:space="preserve">Ouvrez l'onglet </w:t>
      </w:r>
      <w:r>
        <w:rPr>
          <w:b/>
          <w:bCs/>
        </w:rPr>
        <w:t xml:space="preserve">Sociétés</w:t>
      </w:r>
      <w:r>
        <w:t xml:space="preserve"> et renseignez le nom des SIREN apparus sans nom (voir 2.5).</w:t>
      </w:r>
    </w:p>
    <w:p>
      <w:pPr>
        <w:pStyle w:val="ListParagraph"/>
        <w:numPr>
          <w:ilvl w:val="0"/>
          <w:numId w:val="8"/>
        </w:numPr>
        <w:spacing w:after="80" w:line="276"/>
      </w:pPr>
      <w:r>
        <w:t xml:space="preserve">Ouvrez l'onglet </w:t>
      </w:r>
      <w:r>
        <w:rPr>
          <w:b/>
          <w:bCs/>
        </w:rPr>
        <w:t xml:space="preserve">Mailles</w:t>
      </w:r>
      <w:r>
        <w:t xml:space="preserve"> et cliquez sur le compteur </w:t>
      </w:r>
      <w:r>
        <w:rPr>
          <w:b/>
          <w:bCs/>
        </w:rPr>
        <w:t xml:space="preserve">Nouveau</w:t>
      </w:r>
      <w:r>
        <w:t xml:space="preserve"> : la liste affiche les mailles à traiter (voir partie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FF4E0" w:sz="4"/>
              <w:left w:val="single" w:color="C98A1B" w:sz="24"/>
              <w:bottom w:val="single" w:color="FFF4E0" w:sz="4"/>
              <w:right w:val="single" w:color="FFF4E0" w:sz="4"/>
            </w:tcBorders>
            <w:shd w:fill="FFF4E0" w:color="auto" w:val="clear"/>
            <w:tcMar>
              <w:top w:type="dxa" w:w="120"/>
              <w:left w:type="dxa" w:w="200"/>
              <w:bottom w:type="dxa" w:w="120"/>
              <w:right w:type="dxa" w:w="200"/>
            </w:tcMar>
          </w:tcPr>
          <w:p>
            <w:pPr>
              <w:spacing w:after="60"/>
            </w:pPr>
            <w:r>
              <w:rPr>
                <w:b/>
                <w:bCs/>
                <w:color w:val="C98A1B"/>
              </w:rPr>
              <w:t xml:space="preserve">Maille supprimée puis réimportée</w:t>
            </w:r>
          </w:p>
          <w:p>
            <w:pPr>
              <w:spacing w:after="60" w:line="276"/>
            </w:pPr>
            <w:r>
              <w:t xml:space="preserve">Une maille supprimée dans l'application est de nouveau ajoutée au statut </w:t>
            </w:r>
            <w:r>
              <w:rPr>
                <w:b/>
                <w:bCs/>
              </w:rPr>
              <w:t xml:space="preserve">Nouveau</w:t>
            </w:r>
            <w:r>
              <w:t xml:space="preserve"> au prochain import si elle figure toujours dans l'annuaire. Pour écarter durablement une maille, qualifiez-la </w:t>
            </w:r>
            <w:r>
              <w:rPr>
                <w:b/>
                <w:bCs/>
              </w:rPr>
              <w:t xml:space="preserve">Non légitime</w:t>
            </w:r>
            <w:r>
              <w:t xml:space="preserve"> plutôt que de la supprimer (voir 4.7).</w:t>
            </w:r>
          </w:p>
        </w:tc>
      </w:tr>
    </w:tbl>
    <w:p>
      <w:pPr>
        <w:pStyle w:val="Heading1"/>
        <w:pageBreakBefore/>
      </w:pPr>
      <w:r>
        <w:t xml:space="preserve">4. Traitement des mailles</w:t>
      </w:r>
    </w:p>
    <w:p>
      <w:pPr>
        <w:pStyle w:val="Heading2"/>
      </w:pPr>
      <w:r>
        <w:t xml:space="preserve">4.1 Cycle de vie d'une maille</w:t>
      </w:r>
    </w:p>
    <w:p>
      <w:pPr>
        <w:spacing w:after="120" w:line="288"/>
      </w:pPr>
      <w:r>
        <w:t xml:space="preserve">Toute maille suit le même cycle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2638"/>
        <w:gridCol w:w="1200"/>
        <w:gridCol w:w="2200"/>
      </w:tblGrid>
      <w:tr>
        <w:tc>
          <w:tcPr>
            <w:tcW w:type="dxa" w:w="24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rPr>
                <w:b/>
                <w:bCs/>
              </w:rPr>
              <w:t xml:space="preserve">Import depuis l'annuaire</w:t>
            </w:r>
          </w:p>
        </w:tc>
        <w:tc>
          <w:tcPr>
            <w:tcW w:type="dxa" w:w="12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rPr>
                <w:b/>
                <w:bCs/>
                <w:sz w:val="28"/>
                <w:szCs w:val="28"/>
              </w:rPr>
              <w:t xml:space="preserve">→</w:t>
            </w:r>
          </w:p>
        </w:tc>
        <w:tc>
          <w:tcPr>
            <w:tcW w:type="dxa" w:w="2638"/>
            <w:tcBorders>
              <w:top w:val="single" w:color="C4CAD4" w:sz="4"/>
              <w:left w:val="single" w:color="C4CAD4" w:sz="4"/>
              <w:bottom w:val="single" w:color="C4CAD4" w:sz="4"/>
              <w:right w:val="single" w:color="C4CAD4" w:sz="4"/>
            </w:tcBorders>
            <w:shd w:fill="E6EEFC" w:color="auto" w:val="clear"/>
            <w:tcMar>
              <w:top w:type="dxa" w:w="80"/>
              <w:left w:type="dxa" w:w="120"/>
              <w:bottom w:type="dxa" w:w="80"/>
              <w:right w:type="dxa" w:w="120"/>
            </w:tcMar>
            <w:vAlign w:val="center"/>
          </w:tcPr>
          <w:p>
            <w:pPr>
              <w:spacing w:after="40"/>
            </w:pPr>
            <w:r>
              <w:rPr>
                <w:b/>
                <w:bCs/>
                <w:color w:val="1F5FD1"/>
              </w:rPr>
              <w:t xml:space="preserve">NOUVEAU</w:t>
            </w:r>
          </w:p>
        </w:tc>
        <w:tc>
          <w:tcPr>
            <w:tcW w:type="dxa" w:w="12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rPr>
                <w:b/>
                <w:bCs/>
                <w:sz w:val="28"/>
                <w:szCs w:val="28"/>
              </w:rPr>
              <w:t xml:space="preserve">→</w:t>
            </w:r>
          </w:p>
        </w:tc>
        <w:tc>
          <w:tcPr>
            <w:tcW w:type="dxa" w:w="22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80"/>
            </w:pPr>
            <w:r>
              <w:rPr>
                <w:b/>
                <w:bCs/>
                <w:color w:val="1D7A45"/>
              </w:rPr>
              <w:t xml:space="preserve">LÉGITIME</w:t>
            </w:r>
          </w:p>
          <w:p>
            <w:pPr>
              <w:spacing w:after="80"/>
            </w:pPr>
            <w:r>
              <w:rPr>
                <w:i/>
                <w:iCs/>
                <w:color w:val="5D6779"/>
              </w:rPr>
              <w:t xml:space="preserve">ou</w:t>
            </w:r>
          </w:p>
          <w:p>
            <w:r>
              <w:rPr>
                <w:b/>
                <w:bCs/>
                <w:color w:val="C0322B"/>
              </w:rPr>
              <w:t xml:space="preserve">NON LÉGITIME</w:t>
            </w:r>
          </w:p>
        </w:tc>
      </w:tr>
      <w:tr>
        <w:tc>
          <w:tcPr>
            <w:tcW w:type="dxa" w:w="24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rPr>
                <w:color w:val="5D6779"/>
                <w:sz w:val="18"/>
                <w:szCs w:val="18"/>
              </w:rPr>
              <w:t xml:space="preserve">La maille est ajoutée automatiquement</w:t>
            </w:r>
          </w:p>
        </w:tc>
        <w:tc>
          <w:tcPr>
            <w:tcW w:type="dxa" w:w="12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p>
        </w:tc>
        <w:tc>
          <w:tcPr>
            <w:tcW w:type="dxa" w:w="26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rPr>
                <w:color w:val="5D6779"/>
                <w:sz w:val="18"/>
                <w:szCs w:val="18"/>
              </w:rPr>
              <w:t xml:space="preserve">À analyser</w:t>
            </w:r>
          </w:p>
        </w:tc>
        <w:tc>
          <w:tcPr>
            <w:tcW w:type="dxa" w:w="12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rPr>
                <w:color w:val="5D6779"/>
                <w:sz w:val="18"/>
                <w:szCs w:val="18"/>
              </w:rPr>
              <w:t xml:space="preserve">Analyse</w:t>
            </w:r>
          </w:p>
        </w:tc>
        <w:tc>
          <w:tcPr>
            <w:tcW w:type="dxa" w:w="22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rPr>
                <w:color w:val="5D6779"/>
                <w:sz w:val="18"/>
                <w:szCs w:val="18"/>
              </w:rPr>
              <w:t xml:space="preserve">Décision enregistrée ; modifiable à tout moment</w:t>
            </w:r>
          </w:p>
        </w:tc>
      </w:tr>
    </w:tbl>
    <w:p>
      <w:pPr>
        <w:spacing w:after="120"/>
      </w:pPr>
    </w:p>
    <w:p>
      <w:pPr>
        <w:spacing w:after="120" w:line="288"/>
      </w:pPr>
      <w:r>
        <w:t xml:space="preserve">Le statut n'est jamais modifié par un import : seul un utilisateur fait passer une maille de </w:t>
      </w:r>
      <w:r>
        <w:rPr>
          <w:b/>
          <w:bCs/>
        </w:rPr>
        <w:t xml:space="preserve">Nouveau</w:t>
      </w:r>
      <w:r>
        <w:t xml:space="preserve"> à </w:t>
      </w:r>
      <w:r>
        <w:rPr>
          <w:b/>
          <w:bCs/>
        </w:rPr>
        <w:t xml:space="preserve">Légitime</w:t>
      </w:r>
      <w:r>
        <w:t xml:space="preserve"> ou </w:t>
      </w:r>
      <w:r>
        <w:rPr>
          <w:b/>
          <w:bCs/>
        </w:rPr>
        <w:t xml:space="preserve">Non légitime</w:t>
      </w:r>
      <w:r>
        <w:t xml:space="preserve">. Une décision peut être corrigée à tout moment, y compris un retour à </w:t>
      </w:r>
      <w:r>
        <w:rPr>
          <w:b/>
          <w:bCs/>
        </w:rPr>
        <w:t xml:space="preserve">Nouveau</w:t>
      </w:r>
      <w:r>
        <w:t xml:space="preserve"> pour une nouvelle analyse.</w:t>
      </w:r>
    </w:p>
    <w:p>
      <w:pPr>
        <w:pStyle w:val="Heading2"/>
      </w:pPr>
      <w:r>
        <w:t xml:space="preserve">4.2 L'écran Mailles</w:t>
      </w:r>
    </w:p>
    <w:p>
      <w:pPr>
        <w:keepNext/>
        <w:spacing w:after="60" w:before="120"/>
        <w:jc w:val="center"/>
      </w:pPr>
      <w:r>
        <w:drawing>
          <wp:inline distT="0" distB="0" distL="0" distR="0">
            <wp:extent cx="5905500" cy="3400425"/>
            <wp:effectExtent t="0" r="0" b="0" l="0"/>
            <wp:docPr id="1" name="mailles.png" descr="Onglet Mailles : répartition par statut et liste des mailles" title="Onglet Mailles : répartition par statut et liste des mai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400425"/>
                    </a:xfrm>
                    <a:prstGeom prst="rect">
                      <a:avLst/>
                    </a:prstGeom>
                  </pic:spPr>
                </pic:pic>
              </a:graphicData>
            </a:graphic>
          </wp:inline>
        </w:drawing>
      </w:r>
    </w:p>
    <w:p>
      <w:pPr>
        <w:spacing w:after="200"/>
        <w:jc w:val="center"/>
      </w:pPr>
      <w:r>
        <w:rPr>
          <w:b/>
          <w:bCs/>
          <w:color w:val="5D6779"/>
          <w:sz w:val="18"/>
          <w:szCs w:val="18"/>
        </w:rPr>
        <w:t xml:space="preserve">Figure 10 – </w:t>
      </w:r>
      <w:r>
        <w:rPr>
          <w:i/>
          <w:iCs/>
          <w:color w:val="5D6779"/>
          <w:sz w:val="18"/>
          <w:szCs w:val="18"/>
        </w:rPr>
        <w:t xml:space="preserve">Onglet Mailles : répartition par statut et liste des mailles</w:t>
      </w:r>
    </w:p>
    <w:p>
      <w:pPr>
        <w:spacing w:after="120" w:line="288"/>
      </w:pPr>
      <w:r>
        <w:t xml:space="preserve">L'écran comprend deux parties :</w:t>
      </w:r>
    </w:p>
    <w:p>
      <w:pPr>
        <w:pStyle w:val="ListParagraph"/>
        <w:numPr>
          <w:ilvl w:val="0"/>
          <w:numId w:val="2"/>
        </w:numPr>
        <w:spacing w:after="60" w:line="276"/>
      </w:pPr>
      <w:r>
        <w:rPr>
          <w:b/>
          <w:bCs/>
        </w:rPr>
        <w:t xml:space="preserve">la répartition par statut</w:t>
      </w:r>
      <w:r>
        <w:t xml:space="preserve">, en haut : une barre de couleur et trois compteurs (nombre et pourcentage de mailles Nouveau, Légitime et Non légitime) ;</w:t>
      </w:r>
    </w:p>
    <w:p>
      <w:pPr>
        <w:pStyle w:val="ListParagraph"/>
        <w:numPr>
          <w:ilvl w:val="0"/>
          <w:numId w:val="2"/>
        </w:numPr>
        <w:spacing w:after="60" w:line="276"/>
      </w:pPr>
      <w:r>
        <w:rPr>
          <w:b/>
          <w:bCs/>
        </w:rPr>
        <w:t xml:space="preserve">la liste des mailles</w:t>
      </w:r>
      <w:r>
        <w:t xml:space="preserve"> : Société, SIREN, Maille, Statut, et un bouton de suppression en bout de ligne.</w:t>
      </w:r>
    </w:p>
    <w:p>
      <w:pPr>
        <w:pStyle w:val="Heading3"/>
      </w:pPr>
      <w:r>
        <w:t xml:space="preserve">La répartition par statut</w:t>
      </w:r>
    </w:p>
    <w:p>
      <w:pPr>
        <w:keepNext/>
        <w:spacing w:after="60" w:before="120"/>
        <w:jc w:val="center"/>
      </w:pPr>
      <w:r>
        <w:drawing>
          <wp:inline distT="0" distB="0" distL="0" distR="0">
            <wp:extent cx="5905500" cy="838200"/>
            <wp:effectExtent t="0" r="0" b="0" l="0"/>
            <wp:docPr id="1" name="synthese.png" descr="Barre de répartition et compteurs par statut" title="Barre de répartition et compteurs par stat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838200"/>
                    </a:xfrm>
                    <a:prstGeom prst="rect">
                      <a:avLst/>
                    </a:prstGeom>
                  </pic:spPr>
                </pic:pic>
              </a:graphicData>
            </a:graphic>
          </wp:inline>
        </w:drawing>
      </w:r>
    </w:p>
    <w:p>
      <w:pPr>
        <w:spacing w:after="200"/>
        <w:jc w:val="center"/>
      </w:pPr>
      <w:r>
        <w:rPr>
          <w:b/>
          <w:bCs/>
          <w:color w:val="5D6779"/>
          <w:sz w:val="18"/>
          <w:szCs w:val="18"/>
        </w:rPr>
        <w:t xml:space="preserve">Figure 11 – </w:t>
      </w:r>
      <w:r>
        <w:rPr>
          <w:i/>
          <w:iCs/>
          <w:color w:val="5D6779"/>
          <w:sz w:val="18"/>
          <w:szCs w:val="18"/>
        </w:rPr>
        <w:t xml:space="preserve">Barre de répartition et compteurs par statut</w:t>
      </w:r>
    </w:p>
    <w:p>
      <w:pPr>
        <w:spacing w:after="120" w:line="288"/>
      </w:pPr>
      <w:r>
        <w:t xml:space="preserve">La répartition suit les filtres Société, SIREN et Maille : filtrée sur une société, elle donne la répartition des mailles de cette société. Elle ne suit pas le filtre de statut, pour toujours montrer la répartition complète du périmètre affiché. Le total en haut à droite indique le nombre de mailles du périmètre (« 7 mailles », ou « 4 mailles sur 7 » quand un filtre est actif).</w:t>
      </w:r>
    </w:p>
    <w:p>
      <w:pPr>
        <w:spacing w:after="120" w:line="288"/>
      </w:pPr>
      <w:r>
        <w:t xml:space="preserve">Un </w:t>
      </w:r>
      <w:r>
        <w:rPr>
          <w:b/>
          <w:bCs/>
        </w:rPr>
        <w:t xml:space="preserve">clic sur un compteur</w:t>
      </w:r>
      <w:r>
        <w:t xml:space="preserve"> filtre la liste sur ce statut ; un second clic retire le filtre. Le compteur sélectionné est encadré.</w:t>
      </w:r>
    </w:p>
    <w:p>
      <w:pPr>
        <w:pStyle w:val="Heading2"/>
      </w:pPr>
      <w:r>
        <w:t xml:space="preserve">4.3 Rechercher et filtrer les mailles</w:t>
      </w:r>
    </w:p>
    <w:p>
      <w:pPr>
        <w:spacing w:after="120" w:line="288"/>
      </w:pPr>
      <w:r>
        <w:t xml:space="preserve">Chaque colonne a son champ de filtre, sous l'en-tête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Filtre</w:t>
            </w:r>
          </w:p>
        </w:tc>
        <w:tc>
          <w:tcPr>
            <w:tcW w:type="dxa" w:w="7838"/>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Fonctionnement</w:t>
            </w:r>
          </w:p>
        </w:tc>
      </w:tr>
      <w:tr>
        <w:trPr>
          <w:cantSplit/>
        </w:trPr>
        <w:tc>
          <w:tcPr>
            <w:tcW w:type="dxa" w:w="18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Société</w:t>
            </w:r>
          </w:p>
        </w:tc>
        <w:tc>
          <w:tcPr>
            <w:tcW w:type="dxa" w:w="78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Recherche dans le nom de la société, sans tenir compte des majuscules ni des accents.</w:t>
            </w:r>
          </w:p>
        </w:tc>
      </w:tr>
      <w:tr>
        <w:trPr>
          <w:cantSplit/>
        </w:trPr>
        <w:tc>
          <w:tcPr>
            <w:tcW w:type="dxa" w:w="18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SIREN</w:t>
            </w:r>
          </w:p>
        </w:tc>
        <w:tc>
          <w:tcPr>
            <w:tcW w:type="dxa" w:w="7838"/>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Recherche avec ou sans espaces, numéro complet ou partiel.</w:t>
            </w:r>
          </w:p>
        </w:tc>
      </w:tr>
      <w:tr>
        <w:trPr>
          <w:cantSplit/>
        </w:trPr>
        <w:tc>
          <w:tcPr>
            <w:tcW w:type="dxa" w:w="18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Maille</w:t>
            </w:r>
          </w:p>
        </w:tc>
        <w:tc>
          <w:tcPr>
            <w:tcW w:type="dxa" w:w="78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Recherche dans le code de la maille (par exemple « ndf », « arval »).</w:t>
            </w:r>
          </w:p>
        </w:tc>
      </w:tr>
      <w:tr>
        <w:trPr>
          <w:cantSplit/>
        </w:trPr>
        <w:tc>
          <w:tcPr>
            <w:tcW w:type="dxa" w:w="18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Statut</w:t>
            </w:r>
          </w:p>
        </w:tc>
        <w:tc>
          <w:tcPr>
            <w:tcW w:type="dxa" w:w="7838"/>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Liste : Tous, Nouveau, Légitime ou Non légitime. Équivaut au clic sur un compteur.</w:t>
            </w:r>
          </w:p>
        </w:tc>
      </w:tr>
    </w:tbl>
    <w:p>
      <w:pPr>
        <w:spacing w:after="120"/>
      </w:pPr>
    </w:p>
    <w:p>
      <w:pPr>
        <w:spacing w:after="120" w:line="288"/>
      </w:pPr>
      <w:r>
        <w:t xml:space="preserve">Les filtres se combinent. Le texte trouvé est surligné dans la liste, et le nombre de lignes affichées est indiqué en haut à gauche de la liste. Le bouton </w:t>
      </w:r>
      <w:r>
        <w:rPr>
          <w:b/>
          <w:bCs/>
        </w:rPr>
        <w:t xml:space="preserve">Effacer les filtres</w:t>
      </w:r>
      <w:r>
        <w:t xml:space="preserve"> remet tous les filtres à zéro.</w:t>
      </w:r>
    </w:p>
    <w:p>
      <w:pPr>
        <w:keepNext/>
        <w:spacing w:after="60" w:before="120"/>
        <w:jc w:val="center"/>
      </w:pPr>
      <w:r>
        <w:drawing>
          <wp:inline distT="0" distB="0" distL="0" distR="0">
            <wp:extent cx="5905500" cy="1181100"/>
            <wp:effectExtent t="0" r="0" b="0" l="0"/>
            <wp:docPr id="1" name="mailles-filtre.png" descr="Filtre sur la colonne Maille : le texte trouvé est surligné" title="Filtre sur la colonne Maille : le texte trouvé est surlign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181100"/>
                    </a:xfrm>
                    <a:prstGeom prst="rect">
                      <a:avLst/>
                    </a:prstGeom>
                  </pic:spPr>
                </pic:pic>
              </a:graphicData>
            </a:graphic>
          </wp:inline>
        </w:drawing>
      </w:r>
    </w:p>
    <w:p>
      <w:pPr>
        <w:spacing w:after="200"/>
        <w:jc w:val="center"/>
      </w:pPr>
      <w:r>
        <w:rPr>
          <w:b/>
          <w:bCs/>
          <w:color w:val="5D6779"/>
          <w:sz w:val="18"/>
          <w:szCs w:val="18"/>
        </w:rPr>
        <w:t xml:space="preserve">Figure 12 – </w:t>
      </w:r>
      <w:r>
        <w:rPr>
          <w:i/>
          <w:iCs/>
          <w:color w:val="5D6779"/>
          <w:sz w:val="18"/>
          <w:szCs w:val="18"/>
        </w:rPr>
        <w:t xml:space="preserve">Filtre sur la colonne Maille : le texte trouvé est surligné</w:t>
      </w:r>
    </w:p>
    <w:p>
      <w:pPr>
        <w:pStyle w:val="Heading2"/>
      </w:pPr>
      <w:r>
        <w:t xml:space="preserve">4.4 Qualifier une maille</w:t>
      </w:r>
    </w:p>
    <w:p>
      <w:pPr>
        <w:pStyle w:val="ListParagraph"/>
        <w:numPr>
          <w:ilvl w:val="0"/>
          <w:numId w:val="9"/>
        </w:numPr>
        <w:spacing w:after="80" w:line="276"/>
      </w:pPr>
      <w:r>
        <w:t xml:space="preserve">Repérez la maille dans la liste (au besoin avec les filtres).</w:t>
      </w:r>
    </w:p>
    <w:p>
      <w:pPr>
        <w:pStyle w:val="ListParagraph"/>
        <w:numPr>
          <w:ilvl w:val="0"/>
          <w:numId w:val="9"/>
        </w:numPr>
        <w:spacing w:after="80" w:line="276"/>
      </w:pPr>
      <w:r>
        <w:t xml:space="preserve">Cliquez sur la pastille de statut, dans la colonne </w:t>
      </w:r>
      <w:r>
        <w:rPr>
          <w:b/>
          <w:bCs/>
        </w:rPr>
        <w:t xml:space="preserve">Statut</w:t>
      </w:r>
      <w:r>
        <w:t xml:space="preserve">.</w:t>
      </w:r>
    </w:p>
    <w:p>
      <w:pPr>
        <w:pStyle w:val="ListParagraph"/>
        <w:numPr>
          <w:ilvl w:val="0"/>
          <w:numId w:val="9"/>
        </w:numPr>
        <w:spacing w:after="80" w:line="276"/>
      </w:pPr>
      <w:r>
        <w:t xml:space="preserve">Choisissez </w:t>
      </w:r>
      <w:r>
        <w:rPr>
          <w:b/>
          <w:bCs/>
        </w:rPr>
        <w:t xml:space="preserve">Légitime</w:t>
      </w:r>
      <w:r>
        <w:t xml:space="preserve"> ou </w:t>
      </w:r>
      <w:r>
        <w:rPr>
          <w:b/>
          <w:bCs/>
        </w:rPr>
        <w:t xml:space="preserve">Non légitime</w:t>
      </w:r>
      <w:r>
        <w:t xml:space="preserve"> dans la liste.</w:t>
      </w:r>
    </w:p>
    <w:p>
      <w:pPr>
        <w:pStyle w:val="ListParagraph"/>
        <w:numPr>
          <w:ilvl w:val="0"/>
          <w:numId w:val="9"/>
        </w:numPr>
        <w:spacing w:after="80" w:line="276"/>
      </w:pPr>
      <w:r>
        <w:t xml:space="preserve">La pastille prend la couleur du nouveau statut, les compteurs se mettent à jour et le message de confirmation s'affiche, par exemple « 055804124_FILM (Société exemple 1) : Légitime ».</w:t>
      </w:r>
    </w:p>
    <w:p>
      <w:pPr>
        <w:spacing w:after="120" w:line="288"/>
      </w:pPr>
      <w:r>
        <w:t xml:space="preserve">La date de la modification et, si l'authentification Windows est activée sur le serveur, le compte de la personne qui l'a faite sont enregistrés. Ils figurent dans l'export Excel (voir 4.8).</w:t>
      </w:r>
    </w:p>
    <w:p>
      <w:pPr>
        <w:pStyle w:val="Heading2"/>
      </w:pPr>
      <w:r>
        <w:t xml:space="preserve">4.5 Méthode de traitement recommandée</w:t>
      </w:r>
    </w:p>
    <w:p>
      <w:pPr>
        <w:pStyle w:val="ListParagraph"/>
        <w:numPr>
          <w:ilvl w:val="0"/>
          <w:numId w:val="10"/>
        </w:numPr>
        <w:spacing w:after="80" w:line="276"/>
      </w:pPr>
      <w:r>
        <w:t xml:space="preserve">Cliquez sur le compteur </w:t>
      </w:r>
      <w:r>
        <w:rPr>
          <w:b/>
          <w:bCs/>
        </w:rPr>
        <w:t xml:space="preserve">Nouveau</w:t>
      </w:r>
      <w:r>
        <w:t xml:space="preserve"> pour n'afficher que les mailles à traiter.</w:t>
      </w:r>
    </w:p>
    <w:p>
      <w:pPr>
        <w:pStyle w:val="ListParagraph"/>
        <w:numPr>
          <w:ilvl w:val="0"/>
          <w:numId w:val="10"/>
        </w:numPr>
        <w:spacing w:after="80" w:line="276"/>
      </w:pPr>
      <w:r>
        <w:t xml:space="preserve">Traitez société par société : saisissez le nom de la société dans le filtre Société, ou utilisez le lien « N mailles » de l'onglet Sociétés.</w:t>
      </w:r>
    </w:p>
    <w:p>
      <w:pPr>
        <w:pStyle w:val="ListParagraph"/>
        <w:numPr>
          <w:ilvl w:val="0"/>
          <w:numId w:val="10"/>
        </w:numPr>
        <w:spacing w:after="80" w:line="276"/>
      </w:pPr>
      <w:r>
        <w:t xml:space="preserve">Pour chaque maille, analysez le code de l'adresse de facturation selon les règles de votre service, puis choisissez </w:t>
      </w:r>
      <w:r>
        <w:rPr>
          <w:b/>
          <w:bCs/>
        </w:rPr>
        <w:t xml:space="preserve">Légitime</w:t>
      </w:r>
      <w:r>
        <w:t xml:space="preserve"> ou </w:t>
      </w:r>
      <w:r>
        <w:rPr>
          <w:b/>
          <w:bCs/>
        </w:rPr>
        <w:t xml:space="preserve">Non légitime</w:t>
      </w:r>
      <w:r>
        <w:t xml:space="preserve">. Les mailles qualifiées disparaissent de la liste filtrée au fur et à mesure.</w:t>
      </w:r>
    </w:p>
    <w:p>
      <w:pPr>
        <w:pStyle w:val="ListParagraph"/>
        <w:numPr>
          <w:ilvl w:val="0"/>
          <w:numId w:val="10"/>
        </w:numPr>
        <w:spacing w:after="80" w:line="276"/>
      </w:pPr>
      <w:r>
        <w:t xml:space="preserve">Le traitement est terminé quand le compteur </w:t>
      </w:r>
      <w:r>
        <w:rPr>
          <w:b/>
          <w:bCs/>
        </w:rPr>
        <w:t xml:space="preserve">Nouveau</w:t>
      </w:r>
      <w:r>
        <w:t xml:space="preserve"> affiche </w:t>
      </w:r>
      <w:r>
        <w:rPr>
          <w:b/>
          <w:bCs/>
        </w:rPr>
        <w:t xml:space="preserve">0</w:t>
      </w:r>
      <w:r>
        <w:t xml:space="preserve">.</w:t>
      </w:r>
    </w:p>
    <w:p>
      <w:pPr>
        <w:pStyle w:val="ListParagraph"/>
        <w:numPr>
          <w:ilvl w:val="0"/>
          <w:numId w:val="10"/>
        </w:numPr>
        <w:spacing w:after="80" w:line="276"/>
      </w:pPr>
      <w:r>
        <w:t xml:space="preserve">Exportez la liste vers Excel pour en garder une trace ou la diffuser (voir 4.8).</w:t>
      </w:r>
    </w:p>
    <w:p>
      <w:pPr>
        <w:keepNext/>
        <w:spacing w:after="60" w:before="120"/>
        <w:jc w:val="center"/>
      </w:pPr>
      <w:r>
        <w:drawing>
          <wp:inline distT="0" distB="0" distL="0" distR="0">
            <wp:extent cx="5905500" cy="2619375"/>
            <wp:effectExtent t="0" r="0" b="0" l="0"/>
            <wp:docPr id="1" name="mailles-nouveau.png" descr="Liste filtrée sur les mailles au statut Nouveau" title="Liste filtrée sur les mailles au statut Nouve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2619375"/>
                    </a:xfrm>
                    <a:prstGeom prst="rect">
                      <a:avLst/>
                    </a:prstGeom>
                  </pic:spPr>
                </pic:pic>
              </a:graphicData>
            </a:graphic>
          </wp:inline>
        </w:drawing>
      </w:r>
    </w:p>
    <w:p>
      <w:pPr>
        <w:spacing w:after="200"/>
        <w:jc w:val="center"/>
      </w:pPr>
      <w:r>
        <w:rPr>
          <w:b/>
          <w:bCs/>
          <w:color w:val="5D6779"/>
          <w:sz w:val="18"/>
          <w:szCs w:val="18"/>
        </w:rPr>
        <w:t xml:space="preserve">Figure 13 – </w:t>
      </w:r>
      <w:r>
        <w:rPr>
          <w:i/>
          <w:iCs/>
          <w:color w:val="5D6779"/>
          <w:sz w:val="18"/>
          <w:szCs w:val="18"/>
        </w:rPr>
        <w:t xml:space="preserve">Liste filtrée sur les mailles au statut Nouveau</w:t>
      </w:r>
    </w:p>
    <w:p>
      <w:pPr>
        <w:pStyle w:val="Heading3"/>
      </w:pPr>
      <w:r>
        <w:t xml:space="preserve">Exemple de grille d'analyse (à adapter à vos règles)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38"/>
        <w:gridCol w:w="2200"/>
        <w:gridCol w:w="2200"/>
      </w:tblGrid>
      <w:tr>
        <w:trPr>
          <w:tblHeader/>
        </w:trPr>
        <w:tc>
          <w:tcPr>
            <w:tcW w:type="dxa" w:w="5238"/>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Question</w:t>
            </w:r>
          </w:p>
        </w:tc>
        <w:tc>
          <w:tcPr>
            <w:tcW w:type="dxa" w:w="2200"/>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Si oui</w:t>
            </w:r>
          </w:p>
        </w:tc>
        <w:tc>
          <w:tcPr>
            <w:tcW w:type="dxa" w:w="2200"/>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Si non</w:t>
            </w:r>
          </w:p>
        </w:tc>
      </w:tr>
      <w:tr>
        <w:trPr>
          <w:cantSplit/>
        </w:trPr>
        <w:tc>
          <w:tcPr>
            <w:tcW w:type="dxa" w:w="52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La maille correspond-elle à une entité, une activité ou un usage connu de la société ?</w:t>
            </w:r>
          </w:p>
        </w:tc>
        <w:tc>
          <w:tcPr>
            <w:tcW w:type="dxa" w:w="22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Plutôt Légitime</w:t>
            </w:r>
          </w:p>
        </w:tc>
        <w:tc>
          <w:tcPr>
            <w:tcW w:type="dxa" w:w="22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Approfondir ou Non légitime</w:t>
            </w:r>
          </w:p>
        </w:tc>
      </w:tr>
      <w:tr>
        <w:trPr>
          <w:cantSplit/>
        </w:trPr>
        <w:tc>
          <w:tcPr>
            <w:tcW w:type="dxa" w:w="5238"/>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La maille a-t-elle été créée ou validée par la société elle-même ?</w:t>
            </w:r>
          </w:p>
        </w:tc>
        <w:tc>
          <w:tcPr>
            <w:tcW w:type="dxa" w:w="22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Plutôt Légitime</w:t>
            </w:r>
          </w:p>
        </w:tc>
        <w:tc>
          <w:tcPr>
            <w:tcW w:type="dxa" w:w="22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Non légitime</w:t>
            </w:r>
          </w:p>
        </w:tc>
      </w:tr>
      <w:tr>
        <w:trPr>
          <w:cantSplit/>
        </w:trPr>
        <w:tc>
          <w:tcPr>
            <w:tcW w:type="dxa" w:w="52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La maille fait-elle doublon avec une autre maille déjà légitime, sans justification ?</w:t>
            </w:r>
          </w:p>
        </w:tc>
        <w:tc>
          <w:tcPr>
            <w:tcW w:type="dxa" w:w="22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Non légitime</w:t>
            </w:r>
          </w:p>
        </w:tc>
        <w:tc>
          <w:tcPr>
            <w:tcW w:type="dxa" w:w="22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Poursuivre l'analyse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E8EEF8" w:sz="4"/>
              <w:left w:val="single" w:color="1F5FD1" w:sz="24"/>
              <w:bottom w:val="single" w:color="E8EEF8" w:sz="4"/>
              <w:right w:val="single" w:color="E8EEF8" w:sz="4"/>
            </w:tcBorders>
            <w:shd w:fill="E8EEF8" w:color="auto" w:val="clear"/>
            <w:tcMar>
              <w:top w:type="dxa" w:w="120"/>
              <w:left w:type="dxa" w:w="200"/>
              <w:bottom w:type="dxa" w:w="120"/>
              <w:right w:type="dxa" w:w="200"/>
            </w:tcMar>
          </w:tcPr>
          <w:p>
            <w:pPr>
              <w:spacing w:after="60"/>
            </w:pPr>
            <w:r>
              <w:rPr>
                <w:b/>
                <w:bCs/>
                <w:color w:val="1F5FD1"/>
              </w:rPr>
              <w:t xml:space="preserve">Information</w:t>
            </w:r>
          </w:p>
          <w:p>
            <w:pPr>
              <w:spacing w:after="60" w:line="276"/>
            </w:pPr>
            <w:r>
              <w:t xml:space="preserve">Cette grille est un exemple de démarche. Les critères de légitimité relèvent des règles de votre service ; complétez-la en conséquence.</w:t>
            </w:r>
          </w:p>
        </w:tc>
      </w:tr>
    </w:tbl>
    <w:p>
      <w:pPr>
        <w:spacing w:after="120"/>
      </w:pPr>
    </w:p>
    <w:p>
      <w:pPr>
        <w:pStyle w:val="Heading2"/>
      </w:pPr>
      <w:r>
        <w:t xml:space="preserve">4.6 Corriger un statut</w:t>
      </w:r>
    </w:p>
    <w:p>
      <w:pPr>
        <w:spacing w:after="120" w:line="288"/>
      </w:pPr>
      <w:r>
        <w:t xml:space="preserve">Choisissez simplement un autre statut dans la pastille de la maille. Il n'y a pas de limite au nombre de corrections ; seule la dernière modification (date et auteur) est conservée.</w:t>
      </w:r>
    </w:p>
    <w:p>
      <w:pPr>
        <w:pStyle w:val="Heading2"/>
      </w:pPr>
      <w:r>
        <w:t xml:space="preserve">4.7 Supprimer une maille</w:t>
      </w:r>
    </w:p>
    <w:p>
      <w:pPr>
        <w:spacing w:after="120" w:line="288"/>
      </w:pPr>
      <w:r>
        <w:t xml:space="preserve">La suppression retire définitivement une maille de l'application. Elle est réservée aux erreurs (maille importée à tort, code erroné). Pour une maille simplement refusée, préférez le statut </w:t>
      </w:r>
      <w:r>
        <w:rPr>
          <w:b/>
          <w:bCs/>
        </w:rPr>
        <w:t xml:space="preserve">Non légitime</w:t>
      </w:r>
      <w:r>
        <w:t xml:space="preserve">, qui garde la trace de la décision et empêche toute réimportation en « Nouveau ».</w:t>
      </w:r>
    </w:p>
    <w:p>
      <w:pPr>
        <w:pStyle w:val="ListParagraph"/>
        <w:numPr>
          <w:ilvl w:val="0"/>
          <w:numId w:val="11"/>
        </w:numPr>
        <w:spacing w:after="80" w:line="276"/>
      </w:pPr>
      <w:r>
        <w:t xml:space="preserve">Cliquez sur l'icône de </w:t>
      </w:r>
      <w:r>
        <w:rPr>
          <w:b/>
          <w:bCs/>
        </w:rPr>
        <w:t xml:space="preserve">corbeille</w:t>
      </w:r>
      <w:r>
        <w:t xml:space="preserve"> en bout de ligne.</w:t>
      </w:r>
    </w:p>
    <w:p>
      <w:pPr>
        <w:pStyle w:val="ListParagraph"/>
        <w:numPr>
          <w:ilvl w:val="0"/>
          <w:numId w:val="11"/>
        </w:numPr>
        <w:spacing w:after="80" w:line="276"/>
      </w:pPr>
      <w:r>
        <w:t xml:space="preserve">Une fenêtre de confirmation rappelle la maille, le SIREN, la société et le statut, avec un avertissement en rouge.</w:t>
      </w:r>
    </w:p>
    <w:p>
      <w:pPr>
        <w:pStyle w:val="ListParagraph"/>
        <w:numPr>
          <w:ilvl w:val="0"/>
          <w:numId w:val="11"/>
        </w:numPr>
        <w:spacing w:after="80" w:line="276"/>
      </w:pPr>
      <w:r>
        <w:t xml:space="preserve">Cliquez sur </w:t>
      </w:r>
      <w:r>
        <w:rPr>
          <w:b/>
          <w:bCs/>
        </w:rPr>
        <w:t xml:space="preserve">Supprimer définitivement</w:t>
      </w:r>
      <w:r>
        <w:t xml:space="preserve"> pour confirmer, ou sur </w:t>
      </w:r>
      <w:r>
        <w:rPr>
          <w:b/>
          <w:bCs/>
        </w:rPr>
        <w:t xml:space="preserve">Annuler</w:t>
      </w:r>
      <w:r>
        <w:t xml:space="preserve"> (ou touche Échap) pour renoncer.</w:t>
      </w:r>
    </w:p>
    <w:p>
      <w:pPr>
        <w:keepNext/>
        <w:spacing w:after="60" w:before="120"/>
        <w:jc w:val="center"/>
      </w:pPr>
      <w:r>
        <w:drawing>
          <wp:inline distT="0" distB="0" distL="0" distR="0">
            <wp:extent cx="3143250" cy="2390775"/>
            <wp:effectExtent t="0" r="0" b="0" l="0"/>
            <wp:docPr id="1" name="suppression.png" descr="Fenêtre de confirmation de suppression" title="Fenêtre de confirmation de sup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390775"/>
                    </a:xfrm>
                    <a:prstGeom prst="rect">
                      <a:avLst/>
                    </a:prstGeom>
                  </pic:spPr>
                </pic:pic>
              </a:graphicData>
            </a:graphic>
          </wp:inline>
        </w:drawing>
      </w:r>
    </w:p>
    <w:p>
      <w:pPr>
        <w:spacing w:after="200"/>
        <w:jc w:val="center"/>
      </w:pPr>
      <w:r>
        <w:rPr>
          <w:b/>
          <w:bCs/>
          <w:color w:val="5D6779"/>
          <w:sz w:val="18"/>
          <w:szCs w:val="18"/>
        </w:rPr>
        <w:t xml:space="preserve">Figure 14 – </w:t>
      </w:r>
      <w:r>
        <w:rPr>
          <w:i/>
          <w:iCs/>
          <w:color w:val="5D6779"/>
          <w:sz w:val="18"/>
          <w:szCs w:val="18"/>
        </w:rPr>
        <w:t xml:space="preserve">Fenêtre de confirmation de suppression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FF4E0" w:sz="4"/>
              <w:left w:val="single" w:color="C98A1B" w:sz="24"/>
              <w:bottom w:val="single" w:color="FFF4E0" w:sz="4"/>
              <w:right w:val="single" w:color="FFF4E0" w:sz="4"/>
            </w:tcBorders>
            <w:shd w:fill="FFF4E0" w:color="auto" w:val="clear"/>
            <w:tcMar>
              <w:top w:type="dxa" w:w="120"/>
              <w:left w:type="dxa" w:w="200"/>
              <w:bottom w:type="dxa" w:w="120"/>
              <w:right w:type="dxa" w:w="200"/>
            </w:tcMar>
          </w:tcPr>
          <w:p>
            <w:pPr>
              <w:spacing w:after="60"/>
            </w:pPr>
            <w:r>
              <w:rPr>
                <w:b/>
                <w:bCs/>
                <w:color w:val="C98A1B"/>
              </w:rPr>
              <w:t xml:space="preserve">Attention</w:t>
            </w:r>
          </w:p>
          <w:p>
            <w:pPr>
              <w:spacing w:after="60" w:line="276"/>
            </w:pPr>
            <w:r>
              <w:t xml:space="preserve">La suppression ne peut pas être annulée. Si la maille figure toujours dans l'annuaire, elle sera ajoutée de nouveau au statut </w:t>
            </w:r>
            <w:r>
              <w:rPr>
                <w:b/>
                <w:bCs/>
              </w:rPr>
              <w:t xml:space="preserve">Nouveau</w:t>
            </w:r>
            <w:r>
              <w:t xml:space="preserve"> au prochain import.</w:t>
            </w:r>
          </w:p>
        </w:tc>
      </w:tr>
    </w:tbl>
    <w:p>
      <w:pPr>
        <w:spacing w:after="120"/>
      </w:pPr>
    </w:p>
    <w:p>
      <w:pPr>
        <w:pStyle w:val="Heading2"/>
      </w:pPr>
      <w:r>
        <w:t xml:space="preserve">4.8 Exporter les mailles vers Excel</w:t>
      </w:r>
    </w:p>
    <w:p>
      <w:pPr>
        <w:pStyle w:val="ListParagraph"/>
        <w:numPr>
          <w:ilvl w:val="0"/>
          <w:numId w:val="12"/>
        </w:numPr>
        <w:spacing w:after="80" w:line="276"/>
      </w:pPr>
      <w:r>
        <w:t xml:space="preserve">Appliquez éventuellement des filtres : l'export reprend exactement les lignes affichées. Sans filtre, il contient toutes les mailles.</w:t>
      </w:r>
    </w:p>
    <w:p>
      <w:pPr>
        <w:pStyle w:val="ListParagraph"/>
        <w:numPr>
          <w:ilvl w:val="0"/>
          <w:numId w:val="12"/>
        </w:numPr>
        <w:spacing w:after="80" w:line="276"/>
      </w:pPr>
      <w:r>
        <w:t xml:space="preserve">Cliquez sur </w:t>
      </w:r>
      <w:r>
        <w:rPr>
          <w:b/>
          <w:bCs/>
        </w:rPr>
        <w:t xml:space="preserve">Exporter vers Excel</w:t>
      </w:r>
      <w:r>
        <w:t xml:space="preserve">, en haut à droite de la liste. Avec un filtre actif, le bouton indique le nombre de lignes exportées (« Exporter les 3 lignes vers Excel »).</w:t>
      </w:r>
    </w:p>
    <w:p>
      <w:pPr>
        <w:pStyle w:val="ListParagraph"/>
        <w:numPr>
          <w:ilvl w:val="0"/>
          <w:numId w:val="12"/>
        </w:numPr>
        <w:spacing w:after="80" w:line="276"/>
      </w:pPr>
      <w:r>
        <w:t xml:space="preserve">Enregistrez le fichier </w:t>
      </w:r>
      <w:r>
        <w:rPr>
          <w:rFonts w:ascii="Consolas" w:cs="Consolas" w:eastAsia="Consolas" w:hAnsi="Consolas"/>
          <w:color w:val="263238"/>
          <w:sz w:val="19"/>
          <w:szCs w:val="19"/>
        </w:rPr>
        <w:t xml:space="preserve">mailles-AAAA-MM-JJ.xlsx</w:t>
      </w:r>
      <w:r>
        <w:t xml:space="preserve"> proposé par le navigateur.</w:t>
      </w:r>
    </w:p>
    <w:p>
      <w:pPr>
        <w:spacing w:after="120" w:line="288"/>
      </w:pPr>
      <w:r>
        <w:t xml:space="preserve">Le fichier contient les colonnes suivantes ; sa ligne d'en-tête reste visible au défilement et porte les filtres automatiques d'Excel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Colonne Excel</w:t>
            </w:r>
          </w:p>
        </w:tc>
        <w:tc>
          <w:tcPr>
            <w:tcW w:type="dxa" w:w="7438"/>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Contenu</w:t>
            </w:r>
          </w:p>
        </w:tc>
      </w:tr>
      <w:tr>
        <w:trPr>
          <w:cantSplit/>
        </w:trPr>
        <w:tc>
          <w:tcPr>
            <w:tcW w:type="dxa" w:w="22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Société</w:t>
            </w:r>
          </w:p>
        </w:tc>
        <w:tc>
          <w:tcPr>
            <w:tcW w:type="dxa" w:w="74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Nom de la société (vide si non renseigné).</w:t>
            </w:r>
          </w:p>
        </w:tc>
      </w:tr>
      <w:tr>
        <w:trPr>
          <w:cantSplit/>
        </w:trPr>
        <w:tc>
          <w:tcPr>
            <w:tcW w:type="dxa" w:w="22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SIREN</w:t>
            </w:r>
          </w:p>
        </w:tc>
        <w:tc>
          <w:tcPr>
            <w:tcW w:type="dxa" w:w="7438"/>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Enregistré en texte : les zéros en tête sont conservés.</w:t>
            </w:r>
          </w:p>
        </w:tc>
      </w:tr>
      <w:tr>
        <w:trPr>
          <w:cantSplit/>
        </w:trPr>
        <w:tc>
          <w:tcPr>
            <w:tcW w:type="dxa" w:w="22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Maille</w:t>
            </w:r>
          </w:p>
        </w:tc>
        <w:tc>
          <w:tcPr>
            <w:tcW w:type="dxa" w:w="74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Code de l'adresse de facturation.</w:t>
            </w:r>
          </w:p>
        </w:tc>
      </w:tr>
      <w:tr>
        <w:trPr>
          <w:cantSplit/>
        </w:trPr>
        <w:tc>
          <w:tcPr>
            <w:tcW w:type="dxa" w:w="22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Statut</w:t>
            </w:r>
          </w:p>
        </w:tc>
        <w:tc>
          <w:tcPr>
            <w:tcW w:type="dxa" w:w="7438"/>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Nouveau, Légitime ou Non légitime, avec les couleurs de l'application.</w:t>
            </w:r>
          </w:p>
        </w:tc>
      </w:tr>
      <w:tr>
        <w:trPr>
          <w:cantSplit/>
        </w:trPr>
        <w:tc>
          <w:tcPr>
            <w:tcW w:type="dxa" w:w="22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Modifié le</w:t>
            </w:r>
          </w:p>
        </w:tc>
        <w:tc>
          <w:tcPr>
            <w:tcW w:type="dxa" w:w="74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Date et heure de la dernière modification.</w:t>
            </w:r>
          </w:p>
        </w:tc>
      </w:tr>
      <w:tr>
        <w:trPr>
          <w:cantSplit/>
        </w:trPr>
        <w:tc>
          <w:tcPr>
            <w:tcW w:type="dxa" w:w="22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Modifié par</w:t>
            </w:r>
          </w:p>
        </w:tc>
        <w:tc>
          <w:tcPr>
            <w:tcW w:type="dxa" w:w="7438"/>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Compte Windows de l'auteur, si l'authentification Windows est activée sur le serveur.</w:t>
            </w:r>
          </w:p>
        </w:tc>
      </w:tr>
    </w:tbl>
    <w:p>
      <w:pPr>
        <w:pStyle w:val="Heading1"/>
        <w:pageBreakBefore/>
      </w:pPr>
      <w:r>
        <w:t xml:space="preserve">Annexe A – Messages courants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038"/>
      </w:tblGrid>
      <w:tr>
        <w:trPr>
          <w:tblHeader/>
        </w:trPr>
        <w:tc>
          <w:tcPr>
            <w:tcW w:type="dxa" w:w="3300"/>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Message affiché</w:t>
            </w:r>
          </w:p>
        </w:tc>
        <w:tc>
          <w:tcPr>
            <w:tcW w:type="dxa" w:w="3300"/>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Signification</w:t>
            </w:r>
          </w:p>
        </w:tc>
        <w:tc>
          <w:tcPr>
            <w:tcW w:type="dxa" w:w="3038"/>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Que faire</w:t>
            </w:r>
          </w:p>
        </w:tc>
      </w:tr>
      <w:tr>
        <w:trPr>
          <w:cantSplit/>
        </w:trPr>
        <w:tc>
          <w:tcPr>
            <w:tcW w:type="dxa" w:w="33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 Le SIREN doit comporter 9 chiffres. »</w:t>
            </w:r>
          </w:p>
        </w:tc>
        <w:tc>
          <w:tcPr>
            <w:tcW w:type="dxa" w:w="33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SIREN saisi incomplet ou contenant des lettres.</w:t>
            </w:r>
          </w:p>
        </w:tc>
        <w:tc>
          <w:tcPr>
            <w:tcW w:type="dxa" w:w="30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Corriger la saisie dans l'onglet Sociétés.</w:t>
            </w:r>
          </w:p>
        </w:tc>
      </w:tr>
      <w:tr>
        <w:trPr>
          <w:cantSplit/>
        </w:trPr>
        <w:tc>
          <w:tcPr>
            <w:tcW w:type="dxa" w:w="33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 … Le statut reste « … ». »</w:t>
            </w:r>
          </w:p>
        </w:tc>
        <w:tc>
          <w:tcPr>
            <w:tcW w:type="dxa" w:w="33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Le serveur n'a pas enregistré le changement de statut.</w:t>
            </w:r>
          </w:p>
        </w:tc>
        <w:tc>
          <w:tcPr>
            <w:tcW w:type="dxa" w:w="3038"/>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Recharger la page (F5) puis recommencer.</w:t>
            </w:r>
          </w:p>
        </w:tc>
      </w:tr>
      <w:tr>
        <w:trPr>
          <w:cantSplit/>
        </w:trPr>
        <w:tc>
          <w:tcPr>
            <w:tcW w:type="dxa" w:w="33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 Aucune maille ne correspond aux filtres. »</w:t>
            </w:r>
          </w:p>
        </w:tc>
        <w:tc>
          <w:tcPr>
            <w:tcW w:type="dxa" w:w="33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Les filtres actifs n'affichent aucune ligne.</w:t>
            </w:r>
          </w:p>
        </w:tc>
        <w:tc>
          <w:tcPr>
            <w:tcW w:type="dxa" w:w="30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Cliquer sur Effacer les filtres.</w:t>
            </w:r>
          </w:p>
        </w:tc>
      </w:tr>
      <w:tr>
        <w:trPr>
          <w:cantSplit/>
        </w:trPr>
        <w:tc>
          <w:tcPr>
            <w:tcW w:type="dxa" w:w="33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 SIREN manquant » / « SIREN invalide » (import)</w:t>
            </w:r>
          </w:p>
        </w:tc>
        <w:tc>
          <w:tcPr>
            <w:tcW w:type="dxa" w:w="33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Ligne du fichier sans SIREN valide.</w:t>
            </w:r>
          </w:p>
        </w:tc>
        <w:tc>
          <w:tcPr>
            <w:tcW w:type="dxa" w:w="3038"/>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Vérifier la ligne indiquée dans le fichier.</w:t>
            </w:r>
          </w:p>
        </w:tc>
      </w:tr>
      <w:tr>
        <w:trPr>
          <w:cantSplit/>
        </w:trPr>
        <w:tc>
          <w:tcPr>
            <w:tcW w:type="dxa" w:w="33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 Maille vide » (import)</w:t>
            </w:r>
          </w:p>
        </w:tc>
        <w:tc>
          <w:tcPr>
            <w:tcW w:type="dxa" w:w="33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Colonne Adresse de facturation vide.</w:t>
            </w:r>
          </w:p>
        </w:tc>
        <w:tc>
          <w:tcPr>
            <w:tcW w:type="dxa" w:w="30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Vérifier la ligne indiquée dans le fichier.</w:t>
            </w:r>
          </w:p>
        </w:tc>
      </w:tr>
      <w:tr>
        <w:trPr>
          <w:cantSplit/>
        </w:trPr>
        <w:tc>
          <w:tcPr>
            <w:tcW w:type="dxa" w:w="33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 Chargement impossible … Vérifiez que le site IIS est démarré »</w:t>
            </w:r>
          </w:p>
        </w:tc>
        <w:tc>
          <w:tcPr>
            <w:tcW w:type="dxa" w:w="33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L'application ne répond pas.</w:t>
            </w:r>
          </w:p>
        </w:tc>
        <w:tc>
          <w:tcPr>
            <w:tcW w:type="dxa" w:w="3038"/>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Contacter l'administrateur du serveur.</w:t>
            </w:r>
          </w:p>
        </w:tc>
      </w:tr>
    </w:tbl>
    <w:p>
      <w:pPr>
        <w:pStyle w:val="Heading1"/>
        <w:pageBreakBefore/>
      </w:pPr>
      <w:r>
        <w:t xml:space="preserve">Annexe B –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Terme</w:t>
            </w:r>
          </w:p>
        </w:tc>
        <w:tc>
          <w:tcPr>
            <w:tcW w:type="dxa" w:w="6638"/>
            <w:tcBorders>
              <w:top w:val="single" w:color="1F3A5F" w:sz="4"/>
              <w:left w:val="single" w:color="1F3A5F" w:sz="4"/>
              <w:bottom w:val="single" w:color="1F3A5F" w:sz="4"/>
              <w:right w:val="single" w:color="1F3A5F" w:sz="4"/>
            </w:tcBorders>
            <w:shd w:fill="1F3A5F" w:color="auto" w:val="clear"/>
            <w:tcMar>
              <w:top w:type="dxa" w:w="80"/>
              <w:left w:type="dxa" w:w="120"/>
              <w:bottom w:type="dxa" w:w="80"/>
              <w:right w:type="dxa" w:w="120"/>
            </w:tcMar>
            <w:vAlign w:val="center"/>
          </w:tcPr>
          <w:p>
            <w:pPr>
              <w:spacing w:after="40"/>
            </w:pPr>
            <w:r>
              <w:rPr>
                <w:b/>
                <w:bCs/>
                <w:color w:val="FFFFFF"/>
                <w:sz w:val="19"/>
                <w:szCs w:val="19"/>
              </w:rPr>
              <w:t xml:space="preserve">Définition</w:t>
            </w:r>
          </w:p>
        </w:tc>
      </w:tr>
      <w:tr>
        <w:trPr>
          <w:cantSplit/>
        </w:trPr>
        <w:tc>
          <w:tcPr>
            <w:tcW w:type="dxa" w:w="30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Maille</w:t>
            </w:r>
          </w:p>
        </w:tc>
        <w:tc>
          <w:tcPr>
            <w:tcW w:type="dxa" w:w="66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Adresse de facturation électronique d'une société, identifiée par un code (par exemple </w:t>
            </w:r>
            <w:r>
              <w:rPr>
                <w:rFonts w:ascii="Consolas" w:cs="Consolas" w:eastAsia="Consolas" w:hAnsi="Consolas"/>
                <w:color w:val="263238"/>
                <w:sz w:val="19"/>
                <w:szCs w:val="19"/>
              </w:rPr>
              <w:t xml:space="preserve">055804124_FILM</w:t>
            </w:r>
            <w:r>
              <w:t xml:space="preserve">).</w:t>
            </w:r>
          </w:p>
        </w:tc>
      </w:tr>
      <w:tr>
        <w:trPr>
          <w:cantSplit/>
        </w:trPr>
        <w:tc>
          <w:tcPr>
            <w:tcW w:type="dxa" w:w="30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SIREN</w:t>
            </w:r>
          </w:p>
        </w:tc>
        <w:tc>
          <w:tcPr>
            <w:tcW w:type="dxa" w:w="6638"/>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Numéro à 9 chiffres qui identifie une entreprise en France.</w:t>
            </w:r>
          </w:p>
        </w:tc>
      </w:tr>
      <w:tr>
        <w:trPr>
          <w:cantSplit/>
        </w:trPr>
        <w:tc>
          <w:tcPr>
            <w:tcW w:type="dxa" w:w="30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Annuaire de la facturation électronique</w:t>
            </w:r>
          </w:p>
        </w:tc>
        <w:tc>
          <w:tcPr>
            <w:tcW w:type="dxa" w:w="66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Service public (Chorus Pro) qui publie les adresses de facturation électronique des structures.</w:t>
            </w:r>
          </w:p>
        </w:tc>
      </w:tr>
      <w:tr>
        <w:trPr>
          <w:cantSplit/>
        </w:trPr>
        <w:tc>
          <w:tcPr>
            <w:tcW w:type="dxa" w:w="30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PA (plateforme agréée)</w:t>
            </w:r>
          </w:p>
        </w:tc>
        <w:tc>
          <w:tcPr>
            <w:tcW w:type="dxa" w:w="6638"/>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Plateforme habilitée à émettre et recevoir des factures électroniques, à laquelle une structure est rattachée.</w:t>
            </w:r>
          </w:p>
        </w:tc>
      </w:tr>
      <w:tr>
        <w:trPr>
          <w:cantSplit/>
        </w:trPr>
        <w:tc>
          <w:tcPr>
            <w:tcW w:type="dxa" w:w="3000"/>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Référentiel des sociétés</w:t>
            </w:r>
          </w:p>
        </w:tc>
        <w:tc>
          <w:tcPr>
            <w:tcW w:type="dxa" w:w="6638"/>
            <w:tcBorders>
              <w:top w:val="single" w:color="C4CAD4" w:sz="4"/>
              <w:left w:val="single" w:color="C4CAD4" w:sz="4"/>
              <w:bottom w:val="single" w:color="C4CAD4" w:sz="4"/>
              <w:right w:val="single" w:color="C4CAD4" w:sz="4"/>
            </w:tcBorders>
            <w:tcMar>
              <w:top w:type="dxa" w:w="80"/>
              <w:left w:type="dxa" w:w="120"/>
              <w:bottom w:type="dxa" w:w="80"/>
              <w:right w:type="dxa" w:w="120"/>
            </w:tcMar>
            <w:vAlign w:val="center"/>
          </w:tcPr>
          <w:p>
            <w:pPr>
              <w:spacing w:after="40"/>
            </w:pPr>
            <w:r>
              <w:t xml:space="preserve">Liste SIREN / nom tenue dans l'onglet Sociétés.</w:t>
            </w:r>
          </w:p>
        </w:tc>
      </w:tr>
      <w:tr>
        <w:trPr>
          <w:cantSplit/>
        </w:trPr>
        <w:tc>
          <w:tcPr>
            <w:tcW w:type="dxa" w:w="3000"/>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Nouveau, Légitime, Non légitime</w:t>
            </w:r>
          </w:p>
        </w:tc>
        <w:tc>
          <w:tcPr>
            <w:tcW w:type="dxa" w:w="6638"/>
            <w:tcBorders>
              <w:top w:val="single" w:color="C4CAD4" w:sz="4"/>
              <w:left w:val="single" w:color="C4CAD4" w:sz="4"/>
              <w:bottom w:val="single" w:color="C4CAD4" w:sz="4"/>
              <w:right w:val="single" w:color="C4CAD4" w:sz="4"/>
            </w:tcBorders>
            <w:shd w:fill="F2F4F7" w:color="auto" w:val="clear"/>
            <w:tcMar>
              <w:top w:type="dxa" w:w="80"/>
              <w:left w:type="dxa" w:w="120"/>
              <w:bottom w:type="dxa" w:w="80"/>
              <w:right w:type="dxa" w:w="120"/>
            </w:tcMar>
            <w:vAlign w:val="center"/>
          </w:tcPr>
          <w:p>
            <w:pPr>
              <w:spacing w:after="40"/>
            </w:pPr>
            <w:r>
              <w:t xml:space="preserve">Statuts d'une maille (voir 1.4 et 4.1).</w:t>
            </w:r>
          </w:p>
        </w:tc>
      </w:tr>
    </w:tbl>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D6779"/>
        <w:sz w:val="17"/>
        <w:szCs w:val="17"/>
      </w:rPr>
      <w:t xml:space="preserve">Page </w:t>
    </w:r>
    <w:r>
      <w:rPr>
        <w:color w:val="5D6779"/>
        <w:sz w:val="17"/>
        <w:szCs w:val="17"/>
      </w:rPr>
      <w:fldChar w:fldCharType="begin"/>
      <w:instrText xml:space="preserve">PAGE</w:instrText>
      <w:fldChar w:fldCharType="separate"/>
      <w:fldChar w:fldCharType="end"/>
    </w:r>
    <w:r>
      <w:rPr>
        <w:color w:val="5D6779"/>
        <w:sz w:val="17"/>
        <w:szCs w:val="17"/>
      </w:rPr>
      <w:t xml:space="preserve"> / </w:t>
    </w:r>
    <w:r>
      <w:rPr>
        <w:color w:val="5D677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4CAD4" w:sz="4" w:space="4"/>
      </w:pBdr>
      <w:tabs>
        <w:tab w:val="right" w:pos="9638"/>
      </w:tabs>
    </w:pPr>
    <w:r>
      <w:rPr>
        <w:b/>
        <w:bCs/>
        <w:color w:val="1F3A5F"/>
        <w:sz w:val="17"/>
        <w:szCs w:val="17"/>
      </w:rPr>
      <w:t xml:space="preserve">Suivi des mailles</w:t>
    </w:r>
    <w:r>
      <w:rPr>
        <w:color w:val="5D6779"/>
        <w:sz w:val="17"/>
        <w:szCs w:val="17"/>
      </w:rPr>
      <w:t xml:space="preserve">	Guide utilisateur – version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900" w:hanging="300"/>
      </w:pPr>
    </w:lvl>
  </w:abstractNum>
  <w:abstractNum w:abstractNumId="3" w15:restartNumberingAfterBreak="0">
    <w:multiLevelType w:val="hybridMultilevel"/>
    <w:lvl w:ilvl="0" w15:tentative="1">
      <w:start w:val="1"/>
      <w:numFmt w:val="decimal"/>
      <w:lvlText w:val="%1."/>
      <w:lvlJc w:val="left"/>
      <w:pPr>
        <w:ind w:left="540" w:hanging="360"/>
      </w:pPr>
      <w:rPr>
        <w:b/>
        <w:bCs/>
        <w:color w:val="1F5FD1"/>
      </w:rPr>
    </w:lvl>
  </w:abstractNum>
  <w:abstractNum w:abstractNumId="4" w15:restartNumberingAfterBreak="0">
    <w:multiLevelType w:val="hybridMultilevel"/>
    <w:lvl w:ilvl="0" w15:tentative="1">
      <w:start w:val="1"/>
      <w:numFmt w:val="decimal"/>
      <w:lvlText w:val="%1."/>
      <w:lvlJc w:val="left"/>
      <w:pPr>
        <w:ind w:left="540" w:hanging="360"/>
      </w:pPr>
      <w:rPr>
        <w:b/>
        <w:bCs/>
        <w:color w:val="1F5FD1"/>
      </w:rPr>
    </w:lvl>
  </w:abstractNum>
  <w:abstractNum w:abstractNumId="5" w15:restartNumberingAfterBreak="0">
    <w:multiLevelType w:val="hybridMultilevel"/>
    <w:lvl w:ilvl="0" w15:tentative="1">
      <w:start w:val="1"/>
      <w:numFmt w:val="decimal"/>
      <w:lvlText w:val="%1."/>
      <w:lvlJc w:val="left"/>
      <w:pPr>
        <w:ind w:left="540" w:hanging="360"/>
      </w:pPr>
      <w:rPr>
        <w:b/>
        <w:bCs/>
        <w:color w:val="1F5FD1"/>
      </w:rPr>
    </w:lvl>
  </w:abstractNum>
  <w:abstractNum w:abstractNumId="6" w15:restartNumberingAfterBreak="0">
    <w:multiLevelType w:val="hybridMultilevel"/>
    <w:lvl w:ilvl="0" w15:tentative="1">
      <w:start w:val="1"/>
      <w:numFmt w:val="decimal"/>
      <w:lvlText w:val="%1."/>
      <w:lvlJc w:val="left"/>
      <w:pPr>
        <w:ind w:left="540" w:hanging="360"/>
      </w:pPr>
      <w:rPr>
        <w:b/>
        <w:bCs/>
        <w:color w:val="1F5FD1"/>
      </w:rPr>
    </w:lvl>
  </w:abstractNum>
  <w:abstractNum w:abstractNumId="7" w15:restartNumberingAfterBreak="0">
    <w:multiLevelType w:val="hybridMultilevel"/>
    <w:lvl w:ilvl="0" w15:tentative="1">
      <w:start w:val="1"/>
      <w:numFmt w:val="decimal"/>
      <w:lvlText w:val="%1."/>
      <w:lvlJc w:val="left"/>
      <w:pPr>
        <w:ind w:left="540" w:hanging="360"/>
      </w:pPr>
      <w:rPr>
        <w:b/>
        <w:bCs/>
        <w:color w:val="1F5FD1"/>
      </w:rPr>
    </w:lvl>
  </w:abstractNum>
  <w:abstractNum w:abstractNumId="8" w15:restartNumberingAfterBreak="0">
    <w:multiLevelType w:val="hybridMultilevel"/>
    <w:lvl w:ilvl="0" w15:tentative="1">
      <w:start w:val="1"/>
      <w:numFmt w:val="decimal"/>
      <w:lvlText w:val="%1."/>
      <w:lvlJc w:val="left"/>
      <w:pPr>
        <w:ind w:left="540" w:hanging="360"/>
      </w:pPr>
      <w:rPr>
        <w:b/>
        <w:bCs/>
        <w:color w:val="1F5FD1"/>
      </w:rPr>
    </w:lvl>
  </w:abstractNum>
  <w:abstractNum w:abstractNumId="9" w15:restartNumberingAfterBreak="0">
    <w:multiLevelType w:val="hybridMultilevel"/>
    <w:lvl w:ilvl="0" w15:tentative="1">
      <w:start w:val="1"/>
      <w:numFmt w:val="decimal"/>
      <w:lvlText w:val="%1."/>
      <w:lvlJc w:val="left"/>
      <w:pPr>
        <w:ind w:left="540" w:hanging="360"/>
      </w:pPr>
      <w:rPr>
        <w:b/>
        <w:bCs/>
        <w:color w:val="1F5FD1"/>
      </w:rPr>
    </w:lvl>
  </w:abstractNum>
  <w:abstractNum w:abstractNumId="10" w15:restartNumberingAfterBreak="0">
    <w:multiLevelType w:val="hybridMultilevel"/>
    <w:lvl w:ilvl="0" w15:tentative="1">
      <w:start w:val="1"/>
      <w:numFmt w:val="decimal"/>
      <w:lvlText w:val="%1."/>
      <w:lvlJc w:val="left"/>
      <w:pPr>
        <w:ind w:left="540" w:hanging="360"/>
      </w:pPr>
      <w:rPr>
        <w:b/>
        <w:bCs/>
        <w:color w:val="1F5FD1"/>
      </w:rPr>
    </w:lvl>
  </w:abstractNum>
  <w:abstractNum w:abstractNumId="11" w15:restartNumberingAfterBreak="0">
    <w:multiLevelType w:val="hybridMultilevel"/>
    <w:lvl w:ilvl="0" w15:tentative="1">
      <w:start w:val="1"/>
      <w:numFmt w:val="decimal"/>
      <w:lvlText w:val="%1."/>
      <w:lvlJc w:val="left"/>
      <w:pPr>
        <w:ind w:left="540" w:hanging="360"/>
      </w:pPr>
      <w:rPr>
        <w:b/>
        <w:bCs/>
        <w:color w:val="1F5FD1"/>
      </w:rPr>
    </w:lvl>
  </w:abstractNum>
  <w:abstractNum w:abstractNumId="12" w15:restartNumberingAfterBreak="0">
    <w:multiLevelType w:val="hybridMultilevel"/>
    <w:lvl w:ilvl="0" w15:tentative="1">
      <w:start w:val="1"/>
      <w:numFmt w:val="decimal"/>
      <w:lvlText w:val="%1."/>
      <w:lvlJc w:val="left"/>
      <w:pPr>
        <w:ind w:left="540" w:hanging="360"/>
      </w:pPr>
      <w:rPr>
        <w:b/>
        <w:bCs/>
        <w:color w:val="1F5FD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2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D1" w:sz="8" w:space="6"/>
      </w:pBdr>
      <w:spacing w:after="240" w:before="240"/>
      <w:outlineLvl w:val="0"/>
    </w:pPr>
    <w:rPr>
      <w:b/>
      <w:bCs/>
      <w:color w:val="1F3A5F"/>
      <w:sz w:val="36"/>
      <w:szCs w:val="36"/>
    </w:rPr>
  </w:style>
  <w:style w:type="paragraph" w:styleId="Heading2">
    <w:name w:val="Heading 2"/>
    <w:basedOn w:val="Normal"/>
    <w:next w:val="Normal"/>
    <w:qFormat/>
    <w:pPr>
      <w:keepNext/>
      <w:spacing w:after="140" w:before="320"/>
      <w:outlineLvl w:val="1"/>
    </w:pPr>
    <w:rPr>
      <w:b/>
      <w:bCs/>
      <w:color w:val="1F5FD1"/>
      <w:sz w:val="28"/>
      <w:szCs w:val="28"/>
    </w:rPr>
  </w:style>
  <w:style w:type="paragraph" w:styleId="Heading3">
    <w:name w:val="Heading 3"/>
    <w:basedOn w:val="Normal"/>
    <w:next w:val="Normal"/>
    <w:qFormat/>
    <w:pPr>
      <w:keepNext/>
      <w:spacing w:after="100" w:before="220"/>
      <w:outlineLvl w:val="2"/>
    </w:pPr>
    <w:rPr>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812aebffbdee798f452a56654ce282b9afa26.png"/><Relationship Id="rId10" Type="http://schemas.openxmlformats.org/officeDocument/2006/relationships/image" Target="media/ac5b29c76aa6bf1b5c72bdb30f5025c959a06817.png"/><Relationship Id="rId11" Type="http://schemas.openxmlformats.org/officeDocument/2006/relationships/image" Target="media/8ffa899e2d5732785279a9e7809b008ee3e0e7fe.png"/><Relationship Id="rId12" Type="http://schemas.openxmlformats.org/officeDocument/2006/relationships/image" Target="media/b66db0aa0f2bd694f917b2ed319eff2c203d374b.png"/><Relationship Id="rId13" Type="http://schemas.openxmlformats.org/officeDocument/2006/relationships/image" Target="media/e47f507760e96083a5f8b1ce11fed04ddac7e56b.png"/><Relationship Id="rId14" Type="http://schemas.openxmlformats.org/officeDocument/2006/relationships/image" Target="media/f5ae7aa54174ccdeba584b5a725f55a8d54d99b6.png"/><Relationship Id="rId15" Type="http://schemas.openxmlformats.org/officeDocument/2006/relationships/image" Target="media/5974a6cf272348e0c94979e62e48611ee4fd6fde.png"/><Relationship Id="rId16" Type="http://schemas.openxmlformats.org/officeDocument/2006/relationships/image" Target="media/63a31156a1805930058237c1395c7570722f03d5.png"/><Relationship Id="rId17" Type="http://schemas.openxmlformats.org/officeDocument/2006/relationships/image" Target="media/80fc18c02fb05418f1e301523ac22fc15806f2b6.png"/><Relationship Id="rId18" Type="http://schemas.openxmlformats.org/officeDocument/2006/relationships/image" Target="media/afa18ec7be644266ce4cfd44725bbeb9660f8c0e.png"/><Relationship Id="rId19" Type="http://schemas.openxmlformats.org/officeDocument/2006/relationships/image" Target="media/332a114c2b0e0291f4ea6e0444a69857a0719f79.png"/><Relationship Id="rId20" Type="http://schemas.openxmlformats.org/officeDocument/2006/relationships/image" Target="media/4f9ca8a691f0380cdec3ca58e99a831a2e2d27ba.png"/><Relationship Id="rId21" Type="http://schemas.openxmlformats.org/officeDocument/2006/relationships/image" Target="media/03a6cece6d94ce96edc1286977167ae9ddf939d4.png"/><Relationship Id="rId22" Type="http://schemas.openxmlformats.org/officeDocument/2006/relationships/image" Target="media/b2ae27607c3e6f19142b78f33626fd11cfa5413e.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Suivi des mailles – Guide utilisateur</dc:title>
  <dc:creator>Suivi des mailles</dc:creator>
  <dc:description>Guide utilisateur de l'application Suivi des mailles</dc:description>
  <cp:lastModifiedBy>Un-named</cp:lastModifiedBy>
  <cp:revision>1</cp:revision>
  <dcterms:created xsi:type="dcterms:W3CDTF">2026-10-19T15:29:33.685Z</dcterms:created>
  <dcterms:modified xsi:type="dcterms:W3CDTF">2026-10-19T15:29:33.685Z</dcterms:modified>
</cp:coreProperties>
</file>

<file path=docProps/custom.xml><?xml version="1.0" encoding="utf-8"?>
<Properties xmlns="http://schemas.openxmlformats.org/officeDocument/2006/custom-properties" xmlns:vt="http://schemas.openxmlformats.org/officeDocument/2006/docPropsVTypes"/>
</file>