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*Tempo de calar*</w:t>
        <w:br/>
        <w:br/>
        <w:t>“Para tudo há uma ocasião, e um tempo para cada propósito debaixo do céu... tempo de calar</w:t>
        <w:br/>
        <w:t>e tempo de falar” (Ec 3:1,7b).</w:t>
        <w:br/>
        <w:br/>
        <w:t>Muitas vezes, temos a ilusão de que tudo se resolve através do nosso muito falar, nosso</w:t>
        <w:br/>
        <w:t>esbravejar... Mas, a Palavra nos ensina através do livro de Eclesiastes, que tudo tem o seu</w:t>
        <w:br/>
        <w:t>tempo determinado, inclusive o tempo de estar calado e o tempo de falar.</w:t>
        <w:br/>
        <w:br/>
        <w:t>Neste livro de sabedorias e ensinamentos práticos, aprendemos a importância do momento de</w:t>
        <w:br/>
        <w:t>calar. O silêncio revela uma alma em quietude. É no nosso silêncio que Deus, muitas vezes, age</w:t>
        <w:br/>
        <w:t>na situação e nas circunstâncias.</w:t>
        <w:br/>
        <w:br/>
        <w:t>E o agir dEle "é capaz de fazer infinitamente mais do que tudo o que pedimos ou pensamos, de</w:t>
        <w:br/>
        <w:t>acordo com o seu poder que atua em nós” (Ef 3:20).</w:t>
        <w:br/>
        <w:br/>
        <w:t>Katiene Souza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