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Arial" w:cs="Arial" w:eastAsia="Arial" w:hAnsi="Arial"/>
          <w:b/>
          <w:bCs/>
          <w:color w:val="201B12"/>
          <w:sz w:val="44"/>
          <w:szCs w:val="44"/>
        </w:rPr>
        <w:t xml:space="preserve">WHAT RECREATIONAL PLAYERS CANNOT FIND</w:t>
      </w:r>
    </w:p>
    <w:p>
      <w:pPr>
        <w:spacing w:after="320"/>
        <w:jc w:val="center"/>
      </w:pPr>
      <w:r>
        <w:rPr>
          <w:rFonts w:ascii="Arial" w:cs="Arial" w:eastAsia="Arial" w:hAnsi="Arial"/>
          <w:color w:val="D63A0F"/>
          <w:sz w:val="28"/>
          <w:szCs w:val="28"/>
        </w:rPr>
        <w:t xml:space="preserve">Unmet Needs and White Space in Sports Social Networking</w:t>
      </w:r>
    </w:p>
    <w:p>
      <w:pPr>
        <w:spacing w:after="80"/>
        <w:jc w:val="center"/>
      </w:pPr>
      <w:r>
        <w:rPr>
          <w:rFonts w:ascii="Georgia" w:cs="Georgia" w:eastAsia="Georgia" w:hAnsi="Georgia"/>
          <w:i/>
          <w:iCs/>
          <w:color w:val="6E6555"/>
          <w:sz w:val="22"/>
          <w:szCs w:val="22"/>
        </w:rPr>
        <w:t xml:space="preserve">A rapid evidence review across market data, incumbent platforms, community-documented pain, and peer-reviewed literature</w:t>
      </w:r>
    </w:p>
    <w:p>
      <w:pPr>
        <w:spacing w:after="60" w:before="600"/>
        <w:jc w:val="center"/>
      </w:pPr>
      <w:r>
        <w:rPr>
          <w:rFonts w:ascii="Arial" w:cs="Arial" w:eastAsia="Arial" w:hAnsi="Arial"/>
          <w:color w:val="201B12"/>
          <w:sz w:val="22"/>
          <w:szCs w:val="22"/>
        </w:rPr>
        <w:t xml:space="preserve">Prepared for Gabriel Duran · Klimr</w:t>
      </w:r>
    </w:p>
    <w:p>
      <w:pPr>
        <w:spacing w:after="60"/>
        <w:jc w:val="center"/>
      </w:pPr>
      <w:r>
        <w:rPr>
          <w:rFonts w:ascii="Arial" w:cs="Arial" w:eastAsia="Arial" w:hAnsi="Arial"/>
          <w:color w:val="6E6555"/>
          <w:sz w:val="20"/>
          <w:szCs w:val="20"/>
        </w:rPr>
        <w:t xml:space="preserve">August 2026 · v1.2 · framing: a sports network, launching in five sports</w:t>
      </w:r>
    </w:p>
    <w:p>
      <w:r>
        <w:br w:type="page"/>
      </w:r>
    </w:p>
    <w:p>
      <w:pPr>
        <w:pStyle w:val="Heading1"/>
        <w:spacing w:after="200" w:before="360"/>
      </w:pPr>
      <w:r>
        <w:rPr>
          <w:rFonts w:ascii="Arial" w:cs="Arial" w:eastAsia="Arial" w:hAnsi="Arial"/>
          <w:b/>
          <w:bCs/>
          <w:color w:val="D63A0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D63A0F"/>
          <w:sz w:val="32"/>
          <w:szCs w:val="32"/>
        </w:rPr>
        <w:t xml:space="preserve">1. Executive Summary</w:t>
      </w:r>
    </w:p>
    <w:p>
      <w:pPr>
        <w:spacing w:after="160" w:line="276"/>
        <w:jc w:val="both"/>
      </w:pPr>
      <w:r>
        <w:rPr>
          <w:rFonts w:ascii="Georgia" w:cs="Georgia" w:eastAsia="Georgia" w:hAnsi="Georgia"/>
          <w:color w:val="201B12"/>
          <w:sz w:val="22"/>
          <w:szCs w:val="22"/>
        </w:rPr>
        <w:t xml:space="preserve">Recreational sport is in the middle of the largest participation expansion America has seen in a generation — led, right now, by the five sports Klimr launches with: tennis, pickleball, padel, racquetball, and beach volleyball. Yet the software serving these players remains organized around the wrong problem. Every incumbent helps players find a game; almost none helps players get a game that actually happens, at the right level, with people they will see again. This review triangulates market data, incumbent platform analysis, community-documented pain, and peer-reviewed behavioral literature, and it converges on a single strategic conclusion: the durable white space in sports social networking is not more discovery — it is trust and liquidity. Believable skill ratings, reliability that has consequences, real-time court intelligence, and mechanics that turn one good match into a repeated one.</w:t>
      </w:r>
    </w:p>
    <w:p>
      <w:pPr>
        <w:spacing w:after="160" w:line="276"/>
        <w:jc w:val="both"/>
      </w:pPr>
      <w:r>
        <w:rPr>
          <w:rFonts w:ascii="Georgia" w:cs="Georgia" w:eastAsia="Georgia" w:hAnsi="Georgia"/>
          <w:color w:val="201B12"/>
          <w:sz w:val="22"/>
          <w:szCs w:val="22"/>
        </w:rPr>
        <w:t xml:space="preserve">Eight specific gaps emerged, ranked below by the intensity of documented demand. Three of them — trusted cross-sport ratings, a reliability layer, and multi-sport player identity — sit directly on top of infrastructure Klimr has already shipped. The report closes with a positioning reframe: products in this category that pitched themselves as social networks have consistently died on empty courts, while products that led with a utility wedge (booking, ratings, roster operations) became the networks. The recommended story for Klimr is therefore not “another sports social network” but “the trust and liquidity layer for recreational sport” — with the network as the earned byproduct.</w:t>
      </w:r>
    </w:p>
    <w:tbl>
      <w:tblPr>
        <w:tblW w:type="dxa" w:w="9360"/>
        <w:tblBorders>
          <w:top w:val="single" w:color="E9E1D1" w:sz="4"/>
          <w:left w:val="single" w:color="E9E1D1" w:sz="4"/>
          <w:bottom w:val="single" w:color="E9E1D1" w:sz="4"/>
          <w:right w:val="single" w:color="E9E1D1" w:sz="4"/>
          <w:insideH w:val="single" w:color="E9E1D1" w:sz="4"/>
          <w:insideV w:val="single" w:color="E9E1D1" w:sz="4"/>
        </w:tblBorders>
      </w:tblPr>
      <w:tblGrid>
        <w:gridCol w:w="560"/>
        <w:gridCol w:w="3100"/>
        <w:gridCol w:w="2000"/>
        <w:gridCol w:w="3700"/>
      </w:tblGrid>
      <w:tr>
        <w:tc>
          <w:tcPr>
            <w:tcW w:type="dxa" w:w="56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w:t>
            </w:r>
          </w:p>
        </w:tc>
        <w:tc>
          <w:tcPr>
            <w:tcW w:type="dxa" w:w="310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Gap</w:t>
            </w:r>
          </w:p>
        </w:tc>
        <w:tc>
          <w:tcPr>
            <w:tcW w:type="dxa" w:w="200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Demand signal</w:t>
            </w:r>
          </w:p>
        </w:tc>
        <w:tc>
          <w:tcPr>
            <w:tcW w:type="dxa" w:w="370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Klimr readiness</w:t>
            </w:r>
          </w:p>
        </w:tc>
      </w:tr>
      <w:tr>
        <w:tc>
          <w:tcPr>
            <w:tcW w:type="dxa" w:w="5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1</w:t>
            </w:r>
          </w:p>
        </w:tc>
        <w:tc>
          <w:tcPr>
            <w:tcW w:type="dxa" w:w="3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Reliability: matches that actually happen</w:t>
            </w:r>
          </w:p>
        </w:tc>
        <w:tc>
          <w:tcPr>
            <w:tcW w:type="dxa" w:w="20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Severe, universal</w:t>
            </w:r>
          </w:p>
        </w:tc>
        <w:tc>
          <w:tcPr>
            <w:tcW w:type="dxa" w:w="3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Join-request + approval flow shipped; reliability scoring is a natural extension</w:t>
            </w:r>
          </w:p>
        </w:tc>
      </w:tr>
      <w:tr>
        <w:tc>
          <w:tcPr>
            <w:tcW w:type="dxa" w:w="5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2</w:t>
            </w:r>
          </w:p>
        </w:tc>
        <w:tc>
          <w:tcPr>
            <w:tcW w:type="dxa" w:w="3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Skill ratings players believe (cross-sport)</w:t>
            </w:r>
          </w:p>
        </w:tc>
        <w:tc>
          <w:tcPr>
            <w:tcW w:type="dxa" w:w="20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Severe, loudest complaint class</w:t>
            </w:r>
          </w:p>
        </w:tc>
        <w:tc>
          <w:tcPr>
            <w:tcW w:type="dxa" w:w="3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Skill targeting, rankings engine, result recording shipped</w:t>
            </w:r>
          </w:p>
        </w:tc>
      </w:tr>
      <w:tr>
        <w:tc>
          <w:tcPr>
            <w:tcW w:type="dxa" w:w="5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3</w:t>
            </w:r>
          </w:p>
        </w:tc>
        <w:tc>
          <w:tcPr>
            <w:tcW w:type="dxa" w:w="3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Real-time court intelligence (public courts)</w:t>
            </w:r>
          </w:p>
        </w:tc>
        <w:tc>
          <w:tcPr>
            <w:tcW w:type="dxa" w:w="20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High, unserved pre-arrival</w:t>
            </w:r>
          </w:p>
        </w:tc>
        <w:tc>
          <w:tcPr>
            <w:tcW w:type="dxa" w:w="3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Court registry + city-density launch model fit</w:t>
            </w:r>
          </w:p>
        </w:tc>
      </w:tr>
      <w:tr>
        <w:tc>
          <w:tcPr>
            <w:tcW w:type="dxa" w:w="5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3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Organizer tooling (the WhatsApp+spreadsheet person)</w:t>
            </w:r>
          </w:p>
        </w:tc>
        <w:tc>
          <w:tcPr>
            <w:tcW w:type="dxa" w:w="20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High, chronically manual</w:t>
            </w:r>
          </w:p>
        </w:tc>
        <w:tc>
          <w:tcPr>
            <w:tcW w:type="dxa" w:w="3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Teams, join requests, events primitives shipped</w:t>
            </w:r>
          </w:p>
        </w:tc>
      </w:tr>
      <w:tr>
        <w:tc>
          <w:tcPr>
            <w:tcW w:type="dxa" w:w="5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5</w:t>
            </w:r>
          </w:p>
        </w:tc>
        <w:tc>
          <w:tcPr>
            <w:tcW w:type="dxa" w:w="3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Last-minute fill (the sub economy)</w:t>
            </w:r>
          </w:p>
        </w:tc>
        <w:tc>
          <w:tcPr>
            <w:tcW w:type="dxa" w:w="20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High intent, episodic</w:t>
            </w:r>
          </w:p>
        </w:tc>
        <w:tc>
          <w:tcPr>
            <w:tcW w:type="dxa" w:w="3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Waitlist + skill + proximity primitives shipped</w:t>
            </w:r>
          </w:p>
        </w:tc>
      </w:tr>
      <w:tr>
        <w:tc>
          <w:tcPr>
            <w:tcW w:type="dxa" w:w="5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6</w:t>
            </w:r>
          </w:p>
        </w:tc>
        <w:tc>
          <w:tcPr>
            <w:tcW w:type="dxa" w:w="3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Relatedness mechanics (rematch, chemistry)</w:t>
            </w:r>
          </w:p>
        </w:tc>
        <w:tc>
          <w:tcPr>
            <w:tcW w:type="dxa" w:w="20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Latent but load-bearing</w:t>
            </w:r>
          </w:p>
        </w:tc>
        <w:tc>
          <w:tcPr>
            <w:tcW w:type="dxa" w:w="3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Match history + social graph shipped</w:t>
            </w:r>
          </w:p>
        </w:tc>
      </w:tr>
      <w:tr>
        <w:tc>
          <w:tcPr>
            <w:tcW w:type="dxa" w:w="5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7</w:t>
            </w:r>
          </w:p>
        </w:tc>
        <w:tc>
          <w:tcPr>
            <w:tcW w:type="dxa" w:w="3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A women's trust layer</w:t>
            </w:r>
          </w:p>
        </w:tc>
        <w:tc>
          <w:tcPr>
            <w:tcW w:type="dxa" w:w="20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Meaningful, underserved</w:t>
            </w:r>
          </w:p>
        </w:tc>
        <w:tc>
          <w:tcPr>
            <w:tcW w:type="dxa" w:w="3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Gender filters + verification roadmap in place</w:t>
            </w:r>
          </w:p>
        </w:tc>
      </w:tr>
      <w:tr>
        <w:tc>
          <w:tcPr>
            <w:tcW w:type="dxa" w:w="5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8</w:t>
            </w:r>
          </w:p>
        </w:tc>
        <w:tc>
          <w:tcPr>
            <w:tcW w:type="dxa" w:w="3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Multi-sport athlete identity</w:t>
            </w:r>
          </w:p>
        </w:tc>
        <w:tc>
          <w:tcPr>
            <w:tcW w:type="dxa" w:w="20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Structural, decade-defining</w:t>
            </w:r>
          </w:p>
        </w:tc>
        <w:tc>
          <w:tcPr>
            <w:tcW w:type="dxa" w:w="3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Klimr's founding thesis; five sports live</w:t>
            </w:r>
          </w:p>
        </w:tc>
      </w:tr>
    </w:tbl>
    <w:p>
      <w:r>
        <w:br w:type="page"/>
      </w:r>
    </w:p>
    <w:p>
      <w:pPr>
        <w:pStyle w:val="Heading1"/>
        <w:spacing w:after="200" w:before="360"/>
      </w:pPr>
      <w:r>
        <w:rPr>
          <w:rFonts w:ascii="Arial" w:cs="Arial" w:eastAsia="Arial" w:hAnsi="Arial"/>
          <w:b/>
          <w:bCs/>
          <w:color w:val="D63A0F"/>
          <w:sz w:val="32"/>
          <w:szCs w:val="32"/>
        </w:rPr>
        <w:t xml:space="preserve">2. Method and Evidence Standards</w:t>
      </w:r>
    </w:p>
    <w:p>
      <w:pPr>
        <w:spacing w:after="160" w:line="276"/>
        <w:jc w:val="both"/>
      </w:pPr>
      <w:r>
        <w:rPr>
          <w:rFonts w:ascii="Georgia" w:cs="Georgia" w:eastAsia="Georgia" w:hAnsi="Georgia"/>
          <w:color w:val="201B12"/>
          <w:sz w:val="22"/>
          <w:szCs w:val="22"/>
        </w:rPr>
        <w:t xml:space="preserve">This is a rapid evidence review conducted by a single analyst against live sources in August 2026, not a commissioned multi-month study. Its claims are graded accordingly. Four evidence streams were triangulated:</w:t>
      </w:r>
    </w:p>
    <w:p>
      <w:pPr>
        <w:pStyle w:val="ListParagraph"/>
        <w:numPr>
          <w:ilvl w:val="0"/>
          <w:numId w:val="2"/>
        </w:numPr>
        <w:spacing w:after="100" w:line="264"/>
      </w:pPr>
      <w:r>
        <w:rPr>
          <w:rFonts w:ascii="Georgia" w:cs="Georgia" w:eastAsia="Georgia" w:hAnsi="Georgia"/>
          <w:b w:val="false"/>
          <w:bCs w:val="false"/>
          <w:color w:val="201B12"/>
          <w:sz w:val="22"/>
          <w:szCs w:val="22"/>
        </w:rPr>
        <w:t xml:space="preserve">Market and participation data — SFIA Topline and Single Sport reports, USA Pickleball court census, Playtomic/PwC industry reporting, and disclosed platform metrics.</w:t>
      </w:r>
    </w:p>
    <w:p>
      <w:pPr>
        <w:pStyle w:val="ListParagraph"/>
        <w:numPr>
          <w:ilvl w:val="0"/>
          <w:numId w:val="2"/>
        </w:numPr>
        <w:spacing w:after="100" w:line="264"/>
      </w:pPr>
      <w:r>
        <w:rPr>
          <w:rFonts w:ascii="Georgia" w:cs="Georgia" w:eastAsia="Georgia" w:hAnsi="Georgia"/>
          <w:b w:val="false"/>
          <w:bCs w:val="false"/>
          <w:color w:val="201B12"/>
          <w:sz w:val="22"/>
          <w:szCs w:val="22"/>
        </w:rPr>
        <w:t xml:space="preserve">Incumbent analysis — business models, scale disclosures, and app-store positioning of Playtomic, DUPR, UTR, TeamSnap-class organizers, CourtReserve-class venue systems, and session micro-tools.</w:t>
      </w:r>
    </w:p>
    <w:p>
      <w:pPr>
        <w:pStyle w:val="ListParagraph"/>
        <w:numPr>
          <w:ilvl w:val="0"/>
          <w:numId w:val="2"/>
        </w:numPr>
        <w:spacing w:after="100" w:line="264"/>
      </w:pPr>
      <w:r>
        <w:rPr>
          <w:rFonts w:ascii="Georgia" w:cs="Georgia" w:eastAsia="Georgia" w:hAnsi="Georgia"/>
          <w:b w:val="false"/>
          <w:bCs w:val="false"/>
          <w:color w:val="201B12"/>
          <w:sz w:val="22"/>
          <w:szCs w:val="22"/>
        </w:rPr>
        <w:t xml:space="preserve">Community-documented pain — organizer guides, etiquette literature, rating-system critique pieces, and product pages whose entire premise is a named complaint (a product built to kill paddle-stacking is evidence that paddle-stacking hurts).</w:t>
      </w:r>
    </w:p>
    <w:p>
      <w:pPr>
        <w:pStyle w:val="ListParagraph"/>
        <w:numPr>
          <w:ilvl w:val="0"/>
          <w:numId w:val="2"/>
        </w:numPr>
        <w:spacing w:after="100" w:line="264"/>
      </w:pPr>
      <w:r>
        <w:rPr>
          <w:rFonts w:ascii="Georgia" w:cs="Georgia" w:eastAsia="Georgia" w:hAnsi="Georgia"/>
          <w:b w:val="false"/>
          <w:bCs w:val="false"/>
          <w:color w:val="201B12"/>
          <w:sz w:val="22"/>
          <w:szCs w:val="22"/>
        </w:rPr>
        <w:t xml:space="preserve">Peer-reviewed literature — self-determination theory applied to sport, the loneliness and social-connection corpus, and friendship-formation research.</w:t>
      </w:r>
    </w:p>
    <w:p>
      <w:pPr>
        <w:spacing w:after="160" w:line="276"/>
        <w:jc w:val="both"/>
      </w:pPr>
      <w:r>
        <w:rPr>
          <w:rFonts w:ascii="Georgia" w:cs="Georgia" w:eastAsia="Georgia" w:hAnsi="Georgia"/>
          <w:color w:val="201B12"/>
          <w:sz w:val="22"/>
          <w:szCs w:val="22"/>
        </w:rPr>
        <w:t xml:space="preserve">Two honesty rules govern the text. First, every load-bearing claim carries a bracketed reference to the source list in Section 9; claims that are the analyst's synthesis rather than a source's finding are labeled as such. Second, where the underlying evidence is adjacent rather than direct — notably the women's-trust section, which transfers findings from the stranger-meeting and dating-safety literature — the transfer is stated explicitly rather than laundered into false precision.</w:t>
      </w:r>
    </w:p>
    <w:p>
      <w:pPr>
        <w:pStyle w:val="Heading1"/>
        <w:spacing w:after="200" w:before="360"/>
      </w:pPr>
      <w:r>
        <w:rPr>
          <w:rFonts w:ascii="Arial" w:cs="Arial" w:eastAsia="Arial" w:hAnsi="Arial"/>
          <w:b/>
          <w:bCs/>
          <w:color w:val="D63A0F"/>
          <w:sz w:val="32"/>
          <w:szCs w:val="32"/>
        </w:rPr>
        <w:t xml:space="preserve">3. Market Context: The Expansion and the Migration</w:t>
      </w:r>
    </w:p>
    <w:p>
      <w:pPr>
        <w:pStyle w:val="Heading2"/>
        <w:spacing w:after="160" w:before="280"/>
      </w:pPr>
      <w:r>
        <w:rPr>
          <w:rFonts w:ascii="Arial" w:cs="Arial" w:eastAsia="Arial" w:hAnsi="Arial"/>
          <w:b/>
          <w:bCs/>
          <w:color w:val="201B12"/>
          <w:sz w:val="26"/>
          <w:szCs w:val="26"/>
        </w:rPr>
        <w:t xml:space="preserve">3.1 The participation spine</w:t>
      </w:r>
    </w:p>
    <w:p>
      <w:pPr>
        <w:spacing w:after="160" w:line="276"/>
        <w:jc w:val="both"/>
      </w:pPr>
      <w:r>
        <w:rPr>
          <w:rFonts w:ascii="Georgia" w:cs="Georgia" w:eastAsia="Georgia" w:hAnsi="Georgia"/>
          <w:color w:val="201B12"/>
          <w:sz w:val="22"/>
          <w:szCs w:val="22"/>
        </w:rPr>
        <w:t xml:space="preserve">For the first time since tracking began, 250 million Americans participated in at least one sport, fitness, or leisure activity in 2025 [1]. Inside that record, racquet sports are the story: participation across the category reached 20.6% of Americans in 2025, up from 13% in 2019, with seven of the eight tracked racquet sports growing year over year [5]. Pickleball reached 24.3 million American players in 2025 — up 22.8% in one year and 171.8% over three, a more-than-fivefold expansion from 4.2 million in 2020, with roughly 4.5 million new players added in 2025 alone [1][2][3]. The base is deepening as well as widening: core players (8+ sessions per year) grew 20.4% to 7.48 million [1].</w:t>
      </w:r>
    </w:p>
    <w:p>
      <w:pPr>
        <w:spacing w:after="160" w:line="276"/>
        <w:jc w:val="both"/>
      </w:pPr>
      <w:r>
        <w:rPr>
          <w:rFonts w:ascii="Georgia" w:cs="Georgia" w:eastAsia="Georgia" w:hAnsi="Georgia"/>
          <w:color w:val="201B12"/>
          <w:sz w:val="22"/>
          <w:szCs w:val="22"/>
        </w:rPr>
        <w:t xml:space="preserve">The demographic reshaping matters as much as the totals. Teens and young adults aged 13–24 now post the highest pickleball participation rates of any age segment; the average player is 34.8 years old; the single largest cohort is 25–34; and women's share has climbed to 42.9% from 38.6% in 2020 [1][6]. Meanwhile tennis — the incumbent giant — grew 6.2% to 27.3 million players [4], and padel entered SFIA's tracked set with roughly 1.07 million U.S. players [3]. Supply is racing to follow demand: the U.S. added 14,155 dedicated pickleball courts in a single year — about 39 per day — reaching 82,613 courts across 18,258 locations [6].</w:t>
      </w:r>
    </w:p>
    <w:p>
      <w:pPr>
        <w:pStyle w:val="Heading2"/>
        <w:spacing w:after="160" w:before="280"/>
      </w:pPr>
      <w:r>
        <w:rPr>
          <w:rFonts w:ascii="Arial" w:cs="Arial" w:eastAsia="Arial" w:hAnsi="Arial"/>
          <w:b/>
          <w:bCs/>
          <w:color w:val="201B12"/>
          <w:sz w:val="26"/>
          <w:szCs w:val="26"/>
        </w:rPr>
        <w:t xml:space="preserve">3.2 Beyond the racquet category: what volleyball proves</w:t>
      </w:r>
    </w:p>
    <w:p>
      <w:pPr>
        <w:spacing w:after="160" w:line="276"/>
        <w:jc w:val="both"/>
      </w:pPr>
      <w:r>
        <w:rPr>
          <w:rFonts w:ascii="Georgia" w:cs="Georgia" w:eastAsia="Georgia" w:hAnsi="Georgia"/>
          <w:color w:val="201B12"/>
          <w:sz w:val="22"/>
          <w:szCs w:val="22"/>
        </w:rPr>
        <w:t xml:space="preserve">A scope note this report insists on: the 20.6% racquet-category figure understates Klimr's addressable base, because Klimr is a sports network whose launch set already crosses category lines — beach volleyball is live in the product today and sits outside the racquet category entirely, and the roadmap extends past court-based sports altogether. The volleyball side carries its own momentum: SFIA's 2026 report records team sports as the strongest-growing category, surpassing 90 million total participants for the first time [35]; court volleyball posted roughly 7% growth in the Olympic-bounce year [36]; youth data shows boys' volleyball among the fastest-rising school sports [37]; and SFIA tracks beach/sand volleyball as its own single-sport dataset with cross-participation analysis [38]. Two structural facts make beach volleyball a strategic asset rather than an appendix for Klimr: its home is the public sand court — exactly the unbookable, queue-cultured, pre-arrival-blind environment where Gap 3 lives — and its four-to-six-player formats make the reliability and fill problems of Gaps 1 and 5 mathematically harsher than in any racquet format. In Los Angeles specifically, the launch market, beach volleyball is not a niche; it is the culture. Volleyball is best read as proof of generality rather than an endpoint: Klimr’s data model is sport-agnostic — a sport is a configuration row plus its formats — so the roadmap’s field- and gym-based additions (a future soccer, a future basketball) are additive data, not rebuilds (analyst note, verified against the shipped schema).</w:t>
      </w:r>
    </w:p>
    <w:p>
      <w:pPr>
        <w:pStyle w:val="Heading2"/>
        <w:spacing w:after="160" w:before="280"/>
      </w:pPr>
      <w:r>
        <w:rPr>
          <w:rFonts w:ascii="Arial" w:cs="Arial" w:eastAsia="Arial" w:hAnsi="Arial"/>
          <w:b/>
          <w:bCs/>
          <w:color w:val="201B12"/>
          <w:sz w:val="26"/>
          <w:szCs w:val="26"/>
        </w:rPr>
        <w:t xml:space="preserve">3.3 The migration thesis</w:t>
      </w:r>
    </w:p>
    <w:p>
      <w:pPr>
        <w:spacing w:after="160" w:line="276"/>
        <w:jc w:val="both"/>
      </w:pPr>
      <w:r>
        <w:rPr>
          <w:rFonts w:ascii="Georgia" w:cs="Georgia" w:eastAsia="Georgia" w:hAnsi="Georgia"/>
          <w:color w:val="201B12"/>
          <w:sz w:val="22"/>
          <w:szCs w:val="22"/>
        </w:rPr>
        <w:t xml:space="preserve">These are not three separate markets. The defining structural fact of the decade is crossover: tennis players picking up pickleball, pickleball players discovering padel, padel arriving in the U.S. as a premium club sport growing at a projected 13%+ compound annual rate through 2034, with an estimated 50 new clubs opening worldwide every week [7][8]. SFIA's own analysts frame the pickleball story as the broadening and diversification of the player base rather than raw growth [2]. Yet the software map is single-sport: DUPR is pickleball's rating, UTR is tennis's, Playtomic is padel-and-booking-first. No platform owns the player who plays three of these sports — which is a majority of the enthusiast segment this category monetizes.</w:t>
      </w:r>
    </w:p>
    <w:p>
      <w:pPr>
        <w:pStyle w:val="Heading2"/>
        <w:spacing w:after="160" w:before="280"/>
      </w:pPr>
      <w:r>
        <w:rPr>
          <w:rFonts w:ascii="Arial" w:cs="Arial" w:eastAsia="Arial" w:hAnsi="Arial"/>
          <w:b/>
          <w:bCs/>
          <w:color w:val="201B12"/>
          <w:sz w:val="26"/>
          <w:szCs w:val="26"/>
        </w:rPr>
        <w:t xml:space="preserve">3.4 Money is already flowing to the utility layer</w:t>
      </w:r>
    </w:p>
    <w:p>
      <w:pPr>
        <w:spacing w:after="160" w:line="276"/>
        <w:jc w:val="both"/>
      </w:pPr>
      <w:r>
        <w:rPr>
          <w:rFonts w:ascii="Georgia" w:cs="Georgia" w:eastAsia="Georgia" w:hAnsi="Georgia"/>
          <w:color w:val="201B12"/>
          <w:sz w:val="22"/>
          <w:szCs w:val="22"/>
        </w:rPr>
        <w:t xml:space="preserve">Playtomic — a bookings company before it is a social one — now claims 4.7 million players and 6,500+ partner clubs across 66 countries, monetizing through club SaaS fees, marketplace commissions, and subscriptions [8][11]. Eighteen months after entering the U.S., it reportedly holds more than half of U.S. padel bookings [10]. Its UK data illustrates the mechanism this report keeps returning to: bookings more than doubled in 2025, and the social feature that grew fastest — Open Matches, joining games with strangers at your level — doubled to roughly 90,000 per month, making the UK the platform's most social market by ratio [9]. The social graph followed the utility. Adjacent capital confirms the pattern: racquet facility and platform operators such as Racquet360 are raising institutional rounds on triple-digit growth expectations [10].</w:t>
      </w:r>
    </w:p>
    <w:p>
      <w:pPr>
        <w:pStyle w:val="Heading1"/>
        <w:spacing w:after="200" w:before="360"/>
      </w:pPr>
      <w:r>
        <w:rPr>
          <w:rFonts w:ascii="Arial" w:cs="Arial" w:eastAsia="Arial" w:hAnsi="Arial"/>
          <w:b/>
          <w:bCs/>
          <w:color w:val="D63A0F"/>
          <w:sz w:val="32"/>
          <w:szCs w:val="32"/>
        </w:rPr>
        <w:t xml:space="preserve">4. The Incumbent Map</w:t>
      </w:r>
    </w:p>
    <w:p>
      <w:pPr>
        <w:spacing w:after="160" w:line="276"/>
        <w:jc w:val="both"/>
      </w:pPr>
      <w:r>
        <w:rPr>
          <w:rFonts w:ascii="Georgia" w:cs="Georgia" w:eastAsia="Georgia" w:hAnsi="Georgia"/>
          <w:color w:val="201B12"/>
          <w:sz w:val="22"/>
          <w:szCs w:val="22"/>
        </w:rPr>
        <w:t xml:space="preserve">The competitive question for Klimr is not “who else does social sport” but “which utility wedge does each survivor own, and what friction do their own communities document.”</w:t>
      </w:r>
    </w:p>
    <w:tbl>
      <w:tblPr>
        <w:tblW w:type="dxa" w:w="9360"/>
        <w:tblBorders>
          <w:top w:val="single" w:color="E9E1D1" w:sz="4"/>
          <w:left w:val="single" w:color="E9E1D1" w:sz="4"/>
          <w:bottom w:val="single" w:color="E9E1D1" w:sz="4"/>
          <w:right w:val="single" w:color="E9E1D1" w:sz="4"/>
          <w:insideH w:val="single" w:color="E9E1D1" w:sz="4"/>
          <w:insideV w:val="single" w:color="E9E1D1" w:sz="4"/>
        </w:tblBorders>
      </w:tblPr>
      <w:tblGrid>
        <w:gridCol w:w="1750"/>
        <w:gridCol w:w="2100"/>
        <w:gridCol w:w="2450"/>
        <w:gridCol w:w="3060"/>
      </w:tblGrid>
      <w:tr>
        <w:tc>
          <w:tcPr>
            <w:tcW w:type="dxa" w:w="175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Platform class</w:t>
            </w:r>
          </w:p>
        </w:tc>
        <w:tc>
          <w:tcPr>
            <w:tcW w:type="dxa" w:w="210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Wedge they own</w:t>
            </w:r>
          </w:p>
        </w:tc>
        <w:tc>
          <w:tcPr>
            <w:tcW w:type="dxa" w:w="245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Scale signal</w:t>
            </w:r>
          </w:p>
        </w:tc>
        <w:tc>
          <w:tcPr>
            <w:tcW w:type="dxa" w:w="306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Documented friction</w:t>
            </w:r>
          </w:p>
        </w:tc>
      </w:tr>
      <w:tr>
        <w:tc>
          <w:tcPr>
            <w:tcW w:type="dxa" w:w="17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Playtomic</w:t>
            </w:r>
          </w:p>
        </w:tc>
        <w:tc>
          <w:tcPr>
            <w:tcW w:type="dxa" w:w="2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Venue booking (padel-first), B2B2C SaaS</w:t>
            </w:r>
          </w:p>
        </w:tc>
        <w:tc>
          <w:tcPr>
            <w:tcW w:type="dxa" w:w="24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4.7M players, 6,500+ clubs, 66 countries [8][11]</w:t>
            </w:r>
          </w:p>
        </w:tc>
        <w:tc>
          <w:tcPr>
            <w:tcW w:type="dxa" w:w="30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Club-dependent: thin where sport lives on public courts; social features gated behind booking supply</w:t>
            </w:r>
          </w:p>
        </w:tc>
      </w:tr>
      <w:tr>
        <w:tc>
          <w:tcPr>
            <w:tcW w:type="dxa" w:w="17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DUPR</w:t>
            </w:r>
          </w:p>
        </w:tc>
        <w:tc>
          <w:tcPr>
            <w:tcW w:type="dxa" w:w="2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Pickleball rating standard</w:t>
            </w:r>
          </w:p>
        </w:tc>
        <w:tc>
          <w:tcPr>
            <w:tcW w:type="dxa" w:w="24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1M+ users, 10M+ matches logged [13]</w:t>
            </w:r>
          </w:p>
        </w:tc>
        <w:tc>
          <w:tcPr>
            <w:tcW w:type="dxa" w:w="30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No verification tier; sandbagging and self-rating distrust are the community's loudest critique [12][13][14]</w:t>
            </w:r>
          </w:p>
        </w:tc>
      </w:tr>
      <w:tr>
        <w:tc>
          <w:tcPr>
            <w:tcW w:type="dxa" w:w="17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UTR / UTR-P</w:t>
            </w:r>
          </w:p>
        </w:tc>
        <w:tc>
          <w:tcPr>
            <w:tcW w:type="dxa" w:w="2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Tennis rating, verified tier</w:t>
            </w:r>
          </w:p>
        </w:tc>
        <w:tc>
          <w:tcPr>
            <w:tcW w:type="dxa" w:w="24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Tennis-wide adoption</w:t>
            </w:r>
          </w:p>
        </w:tc>
        <w:tc>
          <w:tcPr>
            <w:tcW w:type="dxa" w:w="30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Single-sport identity; verified tier tied to sanctioned play</w:t>
            </w:r>
          </w:p>
        </w:tc>
      </w:tr>
      <w:tr>
        <w:tc>
          <w:tcPr>
            <w:tcW w:type="dxa" w:w="17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TeamSnap-class</w:t>
            </w:r>
          </w:p>
        </w:tc>
        <w:tc>
          <w:tcPr>
            <w:tcW w:type="dxa" w:w="2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Youth-team roster ops (parents)</w:t>
            </w:r>
          </w:p>
        </w:tc>
        <w:tc>
          <w:tcPr>
            <w:tcW w:type="dxa" w:w="24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Category leader in youth</w:t>
            </w:r>
          </w:p>
        </w:tc>
        <w:tc>
          <w:tcPr>
            <w:tcW w:type="dxa" w:w="30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Built for seasons and rosters, not adult pickup fluidity</w:t>
            </w:r>
          </w:p>
        </w:tc>
      </w:tr>
      <w:tr>
        <w:tc>
          <w:tcPr>
            <w:tcW w:type="dxa" w:w="17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CourtReserve-class</w:t>
            </w:r>
          </w:p>
        </w:tc>
        <w:tc>
          <w:tcPr>
            <w:tcW w:type="dxa" w:w="2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Indoor club scheduling</w:t>
            </w:r>
          </w:p>
        </w:tc>
        <w:tc>
          <w:tcPr>
            <w:tcW w:type="dxa" w:w="24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Standard at private facilities</w:t>
            </w:r>
          </w:p>
        </w:tc>
        <w:tc>
          <w:tcPr>
            <w:tcW w:type="dxa" w:w="30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Invisible to the public-court majority of play</w:t>
            </w:r>
          </w:p>
        </w:tc>
      </w:tr>
      <w:tr>
        <w:tc>
          <w:tcPr>
            <w:tcW w:type="dxa" w:w="17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Session micro-tools (PB Queue, Picklr)</w:t>
            </w:r>
          </w:p>
        </w:tc>
        <w:tc>
          <w:tcPr>
            <w:tcW w:type="dxa" w:w="2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On-site rotation math</w:t>
            </w:r>
          </w:p>
        </w:tc>
        <w:tc>
          <w:tcPr>
            <w:tcW w:type="dxa" w:w="24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Niche, organizer-run</w:t>
            </w:r>
          </w:p>
        </w:tc>
        <w:tc>
          <w:tcPr>
            <w:tcW w:type="dxa" w:w="30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Solve the queue once you have arrived; nothing pre-arrival, no identity layer [22][23]</w:t>
            </w:r>
          </w:p>
        </w:tc>
      </w:tr>
      <w:tr>
        <w:tc>
          <w:tcPr>
            <w:tcW w:type="dxa" w:w="17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Volleyball league operators (Volo-class)</w:t>
            </w:r>
          </w:p>
        </w:tc>
        <w:tc>
          <w:tcPr>
            <w:tcW w:type="dxa" w:w="2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Adult recreational leagues and events</w:t>
            </w:r>
          </w:p>
        </w:tc>
        <w:tc>
          <w:tcPr>
            <w:tcW w:type="dxa" w:w="24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Category standard in urban rec volleyball</w:t>
            </w:r>
          </w:p>
        </w:tc>
        <w:tc>
          <w:tcPr>
            <w:tcW w:type="dxa" w:w="30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League-first by design: seasons and fees, no pickup identity, no casual-play rating, single-sport (analyst mapping)</w:t>
            </w:r>
          </w:p>
        </w:tc>
      </w:tr>
      <w:tr>
        <w:tc>
          <w:tcPr>
            <w:tcW w:type="dxa" w:w="17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Generic (Meetup, WhatsApp, Facebook groups)</w:t>
            </w:r>
          </w:p>
        </w:tc>
        <w:tc>
          <w:tcPr>
            <w:tcW w:type="dxa" w:w="21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Free coordination</w:t>
            </w:r>
          </w:p>
        </w:tc>
        <w:tc>
          <w:tcPr>
            <w:tcW w:type="dxa" w:w="245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Where most play is actually organized</w:t>
            </w:r>
          </w:p>
        </w:tc>
        <w:tc>
          <w:tcPr>
            <w:tcW w:type="dxa" w:w="30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No skill truth, no reliability memory, organizer carries everything manually [16][17]</w:t>
            </w:r>
          </w:p>
        </w:tc>
      </w:tr>
    </w:tbl>
    <w:p>
      <w:pPr>
        <w:spacing w:after="160" w:line="276"/>
        <w:jc w:val="both"/>
      </w:pPr>
      <w:r>
        <w:rPr>
          <w:rFonts w:ascii="Georgia" w:cs="Georgia" w:eastAsia="Georgia" w:hAnsi="Georgia"/>
          <w:color w:val="201B12"/>
          <w:sz w:val="22"/>
          <w:szCs w:val="22"/>
        </w:rPr>
        <w:t xml:space="preserve">The map has a shape: every durable player owns a utility, and the players that own only “social” do not appear on it because they did not survive. Section 8 develops that pattern.</w:t>
      </w:r>
    </w:p>
    <w:p>
      <w:r>
        <w:br w:type="page"/>
      </w:r>
    </w:p>
    <w:p>
      <w:pPr>
        <w:pStyle w:val="Heading1"/>
        <w:spacing w:after="200" w:before="360"/>
      </w:pPr>
      <w:r>
        <w:rPr>
          <w:rFonts w:ascii="Arial" w:cs="Arial" w:eastAsia="Arial" w:hAnsi="Arial"/>
          <w:b/>
          <w:bCs/>
          <w:color w:val="D63A0F"/>
          <w:sz w:val="32"/>
          <w:szCs w:val="32"/>
        </w:rPr>
        <w:t xml:space="preserve">5. The Eight Gaps</w:t>
      </w:r>
    </w:p>
    <w:p>
      <w:pPr>
        <w:pStyle w:val="Heading2"/>
        <w:spacing w:after="160" w:before="280"/>
      </w:pPr>
      <w:r>
        <w:rPr>
          <w:rFonts w:ascii="Arial" w:cs="Arial" w:eastAsia="Arial" w:hAnsi="Arial"/>
          <w:b/>
          <w:bCs/>
          <w:color w:val="201B12"/>
          <w:sz w:val="26"/>
          <w:szCs w:val="26"/>
        </w:rPr>
        <w:t xml:space="preserve">Gap 1 — Reliability — matches that actually happen</w:t>
      </w:r>
    </w:p>
    <w:p>
      <w:pPr>
        <w:spacing w:after="160" w:line="276"/>
        <w:jc w:val="both"/>
      </w:pPr>
      <w:r>
        <w:rPr>
          <w:rFonts w:ascii="Georgia" w:cs="Georgia" w:eastAsia="Georgia" w:hAnsi="Georgia"/>
          <w:b/>
          <w:bCs/>
          <w:color w:val="201B12"/>
          <w:sz w:val="22"/>
          <w:szCs w:val="22"/>
        </w:rPr>
        <w:t xml:space="preserve">The need. </w:t>
      </w:r>
      <w:r>
        <w:rPr>
          <w:rFonts w:ascii="Georgia" w:cs="Georgia" w:eastAsia="Georgia" w:hAnsi="Georgia"/>
          <w:color w:val="201B12"/>
          <w:sz w:val="22"/>
          <w:szCs w:val="22"/>
        </w:rPr>
        <w:t xml:space="preserve">Players do not churn because they cannot find a game; they churn because the game they arranged did not happen. The no-show is the category's silent killer, and no platform gives commitment a memory or a consequence.</w:t>
      </w:r>
    </w:p>
    <w:p>
      <w:pPr>
        <w:spacing w:after="160" w:line="276"/>
        <w:jc w:val="both"/>
      </w:pPr>
      <w:r>
        <w:rPr>
          <w:rFonts w:ascii="Georgia" w:cs="Georgia" w:eastAsia="Georgia" w:hAnsi="Georgia"/>
          <w:b/>
          <w:bCs/>
          <w:color w:val="201B12"/>
          <w:sz w:val="22"/>
          <w:szCs w:val="22"/>
        </w:rPr>
        <w:t xml:space="preserve">The evidence. </w:t>
      </w:r>
      <w:r>
        <w:rPr>
          <w:rFonts w:ascii="Georgia" w:cs="Georgia" w:eastAsia="Georgia" w:hAnsi="Georgia"/>
          <w:color w:val="201B12"/>
          <w:sz w:val="22"/>
          <w:szCs w:val="22"/>
        </w:rPr>
        <w:t xml:space="preserve">Organizer literature documents the coping stack in painful detail: the constant nudge of last-minute confirmation messages, deliberate overbooking in the hope that flakes cancel out the extras, and attempts to build a “culture of commitment” by sheer social pressure — every tactic placing the whole burden on the organizer [16][17]. Products are now being founded on this pain alone: a pickup-hockey platform's entire pitch is that adults quit leagues because the alternatives are rigid or unreliable, and its product is a guarantee — games kept full, staffed, and payable per session [18]. University HCI research articulated this exact gap — between committed, expensive leagues and unfindable, unreliable pickup — more than fifteen years ago; it has never been closed [19].</w:t>
      </w:r>
    </w:p>
    <w:p>
      <w:pPr>
        <w:spacing w:after="160" w:line="276"/>
        <w:jc w:val="both"/>
      </w:pPr>
      <w:r>
        <w:rPr>
          <w:rFonts w:ascii="Georgia" w:cs="Georgia" w:eastAsia="Georgia" w:hAnsi="Georgia"/>
          <w:b/>
          <w:bCs/>
          <w:color w:val="201B12"/>
          <w:sz w:val="22"/>
          <w:szCs w:val="22"/>
        </w:rPr>
        <w:t xml:space="preserve">Why incumbents miss it. </w:t>
      </w:r>
      <w:r>
        <w:rPr>
          <w:rFonts w:ascii="Georgia" w:cs="Georgia" w:eastAsia="Georgia" w:hAnsi="Georgia"/>
          <w:color w:val="201B12"/>
          <w:sz w:val="22"/>
          <w:szCs w:val="22"/>
        </w:rPr>
        <w:t xml:space="preserve">Discovery platforms are structurally misaligned with reliability: their metric is matches created, not matches completed, and punishing flaky users shrinks the top-line numbers they report. A reliability score also requires verified attendance data, which only a platform that owns the join-and-approve flow can generate.</w:t>
      </w:r>
    </w:p>
    <w:p>
      <w:pPr>
        <w:spacing w:after="160" w:line="276"/>
        <w:jc w:val="both"/>
      </w:pPr>
      <w:r>
        <w:rPr>
          <w:rFonts w:ascii="Georgia" w:cs="Georgia" w:eastAsia="Georgia" w:hAnsi="Georgia"/>
          <w:b/>
          <w:bCs/>
          <w:color w:val="201B12"/>
          <w:sz w:val="22"/>
          <w:szCs w:val="22"/>
        </w:rPr>
        <w:t xml:space="preserve">Demand signal. </w:t>
      </w:r>
      <w:r>
        <w:rPr>
          <w:rFonts w:ascii="Georgia" w:cs="Georgia" w:eastAsia="Georgia" w:hAnsi="Georgia"/>
          <w:color w:val="201B12"/>
          <w:sz w:val="22"/>
          <w:szCs w:val="22"/>
        </w:rPr>
        <w:t xml:space="preserve">Severe and universal. It is the most consistent complaint across every community stream examined, and it is the stated founding rationale of new entrants [16][18].</w:t>
      </w:r>
    </w:p>
    <w:p>
      <w:pPr>
        <w:spacing w:after="160" w:line="276"/>
        <w:jc w:val="both"/>
      </w:pPr>
      <w:r>
        <w:rPr>
          <w:rFonts w:ascii="Georgia" w:cs="Georgia" w:eastAsia="Georgia" w:hAnsi="Georgia"/>
          <w:b/>
          <w:bCs/>
          <w:color w:val="201B12"/>
          <w:sz w:val="22"/>
          <w:szCs w:val="22"/>
        </w:rPr>
        <w:t xml:space="preserve">Implication for Klimr. </w:t>
      </w:r>
      <w:r>
        <w:rPr>
          <w:rFonts w:ascii="Georgia" w:cs="Georgia" w:eastAsia="Georgia" w:hAnsi="Georgia"/>
          <w:color w:val="201B12"/>
          <w:sz w:val="22"/>
          <w:szCs w:val="22"/>
        </w:rPr>
        <w:t xml:space="preserve">Klimr already owns the join-request, approval, and result-recording pipeline — the exact data exhaust a show-up score requires. A visible reliability signal (attendance rate, on-time rate) attached to every profile, weighted into discovery ranking, would be a first-of-kind primitive in racquet sports and is buildable on shipped infrastructure.</w:t>
      </w:r>
    </w:p>
    <w:p>
      <w:pPr>
        <w:pStyle w:val="Heading2"/>
        <w:spacing w:after="160" w:before="280"/>
      </w:pPr>
      <w:r>
        <w:rPr>
          <w:rFonts w:ascii="Arial" w:cs="Arial" w:eastAsia="Arial" w:hAnsi="Arial"/>
          <w:b/>
          <w:bCs/>
          <w:color w:val="201B12"/>
          <w:sz w:val="26"/>
          <w:szCs w:val="26"/>
        </w:rPr>
        <w:t xml:space="preserve">Gap 2 — Skill ratings players believe — across sports</w:t>
      </w:r>
    </w:p>
    <w:p>
      <w:pPr>
        <w:spacing w:after="160" w:line="276"/>
        <w:jc w:val="both"/>
      </w:pPr>
      <w:r>
        <w:rPr>
          <w:rFonts w:ascii="Georgia" w:cs="Georgia" w:eastAsia="Georgia" w:hAnsi="Georgia"/>
          <w:b/>
          <w:bCs/>
          <w:color w:val="201B12"/>
          <w:sz w:val="22"/>
          <w:szCs w:val="22"/>
        </w:rPr>
        <w:t xml:space="preserve">The need. </w:t>
      </w:r>
      <w:r>
        <w:rPr>
          <w:rFonts w:ascii="Georgia" w:cs="Georgia" w:eastAsia="Georgia" w:hAnsi="Georgia"/>
          <w:color w:val="201B12"/>
          <w:sz w:val="22"/>
          <w:szCs w:val="22"/>
        </w:rPr>
        <w:t xml:space="preserve">The second-most-cited bad experience is the mismatched game: the self-declared “4.0” who plays like a 3.0. Players want a number they can trust before committing an evening to a stranger.</w:t>
      </w:r>
    </w:p>
    <w:p>
      <w:pPr>
        <w:spacing w:after="160" w:line="276"/>
        <w:jc w:val="both"/>
      </w:pPr>
      <w:r>
        <w:rPr>
          <w:rFonts w:ascii="Georgia" w:cs="Georgia" w:eastAsia="Georgia" w:hAnsi="Georgia"/>
          <w:b/>
          <w:bCs/>
          <w:color w:val="201B12"/>
          <w:sz w:val="22"/>
          <w:szCs w:val="22"/>
        </w:rPr>
        <w:t xml:space="preserve">The evidence. </w:t>
      </w:r>
      <w:r>
        <w:rPr>
          <w:rFonts w:ascii="Georgia" w:cs="Georgia" w:eastAsia="Georgia" w:hAnsi="Georgia"/>
          <w:color w:val="201B12"/>
          <w:sz w:val="22"/>
          <w:szCs w:val="22"/>
        </w:rPr>
        <w:t xml:space="preserve">The community critique of the dominant rating system is explicit and multi-headed: no verification tier — described in industry commentary as one of the biggest critiques from the pickleball community — which lets sanctioned-play sandbagging persist and, crucially, chills casual play itself, because logging a friendly match puts your rating at risk [12]. Sandbagging at tournaments is described as widespread, with unrated entrants falling back to self-rating [13]. Documented complaint patterns include ratings falling despite wins, regional distortion (a small-town 4.0 playing like a hub-city 3.5), decay during breaks, and cherry-picked match reporting [14]. Challenger systems are now marketing themselves purely on “fairer than DUPR” — a reliable sign of unresolved demand [14]. On the volleyball side of the court the gap is not contested but empty: no rating standard of any kind exists for recreational beach volleyball (analyst observation).</w:t>
      </w:r>
    </w:p>
    <w:p>
      <w:pPr>
        <w:spacing w:after="160" w:line="276"/>
        <w:jc w:val="both"/>
      </w:pPr>
      <w:r>
        <w:rPr>
          <w:rFonts w:ascii="Georgia" w:cs="Georgia" w:eastAsia="Georgia" w:hAnsi="Georgia"/>
          <w:b/>
          <w:bCs/>
          <w:color w:val="201B12"/>
          <w:sz w:val="22"/>
          <w:szCs w:val="22"/>
        </w:rPr>
        <w:t xml:space="preserve">Why incumbents miss it. </w:t>
      </w:r>
      <w:r>
        <w:rPr>
          <w:rFonts w:ascii="Georgia" w:cs="Georgia" w:eastAsia="Georgia" w:hAnsi="Georgia"/>
          <w:color w:val="201B12"/>
          <w:sz w:val="22"/>
          <w:szCs w:val="22"/>
        </w:rPr>
        <w:t xml:space="preserve">Rating incumbents are single-sport by identity and business model, and their credibility depends on sanctioned data they cannot get from casual play — which is where most play happens. None can rate the tennis-Tuesday, pickleball-Thursday, padel-Saturday player as one person.</w:t>
      </w:r>
    </w:p>
    <w:p>
      <w:pPr>
        <w:spacing w:after="160" w:line="276"/>
        <w:jc w:val="both"/>
      </w:pPr>
      <w:r>
        <w:rPr>
          <w:rFonts w:ascii="Georgia" w:cs="Georgia" w:eastAsia="Georgia" w:hAnsi="Georgia"/>
          <w:b/>
          <w:bCs/>
          <w:color w:val="201B12"/>
          <w:sz w:val="22"/>
          <w:szCs w:val="22"/>
        </w:rPr>
        <w:t xml:space="preserve">Demand signal. </w:t>
      </w:r>
      <w:r>
        <w:rPr>
          <w:rFonts w:ascii="Georgia" w:cs="Georgia" w:eastAsia="Georgia" w:hAnsi="Georgia"/>
          <w:color w:val="201B12"/>
          <w:sz w:val="22"/>
          <w:szCs w:val="22"/>
        </w:rPr>
        <w:t xml:space="preserve">Severe; the loudest single complaint class in racquet-sport communities, with over a million users and ten million logged matches on the incumbent proving the demand while the critique proves the gap [12][13][14].</w:t>
      </w:r>
    </w:p>
    <w:p>
      <w:pPr>
        <w:spacing w:after="160" w:line="276"/>
        <w:jc w:val="both"/>
      </w:pPr>
      <w:r>
        <w:rPr>
          <w:rFonts w:ascii="Georgia" w:cs="Georgia" w:eastAsia="Georgia" w:hAnsi="Georgia"/>
          <w:b/>
          <w:bCs/>
          <w:color w:val="201B12"/>
          <w:sz w:val="22"/>
          <w:szCs w:val="22"/>
        </w:rPr>
        <w:t xml:space="preserve">Implication for Klimr. </w:t>
      </w:r>
      <w:r>
        <w:rPr>
          <w:rFonts w:ascii="Georgia" w:cs="Georgia" w:eastAsia="Georgia" w:hAnsi="Georgia"/>
          <w:color w:val="201B12"/>
          <w:sz w:val="22"/>
          <w:szCs w:val="22"/>
        </w:rPr>
        <w:t xml:space="preserve">Klimr's advisory skill bands, per-sport rankings engine, and organizer-approved result recording are the scaffolding of a match-derived, cross-sport rating with anti-gaming design (organizer verification as the trust event). This is the deepest defensibility play on the list: ratings compound with every match and do not port away.</w:t>
      </w:r>
    </w:p>
    <w:p>
      <w:pPr>
        <w:pStyle w:val="Heading2"/>
        <w:spacing w:after="160" w:before="280"/>
      </w:pPr>
      <w:r>
        <w:rPr>
          <w:rFonts w:ascii="Arial" w:cs="Arial" w:eastAsia="Arial" w:hAnsi="Arial"/>
          <w:b/>
          <w:bCs/>
          <w:color w:val="201B12"/>
          <w:sz w:val="26"/>
          <w:szCs w:val="26"/>
        </w:rPr>
        <w:t xml:space="preserve">Gap 3 — Real-time court intelligence for public courts</w:t>
      </w:r>
    </w:p>
    <w:p>
      <w:pPr>
        <w:spacing w:after="160" w:line="276"/>
        <w:jc w:val="both"/>
      </w:pPr>
      <w:r>
        <w:rPr>
          <w:rFonts w:ascii="Georgia" w:cs="Georgia" w:eastAsia="Georgia" w:hAnsi="Georgia"/>
          <w:b/>
          <w:bCs/>
          <w:color w:val="201B12"/>
          <w:sz w:val="22"/>
          <w:szCs w:val="22"/>
        </w:rPr>
        <w:t xml:space="preserve">The need. </w:t>
      </w:r>
      <w:r>
        <w:rPr>
          <w:rFonts w:ascii="Georgia" w:cs="Georgia" w:eastAsia="Georgia" w:hAnsi="Georgia"/>
          <w:color w:val="201B12"/>
          <w:sz w:val="22"/>
          <w:szCs w:val="22"/>
        </w:rPr>
        <w:t xml:space="preserve">For the majority of American racquet play — public courts with no booking system — nobody knows the wait until they drive there. Players want to know, before leaving home, whether the courts are stacked three groups deep.</w:t>
      </w:r>
    </w:p>
    <w:p>
      <w:pPr>
        <w:spacing w:after="160" w:line="276"/>
        <w:jc w:val="both"/>
      </w:pPr>
      <w:r>
        <w:rPr>
          <w:rFonts w:ascii="Georgia" w:cs="Georgia" w:eastAsia="Georgia" w:hAnsi="Georgia"/>
          <w:b/>
          <w:bCs/>
          <w:color w:val="201B12"/>
          <w:sz w:val="22"/>
          <w:szCs w:val="22"/>
        </w:rPr>
        <w:t xml:space="preserve">The evidence. </w:t>
      </w:r>
      <w:r>
        <w:rPr>
          <w:rFonts w:ascii="Georgia" w:cs="Georgia" w:eastAsia="Georgia" w:hAnsi="Georgia"/>
          <w:color w:val="201B12"/>
          <w:sz w:val="22"/>
          <w:szCs w:val="22"/>
        </w:rPr>
        <w:t xml:space="preserve">The paddle-stacking literature is a window into unmanaged scarcity: rotation orders that live in one regular's head, empty-looking courts that are already claimed, disputes over queue-jumping, and documented waits of one to two full game cycles — fifteen to thirty minutes — once seven or more players are waiting [20][21]. An ecosystem of micro-tools now exists solely to run the on-site queue [22][23]; their existence is proof of pain, and their design limit is the point: they help only after you have arrived. Indoor clubs solved this with reservations [24-class systems]; the public-court majority has nothing pre-arrival. Beach volleyball intensifies the case: its entire habitat is the public sand court, with the same winners-stay queue culture and zero pre-arrival visibility.</w:t>
      </w:r>
    </w:p>
    <w:p>
      <w:pPr>
        <w:spacing w:after="160" w:line="276"/>
        <w:jc w:val="both"/>
      </w:pPr>
      <w:r>
        <w:rPr>
          <w:rFonts w:ascii="Georgia" w:cs="Georgia" w:eastAsia="Georgia" w:hAnsi="Georgia"/>
          <w:b/>
          <w:bCs/>
          <w:color w:val="201B12"/>
          <w:sz w:val="22"/>
          <w:szCs w:val="22"/>
        </w:rPr>
        <w:t xml:space="preserve">Why incumbents miss it. </w:t>
      </w:r>
      <w:r>
        <w:rPr>
          <w:rFonts w:ascii="Georgia" w:cs="Georgia" w:eastAsia="Georgia" w:hAnsi="Georgia"/>
          <w:color w:val="201B12"/>
          <w:sz w:val="22"/>
          <w:szCs w:val="22"/>
        </w:rPr>
        <w:t xml:space="preserve">Occupancy data for unbookable courts requires either dense player presence (check-ins, session pings) or organizer adoption at each court — a cold-start problem that global platforms cannot solve market-by-market and venue platforms have no incentive to solve for free courts.</w:t>
      </w:r>
    </w:p>
    <w:p>
      <w:pPr>
        <w:spacing w:after="160" w:line="276"/>
        <w:jc w:val="both"/>
      </w:pPr>
      <w:r>
        <w:rPr>
          <w:rFonts w:ascii="Georgia" w:cs="Georgia" w:eastAsia="Georgia" w:hAnsi="Georgia"/>
          <w:b/>
          <w:bCs/>
          <w:color w:val="201B12"/>
          <w:sz w:val="22"/>
          <w:szCs w:val="22"/>
        </w:rPr>
        <w:t xml:space="preserve">Demand signal. </w:t>
      </w:r>
      <w:r>
        <w:rPr>
          <w:rFonts w:ascii="Georgia" w:cs="Georgia" w:eastAsia="Georgia" w:hAnsi="Georgia"/>
          <w:color w:val="201B12"/>
          <w:sz w:val="22"/>
          <w:szCs w:val="22"/>
        </w:rPr>
        <w:t xml:space="preserve">High. Constant, practical, and completely unserved in the pre-arrival moment; the on-site tool ecosystem quantifies the downstream pain [20][21][22].</w:t>
      </w:r>
    </w:p>
    <w:p>
      <w:pPr>
        <w:spacing w:after="160" w:line="276"/>
        <w:jc w:val="both"/>
      </w:pPr>
      <w:r>
        <w:rPr>
          <w:rFonts w:ascii="Georgia" w:cs="Georgia" w:eastAsia="Georgia" w:hAnsi="Georgia"/>
          <w:b/>
          <w:bCs/>
          <w:color w:val="201B12"/>
          <w:sz w:val="22"/>
          <w:szCs w:val="22"/>
        </w:rPr>
        <w:t xml:space="preserve">Implication for Klimr. </w:t>
      </w:r>
      <w:r>
        <w:rPr>
          <w:rFonts w:ascii="Georgia" w:cs="Georgia" w:eastAsia="Georgia" w:hAnsi="Georgia"/>
          <w:color w:val="201B12"/>
          <w:sz w:val="22"/>
          <w:szCs w:val="22"/>
        </w:rPr>
        <w:t xml:space="preserve">This is where Klimr's invite-only, city-by-city density model becomes an asset instead of a constraint: a Waze-for-courts layer is only credible where player density exists, and Los Angeles court-level density is precisely what a controlled launch builds. Court check-ins also feed Gap 1's attendance data — the two gaps share an instrumentation layer.</w:t>
      </w:r>
    </w:p>
    <w:p>
      <w:pPr>
        <w:pStyle w:val="Heading2"/>
        <w:spacing w:after="160" w:before="280"/>
      </w:pPr>
      <w:r>
        <w:rPr>
          <w:rFonts w:ascii="Arial" w:cs="Arial" w:eastAsia="Arial" w:hAnsi="Arial"/>
          <w:b/>
          <w:bCs/>
          <w:color w:val="201B12"/>
          <w:sz w:val="26"/>
          <w:szCs w:val="26"/>
        </w:rPr>
        <w:t xml:space="preserve">Gap 4 — Own the organizer</w:t>
      </w:r>
    </w:p>
    <w:p>
      <w:pPr>
        <w:spacing w:after="160" w:line="276"/>
        <w:jc w:val="both"/>
      </w:pPr>
      <w:r>
        <w:rPr>
          <w:rFonts w:ascii="Georgia" w:cs="Georgia" w:eastAsia="Georgia" w:hAnsi="Georgia"/>
          <w:b/>
          <w:bCs/>
          <w:color w:val="201B12"/>
          <w:sz w:val="22"/>
          <w:szCs w:val="22"/>
        </w:rPr>
        <w:t xml:space="preserve">The need. </w:t>
      </w:r>
      <w:r>
        <w:rPr>
          <w:rFonts w:ascii="Georgia" w:cs="Georgia" w:eastAsia="Georgia" w:hAnsi="Georgia"/>
          <w:color w:val="201B12"/>
          <w:sz w:val="22"/>
          <w:szCs w:val="22"/>
        </w:rPr>
        <w:t xml:space="preserve">Every recurring game has one exhausted person running it: RSVPs in WhatsApp, availability in a spreadsheet, subs by mass text, money by app-of-the-week. Capture that person's workflow and their entire group follows.</w:t>
      </w:r>
    </w:p>
    <w:p>
      <w:pPr>
        <w:spacing w:after="160" w:line="276"/>
        <w:jc w:val="both"/>
      </w:pPr>
      <w:r>
        <w:rPr>
          <w:rFonts w:ascii="Georgia" w:cs="Georgia" w:eastAsia="Georgia" w:hAnsi="Georgia"/>
          <w:b/>
          <w:bCs/>
          <w:color w:val="201B12"/>
          <w:sz w:val="22"/>
          <w:szCs w:val="22"/>
        </w:rPr>
        <w:t xml:space="preserve">The evidence. </w:t>
      </w:r>
      <w:r>
        <w:rPr>
          <w:rFonts w:ascii="Georgia" w:cs="Georgia" w:eastAsia="Georgia" w:hAnsi="Georgia"/>
          <w:color w:val="201B12"/>
          <w:sz w:val="22"/>
          <w:szCs w:val="22"/>
        </w:rPr>
        <w:t xml:space="preserve">Organizer guides read like triage manuals — pre-game anxiety two hours out, personalized chase messages, cancellation etiquette when the count comes up short [16][17]. The one platform class that truly owned an organizer persona — youth-team roster software owning the sports parent — became a category standard by doing so; no equivalent exists for the adult pickup organizer, whose needs (fluid rosters, per-session commitment, sub-finding) the season-and-roster model does not fit [18][19].</w:t>
      </w:r>
    </w:p>
    <w:p>
      <w:pPr>
        <w:spacing w:after="160" w:line="276"/>
        <w:jc w:val="both"/>
      </w:pPr>
      <w:r>
        <w:rPr>
          <w:rFonts w:ascii="Georgia" w:cs="Georgia" w:eastAsia="Georgia" w:hAnsi="Georgia"/>
          <w:b/>
          <w:bCs/>
          <w:color w:val="201B12"/>
          <w:sz w:val="22"/>
          <w:szCs w:val="22"/>
        </w:rPr>
        <w:t xml:space="preserve">Why incumbents miss it. </w:t>
      </w:r>
      <w:r>
        <w:rPr>
          <w:rFonts w:ascii="Georgia" w:cs="Georgia" w:eastAsia="Georgia" w:hAnsi="Georgia"/>
          <w:color w:val="201B12"/>
          <w:sz w:val="22"/>
          <w:szCs w:val="22"/>
        </w:rPr>
        <w:t xml:space="preserve">The organizer is a B2B2C acquisition channel disguised as a user, and platforms optimizing consumer sign-up funnels systematically under-invest in the unglamorous admin tooling — recurring sessions, waitlists, fair-rotation memory, split payments — that this persona actually adopts software for.</w:t>
      </w:r>
    </w:p>
    <w:p>
      <w:pPr>
        <w:spacing w:after="160" w:line="276"/>
        <w:jc w:val="both"/>
      </w:pPr>
      <w:r>
        <w:rPr>
          <w:rFonts w:ascii="Georgia" w:cs="Georgia" w:eastAsia="Georgia" w:hAnsi="Georgia"/>
          <w:b/>
          <w:bCs/>
          <w:color w:val="201B12"/>
          <w:sz w:val="22"/>
          <w:szCs w:val="22"/>
        </w:rPr>
        <w:t xml:space="preserve">Demand signal. </w:t>
      </w:r>
      <w:r>
        <w:rPr>
          <w:rFonts w:ascii="Georgia" w:cs="Georgia" w:eastAsia="Georgia" w:hAnsi="Georgia"/>
          <w:color w:val="201B12"/>
          <w:sz w:val="22"/>
          <w:szCs w:val="22"/>
        </w:rPr>
        <w:t xml:space="preserve">High and chronic; every group has exactly one of these people, and they are the highest-leverage adopters in the category (one convert imports twenty players).</w:t>
      </w:r>
    </w:p>
    <w:p>
      <w:pPr>
        <w:spacing w:after="160" w:line="276"/>
        <w:jc w:val="both"/>
      </w:pPr>
      <w:r>
        <w:rPr>
          <w:rFonts w:ascii="Georgia" w:cs="Georgia" w:eastAsia="Georgia" w:hAnsi="Georgia"/>
          <w:b/>
          <w:bCs/>
          <w:color w:val="201B12"/>
          <w:sz w:val="22"/>
          <w:szCs w:val="22"/>
        </w:rPr>
        <w:t xml:space="preserve">Implication for Klimr. </w:t>
      </w:r>
      <w:r>
        <w:rPr>
          <w:rFonts w:ascii="Georgia" w:cs="Georgia" w:eastAsia="Georgia" w:hAnsi="Georgia"/>
          <w:color w:val="201B12"/>
          <w:sz w:val="22"/>
          <w:szCs w:val="22"/>
        </w:rPr>
        <w:t xml:space="preserve">Klimr's teams, per-team join policies, request approval, and event primitives are organizer tooling in embryo. The fast-follow set — recurring sessions, sub-call broadcasts to skill-matched nearby players, attendance memory — converts Klimr from an app players check into the system a group runs on.</w:t>
      </w:r>
    </w:p>
    <w:p>
      <w:pPr>
        <w:pStyle w:val="Heading2"/>
        <w:spacing w:after="160" w:before="280"/>
      </w:pPr>
      <w:r>
        <w:rPr>
          <w:rFonts w:ascii="Arial" w:cs="Arial" w:eastAsia="Arial" w:hAnsi="Arial"/>
          <w:b/>
          <w:bCs/>
          <w:color w:val="201B12"/>
          <w:sz w:val="26"/>
          <w:szCs w:val="26"/>
        </w:rPr>
        <w:t xml:space="preserve">Gap 5 — The last-minute fill</w:t>
      </w:r>
    </w:p>
    <w:p>
      <w:pPr>
        <w:spacing w:after="160" w:line="276"/>
        <w:jc w:val="both"/>
      </w:pPr>
      <w:r>
        <w:rPr>
          <w:rFonts w:ascii="Georgia" w:cs="Georgia" w:eastAsia="Georgia" w:hAnsi="Georgia"/>
          <w:b/>
          <w:bCs/>
          <w:color w:val="201B12"/>
          <w:sz w:val="22"/>
          <w:szCs w:val="22"/>
        </w:rPr>
        <w:t xml:space="preserve">The need. </w:t>
      </w:r>
      <w:r>
        <w:rPr>
          <w:rFonts w:ascii="Georgia" w:cs="Georgia" w:eastAsia="Georgia" w:hAnsi="Georgia"/>
          <w:color w:val="201B12"/>
          <w:sz w:val="22"/>
          <w:szCs w:val="22"/>
        </w:rPr>
        <w:t xml:space="preserve">“We are one short for doubles in two hours” is the highest-intent moment in recreational sport, currently served by mass-texting and hope.</w:t>
      </w:r>
    </w:p>
    <w:p>
      <w:pPr>
        <w:spacing w:after="160" w:line="276"/>
        <w:jc w:val="both"/>
      </w:pPr>
      <w:r>
        <w:rPr>
          <w:rFonts w:ascii="Georgia" w:cs="Georgia" w:eastAsia="Georgia" w:hAnsi="Georgia"/>
          <w:b/>
          <w:bCs/>
          <w:color w:val="201B12"/>
          <w:sz w:val="22"/>
          <w:szCs w:val="22"/>
        </w:rPr>
        <w:t xml:space="preserve">The evidence. </w:t>
      </w:r>
      <w:r>
        <w:rPr>
          <w:rFonts w:ascii="Georgia" w:cs="Georgia" w:eastAsia="Georgia" w:hAnsi="Georgia"/>
          <w:color w:val="201B12"/>
          <w:sz w:val="22"/>
          <w:szCs w:val="22"/>
        </w:rPr>
        <w:t xml:space="preserve">The sub-finding scramble is a fixture of the organizer pain literature [16][17], and the structure of doubles-dominant sports makes it mathematically constant: a four-person format with a single dropout has a 100% session-failure mode that a basketball run absorbs invisibly — and beach volleyball’s four-to-six-player formats make the single-dropout failure mode harsher still. The demand is episodic but extreme when it fires — it is the moment a player would pay for.</w:t>
      </w:r>
    </w:p>
    <w:p>
      <w:pPr>
        <w:spacing w:after="160" w:line="276"/>
        <w:jc w:val="both"/>
      </w:pPr>
      <w:r>
        <w:rPr>
          <w:rFonts w:ascii="Georgia" w:cs="Georgia" w:eastAsia="Georgia" w:hAnsi="Georgia"/>
          <w:b/>
          <w:bCs/>
          <w:color w:val="201B12"/>
          <w:sz w:val="22"/>
          <w:szCs w:val="22"/>
        </w:rPr>
        <w:t xml:space="preserve">Why incumbents miss it. </w:t>
      </w:r>
      <w:r>
        <w:rPr>
          <w:rFonts w:ascii="Georgia" w:cs="Georgia" w:eastAsia="Georgia" w:hAnsi="Georgia"/>
          <w:color w:val="201B12"/>
          <w:sz w:val="22"/>
          <w:szCs w:val="22"/>
        </w:rPr>
        <w:t xml:space="preserve">A credible fill requires four filters at once — skill match, proximity, availability now, and reliability — and no incumbent holds more than two of those signals. This gap is therefore downstream of Gaps 1 and 2: it becomes buildable only for a platform that already owns trust data.</w:t>
      </w:r>
    </w:p>
    <w:p>
      <w:pPr>
        <w:spacing w:after="160" w:line="276"/>
        <w:jc w:val="both"/>
      </w:pPr>
      <w:r>
        <w:rPr>
          <w:rFonts w:ascii="Georgia" w:cs="Georgia" w:eastAsia="Georgia" w:hAnsi="Georgia"/>
          <w:b/>
          <w:bCs/>
          <w:color w:val="201B12"/>
          <w:sz w:val="22"/>
          <w:szCs w:val="22"/>
        </w:rPr>
        <w:t xml:space="preserve">Demand signal. </w:t>
      </w:r>
      <w:r>
        <w:rPr>
          <w:rFonts w:ascii="Georgia" w:cs="Georgia" w:eastAsia="Georgia" w:hAnsi="Georgia"/>
          <w:color w:val="201B12"/>
          <w:sz w:val="22"/>
          <w:szCs w:val="22"/>
        </w:rPr>
        <w:t xml:space="preserve">High intensity, episodic frequency; best understood as the killer application of the trust layer rather than a standalone feature.</w:t>
      </w:r>
    </w:p>
    <w:p>
      <w:pPr>
        <w:spacing w:after="160" w:line="276"/>
        <w:jc w:val="both"/>
      </w:pPr>
      <w:r>
        <w:rPr>
          <w:rFonts w:ascii="Georgia" w:cs="Georgia" w:eastAsia="Georgia" w:hAnsi="Georgia"/>
          <w:b/>
          <w:bCs/>
          <w:color w:val="201B12"/>
          <w:sz w:val="22"/>
          <w:szCs w:val="22"/>
        </w:rPr>
        <w:t xml:space="preserve">Implication for Klimr. </w:t>
      </w:r>
      <w:r>
        <w:rPr>
          <w:rFonts w:ascii="Georgia" w:cs="Georgia" w:eastAsia="Georgia" w:hAnsi="Georgia"/>
          <w:color w:val="201B12"/>
          <w:sz w:val="22"/>
          <w:szCs w:val="22"/>
        </w:rPr>
        <w:t xml:space="preserve">Klimr's match waitlist with timed offers is the mechanical core; pointing it at “open seat, starts in 2 hours, casual-to-competitive, within 5 miles, reliability &gt; 90%” is the demo-able magic moment for both users and investors.</w:t>
      </w:r>
    </w:p>
    <w:p>
      <w:pPr>
        <w:pStyle w:val="Heading2"/>
        <w:spacing w:after="160" w:before="280"/>
      </w:pPr>
      <w:r>
        <w:rPr>
          <w:rFonts w:ascii="Arial" w:cs="Arial" w:eastAsia="Arial" w:hAnsi="Arial"/>
          <w:b/>
          <w:bCs/>
          <w:color w:val="201B12"/>
          <w:sz w:val="26"/>
          <w:szCs w:val="26"/>
        </w:rPr>
        <w:t xml:space="preserve">Gap 6 — Relatedness mechanics — from one good match to a standing game</w:t>
      </w:r>
    </w:p>
    <w:p>
      <w:pPr>
        <w:spacing w:after="160" w:line="276"/>
        <w:jc w:val="both"/>
      </w:pPr>
      <w:r>
        <w:rPr>
          <w:rFonts w:ascii="Georgia" w:cs="Georgia" w:eastAsia="Georgia" w:hAnsi="Georgia"/>
          <w:b/>
          <w:bCs/>
          <w:color w:val="201B12"/>
          <w:sz w:val="22"/>
          <w:szCs w:val="22"/>
        </w:rPr>
        <w:t xml:space="preserve">The need. </w:t>
      </w:r>
      <w:r>
        <w:rPr>
          <w:rFonts w:ascii="Georgia" w:cs="Georgia" w:eastAsia="Georgia" w:hAnsi="Georgia"/>
          <w:color w:val="201B12"/>
          <w:sz w:val="22"/>
          <w:szCs w:val="22"/>
        </w:rPr>
        <w:t xml:space="preserve">Players routinely have a great session with strangers and never see them again. The pipeline from good-match to standing-game — the thing that actually retains people in a sport — is left entirely to chance.</w:t>
      </w:r>
    </w:p>
    <w:p>
      <w:pPr>
        <w:spacing w:after="160" w:line="276"/>
        <w:jc w:val="both"/>
      </w:pPr>
      <w:r>
        <w:rPr>
          <w:rFonts w:ascii="Georgia" w:cs="Georgia" w:eastAsia="Georgia" w:hAnsi="Georgia"/>
          <w:b/>
          <w:bCs/>
          <w:color w:val="201B12"/>
          <w:sz w:val="22"/>
          <w:szCs w:val="22"/>
        </w:rPr>
        <w:t xml:space="preserve">The evidence. </w:t>
      </w:r>
      <w:r>
        <w:rPr>
          <w:rFonts w:ascii="Georgia" w:cs="Georgia" w:eastAsia="Georgia" w:hAnsi="Georgia"/>
          <w:color w:val="201B12"/>
          <w:sz w:val="22"/>
          <w:szCs w:val="22"/>
        </w:rPr>
        <w:t xml:space="preserve">The behavioral literature is unambiguous about why this matters. Self-determination theory identifies relatedness — feeling meaningfully connected to others — as one of three basic psychological needs whose satisfaction drives sustained, autonomous participation [25][26]; a systematic review of the exercise-adherence literature places the social environment at the center of need satisfaction and persistence [24]. Sport is one of adulthood's few remaining friendship engines: friendship research finds that recurring shared activity creates the repeated-exposure conditions under which adult friendship forms, with connection quality among the strongest known predictors of health — a meta-analytic survival advantage on the order of 50%, the figure the U.S. Surgeon General's loneliness advisory made famous [29][30]. Notably, the friendship literature also finds that side-by-side, activity-based connection is the pathway many men in particular rely on — and that public-health prescriptions have under-served it [31].</w:t>
      </w:r>
    </w:p>
    <w:p>
      <w:pPr>
        <w:spacing w:after="160" w:line="276"/>
        <w:jc w:val="both"/>
      </w:pPr>
      <w:r>
        <w:rPr>
          <w:rFonts w:ascii="Georgia" w:cs="Georgia" w:eastAsia="Georgia" w:hAnsi="Georgia"/>
          <w:b/>
          <w:bCs/>
          <w:color w:val="201B12"/>
          <w:sz w:val="22"/>
          <w:szCs w:val="22"/>
        </w:rPr>
        <w:t xml:space="preserve">Why incumbents miss it. </w:t>
      </w:r>
      <w:r>
        <w:rPr>
          <w:rFonts w:ascii="Georgia" w:cs="Georgia" w:eastAsia="Georgia" w:hAnsi="Georgia"/>
          <w:color w:val="201B12"/>
          <w:sz w:val="22"/>
          <w:szCs w:val="22"/>
        </w:rPr>
        <w:t xml:space="preserve">Product incentives run the other way: rankings, streaks, and leaderboards gamify competence because competence metrics are easy to compute, while relatedness requires modeling pairs and groups over time. The result across the category is a competence monoculture sitting on top of a relatedness famine.</w:t>
      </w:r>
    </w:p>
    <w:p>
      <w:pPr>
        <w:spacing w:after="160" w:line="276"/>
        <w:jc w:val="both"/>
      </w:pPr>
      <w:r>
        <w:rPr>
          <w:rFonts w:ascii="Georgia" w:cs="Georgia" w:eastAsia="Georgia" w:hAnsi="Georgia"/>
          <w:b/>
          <w:bCs/>
          <w:color w:val="201B12"/>
          <w:sz w:val="22"/>
          <w:szCs w:val="22"/>
        </w:rPr>
        <w:t xml:space="preserve">Demand signal. </w:t>
      </w:r>
      <w:r>
        <w:rPr>
          <w:rFonts w:ascii="Georgia" w:cs="Georgia" w:eastAsia="Georgia" w:hAnsi="Georgia"/>
          <w:color w:val="201B12"/>
          <w:sz w:val="22"/>
          <w:szCs w:val="22"/>
        </w:rPr>
        <w:t xml:space="preserve">Latent rather than shouted — users do not file tickets asking for friendship — but load-bearing: it is the mechanism behind retention, and the academic case for it is the strongest in this report.</w:t>
      </w:r>
    </w:p>
    <w:p>
      <w:pPr>
        <w:spacing w:after="160" w:line="276"/>
        <w:jc w:val="both"/>
      </w:pPr>
      <w:r>
        <w:rPr>
          <w:rFonts w:ascii="Georgia" w:cs="Georgia" w:eastAsia="Georgia" w:hAnsi="Georgia"/>
          <w:b/>
          <w:bCs/>
          <w:color w:val="201B12"/>
          <w:sz w:val="22"/>
          <w:szCs w:val="22"/>
        </w:rPr>
        <w:t xml:space="preserve">Implication for Klimr. </w:t>
      </w:r>
      <w:r>
        <w:rPr>
          <w:rFonts w:ascii="Georgia" w:cs="Georgia" w:eastAsia="Georgia" w:hAnsi="Georgia"/>
          <w:color w:val="201B12"/>
          <w:sz w:val="22"/>
          <w:szCs w:val="22"/>
        </w:rPr>
        <w:t xml:space="preserve">Klimr already records who played with whom and how it went. Lightweight mechanics — a post-match “good game, play again?” handshake, rematch nudges at both players' free times, chemistry-aware suggestions, standing-game formation from repeated pairs — convert match history into the standing games that make churn structurally unlikely. This is also the honest answer to “why is this a network and not a tool”: the network is the retention mechanism, entered through the tool.</w:t>
      </w:r>
    </w:p>
    <w:p>
      <w:pPr>
        <w:pStyle w:val="Heading2"/>
        <w:spacing w:after="160" w:before="280"/>
      </w:pPr>
      <w:r>
        <w:rPr>
          <w:rFonts w:ascii="Arial" w:cs="Arial" w:eastAsia="Arial" w:hAnsi="Arial"/>
          <w:b/>
          <w:bCs/>
          <w:color w:val="201B12"/>
          <w:sz w:val="26"/>
          <w:szCs w:val="26"/>
        </w:rPr>
        <w:t xml:space="preserve">Gap 7 — A women's trust layer</w:t>
      </w:r>
    </w:p>
    <w:p>
      <w:pPr>
        <w:spacing w:after="160" w:line="276"/>
        <w:jc w:val="both"/>
      </w:pPr>
      <w:r>
        <w:rPr>
          <w:rFonts w:ascii="Georgia" w:cs="Georgia" w:eastAsia="Georgia" w:hAnsi="Georgia"/>
          <w:b/>
          <w:bCs/>
          <w:color w:val="201B12"/>
          <w:sz w:val="22"/>
          <w:szCs w:val="22"/>
        </w:rPr>
        <w:t xml:space="preserve">The need. </w:t>
      </w:r>
      <w:r>
        <w:rPr>
          <w:rFonts w:ascii="Georgia" w:cs="Georgia" w:eastAsia="Georgia" w:hAnsi="Georgia"/>
          <w:color w:val="201B12"/>
          <w:sz w:val="22"/>
          <w:szCs w:val="22"/>
        </w:rPr>
        <w:t xml:space="preserve">Meeting strangers for sport carries a gendered safety asymmetry that mainstream sports platforms largely ignore: 42.9% of pickleball players are women [1], organizing play with unknown partners on products designed as if trust were symmetric.</w:t>
      </w:r>
    </w:p>
    <w:p>
      <w:pPr>
        <w:spacing w:after="160" w:line="276"/>
        <w:jc w:val="both"/>
      </w:pPr>
      <w:r>
        <w:rPr>
          <w:rFonts w:ascii="Georgia" w:cs="Georgia" w:eastAsia="Georgia" w:hAnsi="Georgia"/>
          <w:b/>
          <w:bCs/>
          <w:color w:val="201B12"/>
          <w:sz w:val="22"/>
          <w:szCs w:val="22"/>
        </w:rPr>
        <w:t xml:space="preserve">The evidence. </w:t>
      </w:r>
      <w:r>
        <w:rPr>
          <w:rFonts w:ascii="Georgia" w:cs="Georgia" w:eastAsia="Georgia" w:hAnsi="Georgia"/>
          <w:color w:val="201B12"/>
          <w:sz w:val="22"/>
          <w:szCs w:val="22"/>
        </w:rPr>
        <w:t xml:space="preserve">Direct sports-specific research here is thin — this section transfers evidence from adjacent stranger-meeting domains and says so. The dating-safety literature and practitioner guidance converge on verification as the trust primitive: photo and identity verification, verified-only contact norms, and staged information disclosure [32-class guidance]. Purpose-built women's-safety products demonstrate the demand shape: a women's walking-partner app built on driver's-license verification reported from its user research that women trust women above any other option [32]. The broader climate evidence — systematic online abuse disproportionately targeting women in sport [33] — supports treating this as a structural design requirement rather than an edge case.</w:t>
      </w:r>
    </w:p>
    <w:p>
      <w:pPr>
        <w:spacing w:after="160" w:line="276"/>
        <w:jc w:val="both"/>
      </w:pPr>
      <w:r>
        <w:rPr>
          <w:rFonts w:ascii="Georgia" w:cs="Georgia" w:eastAsia="Georgia" w:hAnsi="Georgia"/>
          <w:b/>
          <w:bCs/>
          <w:color w:val="201B12"/>
          <w:sz w:val="22"/>
          <w:szCs w:val="22"/>
        </w:rPr>
        <w:t xml:space="preserve">Why incumbents miss it. </w:t>
      </w:r>
      <w:r>
        <w:rPr>
          <w:rFonts w:ascii="Georgia" w:cs="Georgia" w:eastAsia="Georgia" w:hAnsi="Georgia"/>
          <w:color w:val="201B12"/>
          <w:sz w:val="22"/>
          <w:szCs w:val="22"/>
        </w:rPr>
        <w:t xml:space="preserve">Incumbents treat safety as moderation (reactive) rather than architecture (proactive), and single-sided marketplaces have weak incentives to add verification friction that slows top-line growth.</w:t>
      </w:r>
    </w:p>
    <w:p>
      <w:pPr>
        <w:spacing w:after="160" w:line="276"/>
        <w:jc w:val="both"/>
      </w:pPr>
      <w:r>
        <w:rPr>
          <w:rFonts w:ascii="Georgia" w:cs="Georgia" w:eastAsia="Georgia" w:hAnsi="Georgia"/>
          <w:b/>
          <w:bCs/>
          <w:color w:val="201B12"/>
          <w:sz w:val="22"/>
          <w:szCs w:val="22"/>
        </w:rPr>
        <w:t xml:space="preserve">Demand signal. </w:t>
      </w:r>
      <w:r>
        <w:rPr>
          <w:rFonts w:ascii="Georgia" w:cs="Georgia" w:eastAsia="Georgia" w:hAnsi="Georgia"/>
          <w:color w:val="201B12"/>
          <w:sz w:val="22"/>
          <w:szCs w:val="22"/>
        </w:rPr>
        <w:t xml:space="preserve">Meaningful and underserved; adjacent-domain evidence is strong, and the demographic math (a 42.9%-and-rising female player base [1]) makes it commercially material, not merely ethical.</w:t>
      </w:r>
    </w:p>
    <w:p>
      <w:pPr>
        <w:spacing w:after="160" w:line="276"/>
        <w:jc w:val="both"/>
      </w:pPr>
      <w:r>
        <w:rPr>
          <w:rFonts w:ascii="Georgia" w:cs="Georgia" w:eastAsia="Georgia" w:hAnsi="Georgia"/>
          <w:b/>
          <w:bCs/>
          <w:color w:val="201B12"/>
          <w:sz w:val="22"/>
          <w:szCs w:val="22"/>
        </w:rPr>
        <w:t xml:space="preserve">Implication for Klimr. </w:t>
      </w:r>
      <w:r>
        <w:rPr>
          <w:rFonts w:ascii="Georgia" w:cs="Georgia" w:eastAsia="Georgia" w:hAnsi="Georgia"/>
          <w:color w:val="201B12"/>
          <w:sz w:val="22"/>
          <w:szCs w:val="22"/>
        </w:rPr>
        <w:t xml:space="preserve">Klimr's gender-aware discovery filters, adults-only gate, verification-status field, and planned IDV roadmap assemble into a coherent trust story: women-preferred discovery modes, verified-profile gating for open matches, and visible reliability history. Shipped primitives put Klimr ahead of every incumbent on this axis already; the roadmap makes it a stated differentiator.</w:t>
      </w:r>
    </w:p>
    <w:p>
      <w:pPr>
        <w:pStyle w:val="Heading2"/>
        <w:spacing w:after="160" w:before="280"/>
      </w:pPr>
      <w:r>
        <w:rPr>
          <w:rFonts w:ascii="Arial" w:cs="Arial" w:eastAsia="Arial" w:hAnsi="Arial"/>
          <w:b/>
          <w:bCs/>
          <w:color w:val="201B12"/>
          <w:sz w:val="26"/>
          <w:szCs w:val="26"/>
        </w:rPr>
        <w:t xml:space="preserve">Gap 8 — The multi-sport athlete identity</w:t>
      </w:r>
    </w:p>
    <w:p>
      <w:pPr>
        <w:spacing w:after="160" w:line="276"/>
        <w:jc w:val="both"/>
      </w:pPr>
      <w:r>
        <w:rPr>
          <w:rFonts w:ascii="Georgia" w:cs="Georgia" w:eastAsia="Georgia" w:hAnsi="Georgia"/>
          <w:b/>
          <w:bCs/>
          <w:color w:val="201B12"/>
          <w:sz w:val="22"/>
          <w:szCs w:val="22"/>
        </w:rPr>
        <w:t xml:space="preserve">The need. </w:t>
      </w:r>
      <w:r>
        <w:rPr>
          <w:rFonts w:ascii="Georgia" w:cs="Georgia" w:eastAsia="Georgia" w:hAnsi="Georgia"/>
          <w:color w:val="201B12"/>
          <w:sz w:val="22"/>
          <w:szCs w:val="22"/>
        </w:rPr>
        <w:t xml:space="preserve">Millions of players now carry two or three sports in one body — and three different apps, three ratings, three social graphs, none of which know the others exist.</w:t>
      </w:r>
    </w:p>
    <w:p>
      <w:pPr>
        <w:spacing w:after="160" w:line="276"/>
        <w:jc w:val="both"/>
      </w:pPr>
      <w:r>
        <w:rPr>
          <w:rFonts w:ascii="Georgia" w:cs="Georgia" w:eastAsia="Georgia" w:hAnsi="Georgia"/>
          <w:b/>
          <w:bCs/>
          <w:color w:val="201B12"/>
          <w:sz w:val="22"/>
          <w:szCs w:val="22"/>
        </w:rPr>
        <w:t xml:space="preserve">The evidence. </w:t>
      </w:r>
      <w:r>
        <w:rPr>
          <w:rFonts w:ascii="Georgia" w:cs="Georgia" w:eastAsia="Georgia" w:hAnsi="Georgia"/>
          <w:color w:val="201B12"/>
          <w:sz w:val="22"/>
          <w:szCs w:val="22"/>
        </w:rPr>
        <w:t xml:space="preserve">The participation data in Section 3 is the evidence: category-wide racquet growth from 13% to 20.6% of Americans in six years [5], pickleball's fivefold expansion [1][2], padel's arrival as the premium next wave [7][8], and industry framing that the story is now diversification of the base rather than single-sport growth [2]. The migration is the market; the single-sport software map is the gap — and it is wider than the racquet category alone, because the volleyball side of the court [35][38] has no identity layer at all: its incumbents are league operators, not player platforms.</w:t>
      </w:r>
    </w:p>
    <w:p>
      <w:pPr>
        <w:spacing w:after="160" w:line="276"/>
        <w:jc w:val="both"/>
      </w:pPr>
      <w:r>
        <w:rPr>
          <w:rFonts w:ascii="Georgia" w:cs="Georgia" w:eastAsia="Georgia" w:hAnsi="Georgia"/>
          <w:b/>
          <w:bCs/>
          <w:color w:val="201B12"/>
          <w:sz w:val="22"/>
          <w:szCs w:val="22"/>
        </w:rPr>
        <w:t xml:space="preserve">Why incumbents miss it. </w:t>
      </w:r>
      <w:r>
        <w:rPr>
          <w:rFonts w:ascii="Georgia" w:cs="Georgia" w:eastAsia="Georgia" w:hAnsi="Georgia"/>
          <w:color w:val="201B12"/>
          <w:sz w:val="22"/>
          <w:szCs w:val="22"/>
        </w:rPr>
        <w:t xml:space="preserve">Every incumbent's data model, brand, and governance is welded to one sport. A rating company cannot casually become cross-sport without diluting the sanctioned-data credibility it sells; a padel booking network cannot become the identity layer for public-court pickleball.</w:t>
      </w:r>
    </w:p>
    <w:p>
      <w:pPr>
        <w:spacing w:after="160" w:line="276"/>
        <w:jc w:val="both"/>
      </w:pPr>
      <w:r>
        <w:rPr>
          <w:rFonts w:ascii="Georgia" w:cs="Georgia" w:eastAsia="Georgia" w:hAnsi="Georgia"/>
          <w:b/>
          <w:bCs/>
          <w:color w:val="201B12"/>
          <w:sz w:val="22"/>
          <w:szCs w:val="22"/>
        </w:rPr>
        <w:t xml:space="preserve">Demand signal. </w:t>
      </w:r>
      <w:r>
        <w:rPr>
          <w:rFonts w:ascii="Georgia" w:cs="Georgia" w:eastAsia="Georgia" w:hAnsi="Georgia"/>
          <w:color w:val="201B12"/>
          <w:sz w:val="22"/>
          <w:szCs w:val="22"/>
        </w:rPr>
        <w:t xml:space="preserve">Structural and decade-defining rather than a feature request; this is the gap that makes the other seven compound, because trust data earned in one sport transfers to the player's next sport on day one.</w:t>
      </w:r>
    </w:p>
    <w:p>
      <w:pPr>
        <w:spacing w:after="160" w:line="276"/>
        <w:jc w:val="both"/>
      </w:pPr>
      <w:r>
        <w:rPr>
          <w:rFonts w:ascii="Georgia" w:cs="Georgia" w:eastAsia="Georgia" w:hAnsi="Georgia"/>
          <w:b/>
          <w:bCs/>
          <w:color w:val="201B12"/>
          <w:sz w:val="22"/>
          <w:szCs w:val="22"/>
        </w:rPr>
        <w:t xml:space="preserve">Implication for Klimr. </w:t>
      </w:r>
      <w:r>
        <w:rPr>
          <w:rFonts w:ascii="Georgia" w:cs="Georgia" w:eastAsia="Georgia" w:hAnsi="Georgia"/>
          <w:color w:val="201B12"/>
          <w:sz w:val="22"/>
          <w:szCs w:val="22"/>
        </w:rPr>
        <w:t xml:space="preserve">This is Klimr's founding thesis, already live across five sports — including beach volleyball, which no racquet-bound incumbent can absorb — on a sport-agnostic architecture where the next sport, court or field, is a seed row rather than a rebuild. The research validates it — and sharpens it: multi-sport identity is the moat, but it is not the wedge. It is the reason the wedge compounds. The pitch order matters: lead with the trust wedge (Gaps 1+2), let multi-sport identity be why it cannot be copied.</w:t>
      </w:r>
    </w:p>
    <w:p>
      <w:r>
        <w:br w:type="page"/>
      </w:r>
    </w:p>
    <w:p>
      <w:pPr>
        <w:pStyle w:val="Heading1"/>
        <w:spacing w:after="200" w:before="360"/>
      </w:pPr>
      <w:r>
        <w:rPr>
          <w:rFonts w:ascii="Arial" w:cs="Arial" w:eastAsia="Arial" w:hAnsi="Arial"/>
          <w:b/>
          <w:bCs/>
          <w:color w:val="D63A0F"/>
          <w:sz w:val="32"/>
          <w:szCs w:val="32"/>
        </w:rPr>
        <w:t xml:space="preserve">6. Academic Foundations: Why These Gaps Are Load-Bearing</w:t>
      </w:r>
    </w:p>
    <w:p>
      <w:pPr>
        <w:spacing w:after="160" w:line="276"/>
        <w:jc w:val="both"/>
      </w:pPr>
      <w:r>
        <w:rPr>
          <w:rFonts w:ascii="Georgia" w:cs="Georgia" w:eastAsia="Georgia" w:hAnsi="Georgia"/>
          <w:color w:val="201B12"/>
          <w:sz w:val="22"/>
          <w:szCs w:val="22"/>
        </w:rPr>
        <w:t xml:space="preserve">Three bodies of literature explain why the gaps above are not a feature wishlist but the actual machinery of participation, and they give Klimr's story an evidentiary floor that competitors' pitches lack.</w:t>
      </w:r>
    </w:p>
    <w:p>
      <w:pPr>
        <w:pStyle w:val="Heading2"/>
        <w:spacing w:after="160" w:before="280"/>
      </w:pPr>
      <w:r>
        <w:rPr>
          <w:rFonts w:ascii="Arial" w:cs="Arial" w:eastAsia="Arial" w:hAnsi="Arial"/>
          <w:b/>
          <w:bCs/>
          <w:color w:val="201B12"/>
          <w:sz w:val="26"/>
          <w:szCs w:val="26"/>
        </w:rPr>
        <w:t xml:space="preserve">6.1 Self-determination theory: the relatedness deficit</w:t>
      </w:r>
    </w:p>
    <w:p>
      <w:pPr>
        <w:spacing w:after="160" w:line="276"/>
        <w:jc w:val="both"/>
      </w:pPr>
      <w:r>
        <w:rPr>
          <w:rFonts w:ascii="Georgia" w:cs="Georgia" w:eastAsia="Georgia" w:hAnsi="Georgia"/>
          <w:color w:val="201B12"/>
          <w:sz w:val="22"/>
          <w:szCs w:val="22"/>
        </w:rPr>
        <w:t xml:space="preserve">SDT — the dominant motivational framework in physical-activity research — holds that sustained, self-driven participation depends on satisfying three basic psychological needs: autonomy, competence, and relatedness [25]. The applied evidence base runs deep: systematic reviews across the exercise literature tie need-supportive social environments to persistence and adherence [24], and comparative work finds team-sport athletes report higher relatedness satisfaction than individual-sport athletes — connection is something the format itself delivers [26]. The product-design translation is direct: the category's incumbents have built elaborate machinery for competence (ratings, rankings, streaks) and almost none for relatedness, even though relatedness is the need that flexible, social, low-commitment formats like pickleball most visibly satisfy. One caution for intellectual honesty: individual mediation studies vary — one recent behavioral-pathway study found the relatedness path non-significant in its sample [27] — so the defensible claim is not “relatedness is everything” but “relatedness is a first-class need the software systematically ignores.”</w:t>
      </w:r>
    </w:p>
    <w:p>
      <w:pPr>
        <w:pStyle w:val="Heading2"/>
        <w:spacing w:after="160" w:before="280"/>
      </w:pPr>
      <w:r>
        <w:rPr>
          <w:rFonts w:ascii="Arial" w:cs="Arial" w:eastAsia="Arial" w:hAnsi="Arial"/>
          <w:b/>
          <w:bCs/>
          <w:color w:val="201B12"/>
          <w:sz w:val="26"/>
          <w:szCs w:val="26"/>
        </w:rPr>
        <w:t xml:space="preserve">6.2 Connection, health, and the friendship engine</w:t>
      </w:r>
    </w:p>
    <w:p>
      <w:pPr>
        <w:spacing w:after="160" w:line="276"/>
        <w:jc w:val="both"/>
      </w:pPr>
      <w:r>
        <w:rPr>
          <w:rFonts w:ascii="Georgia" w:cs="Georgia" w:eastAsia="Georgia" w:hAnsi="Georgia"/>
          <w:color w:val="201B12"/>
          <w:sz w:val="22"/>
          <w:szCs w:val="22"/>
        </w:rPr>
        <w:t xml:space="preserve">The social-connection literature supplies the stakes. The landmark meta-analysis of 148 studies found adequate social relationships associated with roughly a 50% greater likelihood of survival — an effect in the territory of quitting smoking — and it anchors the U.S. Surgeon General's 2023 loneliness advisory [29][30]. The structural drivers of the so-called friendship recession are equally well documented: the decline of third places (Oldenburg's term for the social spaces between home and work) and of civic participation generally, chronicled from Putnam onward [30]. Friendship research adds the mechanism a product can act on: adult friendship forms under conditions of repeated, low-stakes proximity — recurring shared activity — with the specific activity almost secondary to the recurrence [29]. A platform that manufactures recurrence (standing games, rematch mechanics, organizer tooling) is, in this literature's terms, manufacturing the conditions of adult friendship. Notably, even the padel industry's own flagship report now markets clubs as emerging third spaces [7] — the commercial world converging on the sociology.</w:t>
      </w:r>
    </w:p>
    <w:p>
      <w:pPr>
        <w:pStyle w:val="Heading2"/>
        <w:spacing w:after="160" w:before="280"/>
      </w:pPr>
      <w:r>
        <w:rPr>
          <w:rFonts w:ascii="Arial" w:cs="Arial" w:eastAsia="Arial" w:hAnsi="Arial"/>
          <w:b/>
          <w:bCs/>
          <w:color w:val="201B12"/>
          <w:sz w:val="26"/>
          <w:szCs w:val="26"/>
        </w:rPr>
        <w:t xml:space="preserve">6.3 Loneliness in sport, and the gendered pathways caveat</w:t>
      </w:r>
    </w:p>
    <w:p>
      <w:pPr>
        <w:spacing w:after="160" w:line="276"/>
        <w:jc w:val="both"/>
      </w:pPr>
      <w:r>
        <w:rPr>
          <w:rFonts w:ascii="Georgia" w:cs="Georgia" w:eastAsia="Georgia" w:hAnsi="Georgia"/>
          <w:color w:val="201B12"/>
          <w:sz w:val="22"/>
          <w:szCs w:val="22"/>
        </w:rPr>
        <w:t xml:space="preserve">Sport is not automatically protective: a 194-study systematic review (N ≈ 88,500) documents how sporting environments themselves can generate loneliness through hierarchy, exclusion, and fractured relationships [28] — a reminder that inclusion mechanics (skill-banded matching, approachable open matches, welcome flows) are safety equipment, not garnish. And the friendship literature's gendered-pathways finding — that side-by-side, task-oriented connection is a primary route to friendship for many men, under-served by conversation-centric public-health prescriptions [31] — positions racquet-sports software, somewhat unexpectedly, as public-health infrastructure for a population the loneliness discourse struggles to reach. That is a line worth using with investors.</w:t>
      </w:r>
    </w:p>
    <w:p>
      <w:pPr>
        <w:pStyle w:val="Heading1"/>
        <w:spacing w:after="200" w:before="360"/>
      </w:pPr>
      <w:r>
        <w:rPr>
          <w:rFonts w:ascii="Arial" w:cs="Arial" w:eastAsia="Arial" w:hAnsi="Arial"/>
          <w:b/>
          <w:bCs/>
          <w:color w:val="D63A0F"/>
          <w:sz w:val="32"/>
          <w:szCs w:val="32"/>
        </w:rPr>
        <w:t xml:space="preserve">7. The Failure Pattern and the Positioning Reframe</w:t>
      </w:r>
    </w:p>
    <w:p>
      <w:pPr>
        <w:pStyle w:val="Heading2"/>
        <w:spacing w:after="160" w:before="280"/>
      </w:pPr>
      <w:r>
        <w:rPr>
          <w:rFonts w:ascii="Arial" w:cs="Arial" w:eastAsia="Arial" w:hAnsi="Arial"/>
          <w:b/>
          <w:bCs/>
          <w:color w:val="201B12"/>
          <w:sz w:val="26"/>
          <w:szCs w:val="26"/>
        </w:rPr>
        <w:t xml:space="preserve">7.1 What kills products in this category</w:t>
      </w:r>
    </w:p>
    <w:p>
      <w:pPr>
        <w:spacing w:after="160" w:line="276"/>
        <w:jc w:val="both"/>
      </w:pPr>
      <w:r>
        <w:rPr>
          <w:rFonts w:ascii="Georgia" w:cs="Georgia" w:eastAsia="Georgia" w:hAnsi="Georgia"/>
          <w:color w:val="201B12"/>
          <w:sz w:val="22"/>
          <w:szCs w:val="22"/>
        </w:rPr>
        <w:t xml:space="preserve">The social-startup post-mortem literature converges on familiar killers — cold-start network effects, undifferentiated breadth, and habit loops that never form [34-class analyses] — and the surviving playbook it prescribes is verticality and depth: the oft-cited formulation is that the winners were built “not for people, but for athletes” [34]. Analyst synthesis, stated as such: applying that lens to sports-social specifically, the graveyard is full of social-first products that asked users to build a network before the product did anything for Tuesday night, while every survivor in Section 4's map owns a utility — booking, ratings, roster ops — and grew its graph as exhaust. Playtomic's own data is the cleanest natural experiment: the social feature (Open Matches) scaled fastest precisely where the booking utility was already dense [9].</w:t>
      </w:r>
    </w:p>
    <w:p>
      <w:pPr>
        <w:pStyle w:val="Heading2"/>
        <w:spacing w:after="160" w:before="280"/>
      </w:pPr>
      <w:r>
        <w:rPr>
          <w:rFonts w:ascii="Arial" w:cs="Arial" w:eastAsia="Arial" w:hAnsi="Arial"/>
          <w:b/>
          <w:bCs/>
          <w:color w:val="201B12"/>
          <w:sz w:val="26"/>
          <w:szCs w:val="26"/>
        </w:rPr>
        <w:t xml:space="preserve">7.2 The reframe</w:t>
      </w:r>
    </w:p>
    <w:p>
      <w:pPr>
        <w:spacing w:after="160" w:line="276"/>
        <w:jc w:val="both"/>
      </w:pPr>
      <w:r>
        <w:rPr>
          <w:rFonts w:ascii="Georgia" w:cs="Georgia" w:eastAsia="Georgia" w:hAnsi="Georgia"/>
          <w:color w:val="201B12"/>
          <w:sz w:val="22"/>
          <w:szCs w:val="22"/>
        </w:rPr>
        <w:t xml:space="preserve">This yields the recommended repositioning — the direct answer to a skeptical first read of “another sports social network”:</w:t>
      </w:r>
    </w:p>
    <w:p>
      <w:pPr>
        <w:spacing w:after="160" w:line="276"/>
        <w:jc w:val="both"/>
      </w:pPr>
      <w:r>
        <w:rPr>
          <w:rFonts w:ascii="Georgia" w:cs="Georgia" w:eastAsia="Georgia" w:hAnsi="Georgia"/>
          <w:b/>
          <w:bCs/>
          <w:color w:val="201B12"/>
          <w:sz w:val="22"/>
          <w:szCs w:val="22"/>
        </w:rPr>
        <w:t xml:space="preserve">Klimr is a sports network, built as the trust and liquidity layer for recreational play. </w:t>
      </w:r>
      <w:r>
        <w:rPr>
          <w:rFonts w:ascii="Georgia" w:cs="Georgia" w:eastAsia="Georgia" w:hAnsi="Georgia"/>
          <w:color w:val="201B12"/>
          <w:sz w:val="22"/>
          <w:szCs w:val="22"/>
        </w:rPr>
        <w:t xml:space="preserve">It makes recreational matches actually happen — at the right level, with people who show up — across every sport a player carries. Believable cross-sport ratings, reliability with a memory, real-time court awareness, and the standing games that keep adults playing. The social network is not the pitch; it is the exhaust.</w:t>
      </w:r>
    </w:p>
    <w:p>
      <w:pPr>
        <w:spacing w:after="160" w:line="276"/>
        <w:jc w:val="both"/>
      </w:pPr>
      <w:r>
        <w:rPr>
          <w:rFonts w:ascii="Georgia" w:cs="Georgia" w:eastAsia="Georgia" w:hAnsi="Georgia"/>
          <w:color w:val="201B12"/>
          <w:sz w:val="22"/>
          <w:szCs w:val="22"/>
        </w:rPr>
        <w:t xml:space="preserve">Three properties make this framing stronger than the social-network framing in front of investors. It is differentiated (no incumbent can claim it without breaking their model — Section 5's “why incumbents miss it” entries are the moat argument). It is evidenced (Sections 3 and 6 supply third-party numbers and peer-reviewed mechanisms rather than vision statements). And it is demo-able (the last-minute fill and the reliability score are thirty-second demos that land viscerally, where “feed and followers” demos do not).</w:t>
      </w:r>
    </w:p>
    <w:p>
      <w:pPr>
        <w:pStyle w:val="Heading2"/>
        <w:spacing w:after="160" w:before="280"/>
      </w:pPr>
      <w:r>
        <w:rPr>
          <w:rFonts w:ascii="Arial" w:cs="Arial" w:eastAsia="Arial" w:hAnsi="Arial"/>
          <w:b/>
          <w:bCs/>
          <w:color w:val="201B12"/>
          <w:sz w:val="26"/>
          <w:szCs w:val="26"/>
        </w:rPr>
        <w:t xml:space="preserve">7.3 Wedge discipline: the recommended sequence</w:t>
      </w:r>
    </w:p>
    <w:p>
      <w:pPr>
        <w:pStyle w:val="ListParagraph"/>
        <w:numPr>
          <w:ilvl w:val="0"/>
          <w:numId w:val="2"/>
        </w:numPr>
        <w:spacing w:after="100" w:line="264"/>
      </w:pPr>
      <w:r>
        <w:rPr>
          <w:rFonts w:ascii="Georgia" w:cs="Georgia" w:eastAsia="Georgia" w:hAnsi="Georgia"/>
          <w:b/>
          <w:bCs/>
          <w:color w:val="201B12"/>
          <w:sz w:val="22"/>
          <w:szCs w:val="22"/>
        </w:rPr>
        <w:t xml:space="preserve">Wedge (launch): Matches that happen — fuse reliability scoring with believable skill bands into one promise. Both sit on shipped infrastructure; together they are the category's unanswered complaint.</w:t>
      </w:r>
    </w:p>
    <w:p>
      <w:pPr>
        <w:pStyle w:val="ListParagraph"/>
        <w:numPr>
          <w:ilvl w:val="0"/>
          <w:numId w:val="2"/>
        </w:numPr>
        <w:spacing w:after="100" w:line="264"/>
      </w:pPr>
      <w:r>
        <w:rPr>
          <w:rFonts w:ascii="Georgia" w:cs="Georgia" w:eastAsia="Georgia" w:hAnsi="Georgia"/>
          <w:b/>
          <w:bCs/>
          <w:color w:val="201B12"/>
          <w:sz w:val="22"/>
          <w:szCs w:val="22"/>
        </w:rPr>
        <w:t xml:space="preserve">Density play (city one): Court intelligence — check-ins and occupancy for Los Angeles public courts, feeding the reliability data layer and making the app useful before a user has any friends on it.</w:t>
      </w:r>
    </w:p>
    <w:p>
      <w:pPr>
        <w:pStyle w:val="ListParagraph"/>
        <w:numPr>
          <w:ilvl w:val="0"/>
          <w:numId w:val="2"/>
        </w:numPr>
        <w:spacing w:after="100" w:line="264"/>
      </w:pPr>
      <w:r>
        <w:rPr>
          <w:rFonts w:ascii="Georgia" w:cs="Georgia" w:eastAsia="Georgia" w:hAnsi="Georgia"/>
          <w:b/>
          <w:bCs/>
          <w:color w:val="201B12"/>
          <w:sz w:val="22"/>
          <w:szCs w:val="22"/>
        </w:rPr>
        <w:t xml:space="preserve">Capture play (fast-follow): Organizer tooling — recurring sessions, sub-calls, attendance memory; each converted organizer imports a group.</w:t>
      </w:r>
    </w:p>
    <w:p>
      <w:pPr>
        <w:pStyle w:val="ListParagraph"/>
        <w:numPr>
          <w:ilvl w:val="0"/>
          <w:numId w:val="2"/>
        </w:numPr>
        <w:spacing w:after="100" w:line="264"/>
      </w:pPr>
      <w:r>
        <w:rPr>
          <w:rFonts w:ascii="Georgia" w:cs="Georgia" w:eastAsia="Georgia" w:hAnsi="Georgia"/>
          <w:b/>
          <w:bCs/>
          <w:color w:val="201B12"/>
          <w:sz w:val="22"/>
          <w:szCs w:val="22"/>
        </w:rPr>
        <w:t xml:space="preserve">Retention engine (continuous): Relatedness mechanics — rematch handshakes and standing-game formation, the SDT-grounded answer to churn.</w:t>
      </w:r>
    </w:p>
    <w:p>
      <w:pPr>
        <w:pStyle w:val="ListParagraph"/>
        <w:numPr>
          <w:ilvl w:val="0"/>
          <w:numId w:val="2"/>
        </w:numPr>
        <w:spacing w:after="100" w:line="264"/>
      </w:pPr>
      <w:r>
        <w:rPr>
          <w:rFonts w:ascii="Georgia" w:cs="Georgia" w:eastAsia="Georgia" w:hAnsi="Georgia"/>
          <w:b/>
          <w:bCs/>
          <w:color w:val="201B12"/>
          <w:sz w:val="22"/>
          <w:szCs w:val="22"/>
        </w:rPr>
        <w:t xml:space="preserve">Moat (structural): Multi-sport identity and the women's trust layer — the reasons the wedge compounds and cannot be copied by single-sport incumbents.</w:t>
      </w:r>
    </w:p>
    <w:p>
      <w:pPr>
        <w:pStyle w:val="Heading1"/>
        <w:spacing w:after="200" w:before="360"/>
      </w:pPr>
      <w:r>
        <w:rPr>
          <w:rFonts w:ascii="Arial" w:cs="Arial" w:eastAsia="Arial" w:hAnsi="Arial"/>
          <w:b/>
          <w:bCs/>
          <w:color w:val="D63A0F"/>
          <w:sz w:val="32"/>
          <w:szCs w:val="32"/>
        </w:rPr>
        <w:t xml:space="preserve">8. Opportunity Matrix</w:t>
      </w:r>
    </w:p>
    <w:p>
      <w:pPr>
        <w:spacing w:after="160" w:line="276"/>
        <w:jc w:val="both"/>
      </w:pPr>
      <w:r>
        <w:rPr>
          <w:rFonts w:ascii="Georgia" w:cs="Georgia" w:eastAsia="Georgia" w:hAnsi="Georgia"/>
          <w:color w:val="201B12"/>
          <w:sz w:val="22"/>
          <w:szCs w:val="22"/>
        </w:rPr>
        <w:t xml:space="preserve">Scores are the analyst's structured judgment on a 1–5 scale, argued in Section 5; they are inputs to a decision, not measurements.</w:t>
      </w:r>
    </w:p>
    <w:tbl>
      <w:tblPr>
        <w:tblW w:type="dxa" w:w="9360"/>
        <w:tblBorders>
          <w:top w:val="single" w:color="E9E1D1" w:sz="4"/>
          <w:left w:val="single" w:color="E9E1D1" w:sz="4"/>
          <w:bottom w:val="single" w:color="E9E1D1" w:sz="4"/>
          <w:right w:val="single" w:color="E9E1D1" w:sz="4"/>
          <w:insideH w:val="single" w:color="E9E1D1" w:sz="4"/>
          <w:insideV w:val="single" w:color="E9E1D1" w:sz="4"/>
        </w:tblBorders>
      </w:tblPr>
      <w:tblGrid>
        <w:gridCol w:w="2700"/>
        <w:gridCol w:w="1300"/>
        <w:gridCol w:w="1400"/>
        <w:gridCol w:w="1500"/>
        <w:gridCol w:w="2460"/>
      </w:tblGrid>
      <w:tr>
        <w:tc>
          <w:tcPr>
            <w:tcW w:type="dxa" w:w="270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Gap</w:t>
            </w:r>
          </w:p>
        </w:tc>
        <w:tc>
          <w:tcPr>
            <w:tcW w:type="dxa" w:w="130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Demand</w:t>
            </w:r>
          </w:p>
        </w:tc>
        <w:tc>
          <w:tcPr>
            <w:tcW w:type="dxa" w:w="140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Klimr readiness</w:t>
            </w:r>
          </w:p>
        </w:tc>
        <w:tc>
          <w:tcPr>
            <w:tcW w:type="dxa" w:w="150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Defensibility</w:t>
            </w:r>
          </w:p>
        </w:tc>
        <w:tc>
          <w:tcPr>
            <w:tcW w:type="dxa" w:w="2460"/>
            <w:shd w:fill="FBF1EC" w:val="clear"/>
            <w:tcMar>
              <w:top w:type="dxa" w:w="80"/>
              <w:left w:type="dxa" w:w="120"/>
              <w:bottom w:type="dxa" w:w="80"/>
              <w:right w:type="dxa" w:w="120"/>
            </w:tcMar>
          </w:tcPr>
          <w:p>
            <w:pPr>
              <w:spacing w:after="0" w:line="252"/>
            </w:pPr>
            <w:r>
              <w:rPr>
                <w:rFonts w:ascii="Arial" w:cs="Arial" w:eastAsia="Arial" w:hAnsi="Arial"/>
                <w:b/>
                <w:bCs/>
                <w:color w:val="D63A0F"/>
                <w:sz w:val="19"/>
                <w:szCs w:val="19"/>
              </w:rPr>
              <w:t xml:space="preserve">Sequence role</w:t>
            </w:r>
          </w:p>
        </w:tc>
      </w:tr>
      <w:tr>
        <w:tc>
          <w:tcPr>
            <w:tcW w:type="dxa" w:w="2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1 · Reliability layer</w:t>
            </w:r>
          </w:p>
        </w:tc>
        <w:tc>
          <w:tcPr>
            <w:tcW w:type="dxa" w:w="13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5</w:t>
            </w:r>
          </w:p>
        </w:tc>
        <w:tc>
          <w:tcPr>
            <w:tcW w:type="dxa" w:w="14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15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24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Launch wedge (with 2)</w:t>
            </w:r>
          </w:p>
        </w:tc>
      </w:tr>
      <w:tr>
        <w:tc>
          <w:tcPr>
            <w:tcW w:type="dxa" w:w="2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2 · Trusted cross-sport ratings</w:t>
            </w:r>
          </w:p>
        </w:tc>
        <w:tc>
          <w:tcPr>
            <w:tcW w:type="dxa" w:w="13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5</w:t>
            </w:r>
          </w:p>
        </w:tc>
        <w:tc>
          <w:tcPr>
            <w:tcW w:type="dxa" w:w="14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15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5</w:t>
            </w:r>
          </w:p>
        </w:tc>
        <w:tc>
          <w:tcPr>
            <w:tcW w:type="dxa" w:w="24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Launch wedge (with 1)</w:t>
            </w:r>
          </w:p>
        </w:tc>
      </w:tr>
      <w:tr>
        <w:tc>
          <w:tcPr>
            <w:tcW w:type="dxa" w:w="2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3 · Court intelligence</w:t>
            </w:r>
          </w:p>
        </w:tc>
        <w:tc>
          <w:tcPr>
            <w:tcW w:type="dxa" w:w="13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14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3</w:t>
            </w:r>
          </w:p>
        </w:tc>
        <w:tc>
          <w:tcPr>
            <w:tcW w:type="dxa" w:w="15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24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City-density play</w:t>
            </w:r>
          </w:p>
        </w:tc>
      </w:tr>
      <w:tr>
        <w:tc>
          <w:tcPr>
            <w:tcW w:type="dxa" w:w="2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 · Organizer tooling</w:t>
            </w:r>
          </w:p>
        </w:tc>
        <w:tc>
          <w:tcPr>
            <w:tcW w:type="dxa" w:w="13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14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15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3</w:t>
            </w:r>
          </w:p>
        </w:tc>
        <w:tc>
          <w:tcPr>
            <w:tcW w:type="dxa" w:w="24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Capture fast-follow</w:t>
            </w:r>
          </w:p>
        </w:tc>
      </w:tr>
      <w:tr>
        <w:tc>
          <w:tcPr>
            <w:tcW w:type="dxa" w:w="2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5 · Last-minute fill</w:t>
            </w:r>
          </w:p>
        </w:tc>
        <w:tc>
          <w:tcPr>
            <w:tcW w:type="dxa" w:w="13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14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15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24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Killer app of the wedge</w:t>
            </w:r>
          </w:p>
        </w:tc>
      </w:tr>
      <w:tr>
        <w:tc>
          <w:tcPr>
            <w:tcW w:type="dxa" w:w="2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6 · Relatedness mechanics</w:t>
            </w:r>
          </w:p>
        </w:tc>
        <w:tc>
          <w:tcPr>
            <w:tcW w:type="dxa" w:w="13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3 (latent)</w:t>
            </w:r>
          </w:p>
        </w:tc>
        <w:tc>
          <w:tcPr>
            <w:tcW w:type="dxa" w:w="14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15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3</w:t>
            </w:r>
          </w:p>
        </w:tc>
        <w:tc>
          <w:tcPr>
            <w:tcW w:type="dxa" w:w="24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Retention engine</w:t>
            </w:r>
          </w:p>
        </w:tc>
      </w:tr>
      <w:tr>
        <w:tc>
          <w:tcPr>
            <w:tcW w:type="dxa" w:w="2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7 · Women's trust layer</w:t>
            </w:r>
          </w:p>
        </w:tc>
        <w:tc>
          <w:tcPr>
            <w:tcW w:type="dxa" w:w="13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3</w:t>
            </w:r>
          </w:p>
        </w:tc>
        <w:tc>
          <w:tcPr>
            <w:tcW w:type="dxa" w:w="14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15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w:t>
            </w:r>
          </w:p>
        </w:tc>
        <w:tc>
          <w:tcPr>
            <w:tcW w:type="dxa" w:w="24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Structural differentiator</w:t>
            </w:r>
          </w:p>
        </w:tc>
      </w:tr>
      <w:tr>
        <w:tc>
          <w:tcPr>
            <w:tcW w:type="dxa" w:w="27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8 · Multi-sport identity</w:t>
            </w:r>
          </w:p>
        </w:tc>
        <w:tc>
          <w:tcPr>
            <w:tcW w:type="dxa" w:w="13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4 (structural)</w:t>
            </w:r>
          </w:p>
        </w:tc>
        <w:tc>
          <w:tcPr>
            <w:tcW w:type="dxa" w:w="14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5</w:t>
            </w:r>
          </w:p>
        </w:tc>
        <w:tc>
          <w:tcPr>
            <w:tcW w:type="dxa" w:w="150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5</w:t>
            </w:r>
          </w:p>
        </w:tc>
        <w:tc>
          <w:tcPr>
            <w:tcW w:type="dxa" w:w="2460"/>
            <w:tcMar>
              <w:top w:type="dxa" w:w="80"/>
              <w:left w:type="dxa" w:w="120"/>
              <w:bottom w:type="dxa" w:w="80"/>
              <w:right w:type="dxa" w:w="120"/>
            </w:tcMar>
          </w:tcPr>
          <w:p>
            <w:pPr>
              <w:spacing w:after="0" w:line="252"/>
            </w:pPr>
            <w:r>
              <w:rPr>
                <w:rFonts w:ascii="Arial" w:cs="Arial" w:eastAsia="Arial" w:hAnsi="Arial"/>
                <w:b w:val="false"/>
                <w:bCs w:val="false"/>
                <w:color w:val="201B12"/>
                <w:sz w:val="19"/>
                <w:szCs w:val="19"/>
              </w:rPr>
              <w:t xml:space="preserve">The moat</w:t>
            </w:r>
          </w:p>
        </w:tc>
      </w:tr>
    </w:tbl>
    <w:p>
      <w:pPr>
        <w:pStyle w:val="Heading1"/>
        <w:spacing w:after="200" w:before="360"/>
      </w:pPr>
      <w:r>
        <w:rPr>
          <w:rFonts w:ascii="Arial" w:cs="Arial" w:eastAsia="Arial" w:hAnsi="Arial"/>
          <w:b/>
          <w:bCs/>
          <w:color w:val="D63A0F"/>
          <w:sz w:val="32"/>
          <w:szCs w:val="32"/>
        </w:rPr>
        <w:t xml:space="preserve">9. Limitations and Recommended Next Research</w:t>
      </w:r>
    </w:p>
    <w:p>
      <w:pPr>
        <w:spacing w:after="160" w:line="276"/>
        <w:jc w:val="both"/>
      </w:pPr>
      <w:r>
        <w:rPr>
          <w:rFonts w:ascii="Georgia" w:cs="Georgia" w:eastAsia="Georgia" w:hAnsi="Georgia"/>
          <w:color w:val="201B12"/>
          <w:sz w:val="22"/>
          <w:szCs w:val="22"/>
        </w:rPr>
        <w:t xml:space="preserve">This review's limits are stated so its conclusions can be trusted: it is a single-analyst rapid review; complaint evidence is qualitative and directional rather than a quantified review-corpus; several sources are industry or vendor publications whose incentives are noted; the women's-trust section relies on adjacent-domain transfer; and matrix scores are judgment, not measurement. The highest-value next steps, in order: (1) a quantified app-store review-mining pass across the incumbent set, coding complaint frequency against the eight gaps, to convert “loudest complaint” claims into percentages; (2) a 150–300-respondent player survey in the Los Angeles launch market testing willingness-to-adopt for the reliability score, the fill feature, and women's trust modes; (3) instrumented pilot metrics from Klimr's own invite cohort — completion rate of arranged matches, rematch rate, organizer tool adoption — which will become the proprietary dataset no competitor can cite; and (4) three to five organizer interviews to pressure-test the Gap-4 workflow before building it.</w:t>
      </w:r>
    </w:p>
    <w:p>
      <w:r>
        <w:br w:type="page"/>
      </w:r>
    </w:p>
    <w:p>
      <w:pPr>
        <w:pStyle w:val="Heading1"/>
        <w:spacing w:after="200" w:before="360"/>
      </w:pPr>
      <w:r>
        <w:rPr>
          <w:rFonts w:ascii="Arial" w:cs="Arial" w:eastAsia="Arial" w:hAnsi="Arial"/>
          <w:b/>
          <w:bCs/>
          <w:color w:val="D63A0F"/>
          <w:sz w:val="32"/>
          <w:szCs w:val="32"/>
        </w:rPr>
        <w:t xml:space="preserve">10. References</w:t>
      </w:r>
    </w:p>
    <w:p>
      <w:pPr>
        <w:spacing w:after="90" w:line="252"/>
      </w:pPr>
      <w:r>
        <w:rPr>
          <w:rFonts w:ascii="Georgia" w:cs="Georgia" w:eastAsia="Georgia" w:hAnsi="Georgia"/>
          <w:color w:val="6E6555"/>
          <w:sz w:val="19"/>
          <w:szCs w:val="19"/>
        </w:rPr>
        <w:t xml:space="preserve">[1] SFIA 2026 Topline Participation Report — summary coverage: “Pickleball hits 24.3 million players as record 250 million Americans participate,” GCN, March 2026. gcn.com/pickleball-hits-million-players-record-250/20794</w:t>
      </w:r>
    </w:p>
    <w:p>
      <w:pPr>
        <w:spacing w:after="90" w:line="252"/>
      </w:pPr>
      <w:r>
        <w:rPr>
          <w:rFonts w:ascii="Georgia" w:cs="Georgia" w:eastAsia="Georgia" w:hAnsi="Georgia"/>
          <w:color w:val="6E6555"/>
          <w:sz w:val="19"/>
          <w:szCs w:val="19"/>
        </w:rPr>
        <w:t xml:space="preserve">[2] SFIA, “2026 Pickleball Single Sport Report” release, June 2026. sfia.org/resources/sfia-releases-2026-pickleball-single-sport-report-team-sports-reports-to-follow/</w:t>
      </w:r>
    </w:p>
    <w:p>
      <w:pPr>
        <w:spacing w:after="90" w:line="252"/>
      </w:pPr>
      <w:r>
        <w:rPr>
          <w:rFonts w:ascii="Georgia" w:cs="Georgia" w:eastAsia="Georgia" w:hAnsi="Georgia"/>
          <w:color w:val="6E6555"/>
          <w:sz w:val="19"/>
          <w:szCs w:val="19"/>
        </w:rPr>
        <w:t xml:space="preserve">[3] SFIA, “U.S. Pickleball Participation” research page (incl. padel U.S. estimate), 2026. sfia.org/research/u-s-pickleball-participation/</w:t>
      </w:r>
    </w:p>
    <w:p>
      <w:pPr>
        <w:spacing w:after="90" w:line="252"/>
      </w:pPr>
      <w:r>
        <w:rPr>
          <w:rFonts w:ascii="Georgia" w:cs="Georgia" w:eastAsia="Georgia" w:hAnsi="Georgia"/>
          <w:color w:val="6E6555"/>
          <w:sz w:val="19"/>
          <w:szCs w:val="19"/>
        </w:rPr>
        <w:t xml:space="preserve">[4] Pickleball.com, “SFIA report confirms over 24 million Americans playing pickleball” (tennis 27.3M, +6.2%), April 2026.</w:t>
      </w:r>
    </w:p>
    <w:p>
      <w:pPr>
        <w:spacing w:after="90" w:line="252"/>
      </w:pPr>
      <w:r>
        <w:rPr>
          <w:rFonts w:ascii="Georgia" w:cs="Georgia" w:eastAsia="Georgia" w:hAnsi="Georgia"/>
          <w:color w:val="6E6555"/>
          <w:sz w:val="19"/>
          <w:szCs w:val="19"/>
        </w:rPr>
        <w:t xml:space="preserve">[5] The Dink, “Pickleball 2025 Participation Hits 24.3M” (racquet category 20.6% vs 13% in 2019), March 2026.</w:t>
      </w:r>
    </w:p>
    <w:p>
      <w:pPr>
        <w:spacing w:after="90" w:line="252"/>
      </w:pPr>
      <w:r>
        <w:rPr>
          <w:rFonts w:ascii="Georgia" w:cs="Georgia" w:eastAsia="Georgia" w:hAnsi="Georgia"/>
          <w:color w:val="6E6555"/>
          <w:sz w:val="19"/>
          <w:szCs w:val="19"/>
        </w:rPr>
        <w:t xml:space="preserve">[6] The Pickleball Era, “Pickleball Statistics 2025” (court census, age structure; compiling SFIA and USA Pickleball data), 2026.</w:t>
      </w:r>
    </w:p>
    <w:p>
      <w:pPr>
        <w:spacing w:after="90" w:line="252"/>
      </w:pPr>
      <w:r>
        <w:rPr>
          <w:rFonts w:ascii="Georgia" w:cs="Georgia" w:eastAsia="Georgia" w:hAnsi="Georgia"/>
          <w:color w:val="6E6555"/>
          <w:sz w:val="19"/>
          <w:szCs w:val="19"/>
        </w:rPr>
        <w:t xml:space="preserve">[7] Playtomic &amp; Strategy&amp; (PwC), “2026 Global Padel Report” announcement (U.S. growth, third-space positioning), May 2026.</w:t>
      </w:r>
    </w:p>
    <w:p>
      <w:pPr>
        <w:spacing w:after="90" w:line="252"/>
      </w:pPr>
      <w:r>
        <w:rPr>
          <w:rFonts w:ascii="Georgia" w:cs="Georgia" w:eastAsia="Georgia" w:hAnsi="Georgia"/>
          <w:color w:val="6E6555"/>
          <w:sz w:val="19"/>
          <w:szCs w:val="19"/>
        </w:rPr>
        <w:t xml:space="preserve">[8] Playtomic investment page, Crowdcube (business model, padel CAGR 13%+ 2025–2034, ~50 clubs/week, 4.7M players, 6,000+ clubs), November 2025.</w:t>
      </w:r>
    </w:p>
    <w:p>
      <w:pPr>
        <w:spacing w:after="90" w:line="252"/>
      </w:pPr>
      <w:r>
        <w:rPr>
          <w:rFonts w:ascii="Georgia" w:cs="Georgia" w:eastAsia="Georgia" w:hAnsi="Georgia"/>
          <w:color w:val="6E6555"/>
          <w:sz w:val="19"/>
          <w:szCs w:val="19"/>
        </w:rPr>
        <w:t xml:space="preserve">[9] Padel Business Magazine, “Playtomic padel court bookings in UK more than doubled in 2025” (Open Matches ~90k/month; most-social market), February 2026.</w:t>
      </w:r>
    </w:p>
    <w:p>
      <w:pPr>
        <w:spacing w:after="90" w:line="252"/>
      </w:pPr>
      <w:r>
        <w:rPr>
          <w:rFonts w:ascii="Georgia" w:cs="Georgia" w:eastAsia="Georgia" w:hAnsi="Georgia"/>
          <w:color w:val="6E6555"/>
          <w:sz w:val="19"/>
          <w:szCs w:val="19"/>
        </w:rPr>
        <w:t xml:space="preserve">[10] Athletech News, “The Business of Padel Is Just Getting Started in the US” (U.S. booking share; Racquet360 $9M), March 2026.</w:t>
      </w:r>
    </w:p>
    <w:p>
      <w:pPr>
        <w:spacing w:after="90" w:line="252"/>
      </w:pPr>
      <w:r>
        <w:rPr>
          <w:rFonts w:ascii="Georgia" w:cs="Georgia" w:eastAsia="Georgia" w:hAnsi="Georgia"/>
          <w:color w:val="6E6555"/>
          <w:sz w:val="19"/>
          <w:szCs w:val="19"/>
        </w:rPr>
        <w:t xml:space="preserve">[11] Playtomic.com product and Playtomic Manager pages, 2026.</w:t>
      </w:r>
    </w:p>
    <w:p>
      <w:pPr>
        <w:spacing w:after="90" w:line="252"/>
      </w:pPr>
      <w:r>
        <w:rPr>
          <w:rFonts w:ascii="Georgia" w:cs="Georgia" w:eastAsia="Georgia" w:hAnsi="Georgia"/>
          <w:color w:val="6E6555"/>
          <w:sz w:val="19"/>
          <w:szCs w:val="19"/>
        </w:rPr>
        <w:t xml:space="preserve">[12] UTR Sports, “Pickleball Ratings: UTR-P vs DUPR” (verification critique; sandbagging; casual-logging chilling effect), 2024.</w:t>
      </w:r>
    </w:p>
    <w:p>
      <w:pPr>
        <w:spacing w:after="90" w:line="252"/>
      </w:pPr>
      <w:r>
        <w:rPr>
          <w:rFonts w:ascii="Georgia" w:cs="Georgia" w:eastAsia="Georgia" w:hAnsi="Georgia"/>
          <w:color w:val="6E6555"/>
          <w:sz w:val="19"/>
          <w:szCs w:val="19"/>
        </w:rPr>
        <w:t xml:space="preserve">[13] PickleballMAX, “DUPR Pickleball Ratings” (sandbagging prevalence; self-rating fallback; 1M+ users, 10M+ matches), 2026.</w:t>
      </w:r>
    </w:p>
    <w:p>
      <w:pPr>
        <w:spacing w:after="90" w:line="252"/>
      </w:pPr>
      <w:r>
        <w:rPr>
          <w:rFonts w:ascii="Georgia" w:cs="Georgia" w:eastAsia="Georgia" w:hAnsi="Georgia"/>
          <w:color w:val="6E6555"/>
          <w:sz w:val="19"/>
          <w:szCs w:val="19"/>
        </w:rPr>
        <w:t xml:space="preserve">[14] Hudef Sport, “Is VAIR More Fair?” (community complaint taxonomy; challenger systems), May 2026.</w:t>
      </w:r>
    </w:p>
    <w:p>
      <w:pPr>
        <w:spacing w:after="90" w:line="252"/>
      </w:pPr>
      <w:r>
        <w:rPr>
          <w:rFonts w:ascii="Georgia" w:cs="Georgia" w:eastAsia="Georgia" w:hAnsi="Georgia"/>
          <w:color w:val="6E6555"/>
          <w:sz w:val="19"/>
          <w:szCs w:val="19"/>
        </w:rPr>
        <w:t xml:space="preserve">[15] DUPR, Apple App Store listing (rating volume and score), 2026.</w:t>
      </w:r>
    </w:p>
    <w:p>
      <w:pPr>
        <w:spacing w:after="90" w:line="252"/>
      </w:pPr>
      <w:r>
        <w:rPr>
          <w:rFonts w:ascii="Georgia" w:cs="Georgia" w:eastAsia="Georgia" w:hAnsi="Georgia"/>
          <w:color w:val="6E6555"/>
          <w:sz w:val="19"/>
          <w:szCs w:val="19"/>
        </w:rPr>
        <w:t xml:space="preserve">[16] HappyRoster, “‘I'll Let You Know’: How to Finally Solve the Pickup Sports No-Show Problem” (organizer coping tactics), November 2025.</w:t>
      </w:r>
    </w:p>
    <w:p>
      <w:pPr>
        <w:spacing w:after="90" w:line="252"/>
      </w:pPr>
      <w:r>
        <w:rPr>
          <w:rFonts w:ascii="Georgia" w:cs="Georgia" w:eastAsia="Georgia" w:hAnsi="Georgia"/>
          <w:color w:val="6E6555"/>
          <w:sz w:val="19"/>
          <w:szCs w:val="19"/>
        </w:rPr>
        <w:t xml:space="preserve">[17] OpenSports, “Top 5 Concerns Everyone Has When Organizing A Pickup Game.”</w:t>
      </w:r>
    </w:p>
    <w:p>
      <w:pPr>
        <w:spacing w:after="90" w:line="252"/>
      </w:pPr>
      <w:r>
        <w:rPr>
          <w:rFonts w:ascii="Georgia" w:cs="Georgia" w:eastAsia="Georgia" w:hAnsi="Georgia"/>
          <w:color w:val="6E6555"/>
          <w:sz w:val="19"/>
          <w:szCs w:val="19"/>
        </w:rPr>
        <w:t xml:space="preserve">[18] BetterPuck, Apple App Store listing (founding rationale: adults leaving leagues; unreliable alternatives; guarantee model), 2025.</w:t>
      </w:r>
    </w:p>
    <w:p>
      <w:pPr>
        <w:spacing w:after="90" w:line="252"/>
      </w:pPr>
      <w:r>
        <w:rPr>
          <w:rFonts w:ascii="Georgia" w:cs="Georgia" w:eastAsia="Georgia" w:hAnsi="Georgia"/>
          <w:color w:val="6E6555"/>
          <w:sz w:val="19"/>
          <w:szCs w:val="19"/>
        </w:rPr>
        <w:t xml:space="preserve">[19] University of Washington CSE 440 project documents, “PickUp” (the league-vs-pickup gap; skill as core matching parameter), 2009.</w:t>
      </w:r>
    </w:p>
    <w:p>
      <w:pPr>
        <w:spacing w:after="90" w:line="252"/>
      </w:pPr>
      <w:r>
        <w:rPr>
          <w:rFonts w:ascii="Georgia" w:cs="Georgia" w:eastAsia="Georgia" w:hAnsi="Georgia"/>
          <w:color w:val="6E6555"/>
          <w:sz w:val="19"/>
          <w:szCs w:val="19"/>
        </w:rPr>
        <w:t xml:space="preserve">[20] PickleTip, “Paddle Stacking in Pickleball: Rotation &amp; Etiquette” (queue norms and failure modes).</w:t>
      </w:r>
    </w:p>
    <w:p>
      <w:pPr>
        <w:spacing w:after="90" w:line="252"/>
      </w:pPr>
      <w:r>
        <w:rPr>
          <w:rFonts w:ascii="Georgia" w:cs="Georgia" w:eastAsia="Georgia" w:hAnsi="Georgia"/>
          <w:color w:val="6E6555"/>
          <w:sz w:val="19"/>
          <w:szCs w:val="19"/>
        </w:rPr>
        <w:t xml:space="preserve">[21] Pickleball Huntsville, “Paddle/Player Rotation when the courts get crowded” (wait-time arithmetic).</w:t>
      </w:r>
    </w:p>
    <w:p>
      <w:pPr>
        <w:spacing w:after="90" w:line="252"/>
      </w:pPr>
      <w:r>
        <w:rPr>
          <w:rFonts w:ascii="Georgia" w:cs="Georgia" w:eastAsia="Georgia" w:hAnsi="Georgia"/>
          <w:color w:val="6E6555"/>
          <w:sz w:val="19"/>
          <w:szCs w:val="19"/>
        </w:rPr>
        <w:t xml:space="preserve">[22] PB Queue product site (session-rotation micro-tool; documented open-play failure modes), 2026.</w:t>
      </w:r>
    </w:p>
    <w:p>
      <w:pPr>
        <w:spacing w:after="90" w:line="252"/>
      </w:pPr>
      <w:r>
        <w:rPr>
          <w:rFonts w:ascii="Georgia" w:cs="Georgia" w:eastAsia="Georgia" w:hAnsi="Georgia"/>
          <w:color w:val="6E6555"/>
          <w:sz w:val="19"/>
          <w:szCs w:val="19"/>
        </w:rPr>
        <w:t xml:space="preserve">[23] Picklr product site (open-play running without paddle-stacking), 2026.</w:t>
      </w:r>
    </w:p>
    <w:p>
      <w:pPr>
        <w:spacing w:after="90" w:line="252"/>
      </w:pPr>
      <w:r>
        <w:rPr>
          <w:rFonts w:ascii="Georgia" w:cs="Georgia" w:eastAsia="Georgia" w:hAnsi="Georgia"/>
          <w:color w:val="6E6555"/>
          <w:sz w:val="19"/>
          <w:szCs w:val="19"/>
        </w:rPr>
        <w:t xml:space="preserve">[24] Rodrigues et al., “Can Interpersonal Behavior Influence Persistence and Adherence to Physical Exercise in Adults? A Systematic Review,” PMC (35 studies; SDT framework), 2018.</w:t>
      </w:r>
    </w:p>
    <w:p>
      <w:pPr>
        <w:spacing w:after="90" w:line="252"/>
      </w:pPr>
      <w:r>
        <w:rPr>
          <w:rFonts w:ascii="Georgia" w:cs="Georgia" w:eastAsia="Georgia" w:hAnsi="Georgia"/>
          <w:color w:val="6E6555"/>
          <w:sz w:val="19"/>
          <w:szCs w:val="19"/>
        </w:rPr>
        <w:t xml:space="preserve">[25] Deci &amp; Ryan's basic-needs framework as applied in: “SDT-based instructional interventions and motivational regulations in organized physical activity: systematic review and multivariate meta-analysis,” Psychology of Sport &amp; Exercise, 2022.</w:t>
      </w:r>
    </w:p>
    <w:p>
      <w:pPr>
        <w:spacing w:after="90" w:line="252"/>
      </w:pPr>
      <w:r>
        <w:rPr>
          <w:rFonts w:ascii="Georgia" w:cs="Georgia" w:eastAsia="Georgia" w:hAnsi="Georgia"/>
          <w:color w:val="6E6555"/>
          <w:sz w:val="19"/>
          <w:szCs w:val="19"/>
        </w:rPr>
        <w:t xml:space="preserve">[26] “Athletes' basic psychological need satisfaction and autonomous motivation: differences between individual vs. team sports,” Frontiers in Sports and Active Living (n=1,137), 2025.</w:t>
      </w:r>
    </w:p>
    <w:p>
      <w:pPr>
        <w:spacing w:after="90" w:line="252"/>
      </w:pPr>
      <w:r>
        <w:rPr>
          <w:rFonts w:ascii="Georgia" w:cs="Georgia" w:eastAsia="Georgia" w:hAnsi="Georgia"/>
          <w:color w:val="6E6555"/>
          <w:sz w:val="19"/>
          <w:szCs w:val="19"/>
        </w:rPr>
        <w:t xml:space="preserve">[27] “The mediating role of competence, autonomy, and relatedness in the activation and maintenance of sports participation behavior,” PMC, 2024 (relatedness-path nuance).</w:t>
      </w:r>
    </w:p>
    <w:p>
      <w:pPr>
        <w:spacing w:after="90" w:line="252"/>
      </w:pPr>
      <w:r>
        <w:rPr>
          <w:rFonts w:ascii="Georgia" w:cs="Georgia" w:eastAsia="Georgia" w:hAnsi="Georgia"/>
          <w:color w:val="6E6555"/>
          <w:sz w:val="19"/>
          <w:szCs w:val="19"/>
        </w:rPr>
        <w:t xml:space="preserve">[28] “Loneliness in sport: A systematic mixed studies review,” International Review of Sport and Exercise Psychology (194 studies; N≈88,516), 2024.</w:t>
      </w:r>
    </w:p>
    <w:p>
      <w:pPr>
        <w:spacing w:after="90" w:line="252"/>
      </w:pPr>
      <w:r>
        <w:rPr>
          <w:rFonts w:ascii="Georgia" w:cs="Georgia" w:eastAsia="Georgia" w:hAnsi="Georgia"/>
          <w:color w:val="6E6555"/>
          <w:sz w:val="19"/>
          <w:szCs w:val="19"/>
        </w:rPr>
        <w:t xml:space="preserve">[29] Simply Psychology, “The Science of Adult Friendships” (Holt-Lunstad, Smith &amp; Layton meta-analysis; propinquity and recurring-activity findings), January 2026.</w:t>
      </w:r>
    </w:p>
    <w:p>
      <w:pPr>
        <w:spacing w:after="90" w:line="252"/>
      </w:pPr>
      <w:r>
        <w:rPr>
          <w:rFonts w:ascii="Georgia" w:cs="Georgia" w:eastAsia="Georgia" w:hAnsi="Georgia"/>
          <w:color w:val="6E6555"/>
          <w:sz w:val="19"/>
          <w:szCs w:val="19"/>
        </w:rPr>
        <w:t xml:space="preserve">[30] AreWeFriends.org, “The loneliness epidemic — research” (Oldenburg third places; Putnam; Surgeon General 2023 advisory lineage; Holt-Lunstad sourcing), 2026.</w:t>
      </w:r>
    </w:p>
    <w:p>
      <w:pPr>
        <w:spacing w:after="90" w:line="252"/>
      </w:pPr>
      <w:r>
        <w:rPr>
          <w:rFonts w:ascii="Georgia" w:cs="Georgia" w:eastAsia="Georgia" w:hAnsi="Georgia"/>
          <w:color w:val="6E6555"/>
          <w:sz w:val="19"/>
          <w:szCs w:val="19"/>
        </w:rPr>
        <w:t xml:space="preserve">[31] The Conversation via Giving Compass, “Friendship Research Is Getting An Update” (gendered friendship pathways; side-by-side connection and public-space policy), November 2023.</w:t>
      </w:r>
    </w:p>
    <w:p>
      <w:pPr>
        <w:spacing w:after="90" w:line="252"/>
      </w:pPr>
      <w:r>
        <w:rPr>
          <w:rFonts w:ascii="Georgia" w:cs="Georgia" w:eastAsia="Georgia" w:hAnsi="Georgia"/>
          <w:color w:val="6E6555"/>
          <w:sz w:val="19"/>
          <w:szCs w:val="19"/>
        </w:rPr>
        <w:t xml:space="preserve">[32] CBC News, “New street safety app links lone female walkers in Edmonton” (A Safer Walk; licence verification; ‘women trust women’ user research), March 2023.</w:t>
      </w:r>
    </w:p>
    <w:p>
      <w:pPr>
        <w:spacing w:after="90" w:line="252"/>
      </w:pPr>
      <w:r>
        <w:rPr>
          <w:rFonts w:ascii="Georgia" w:cs="Georgia" w:eastAsia="Georgia" w:hAnsi="Georgia"/>
          <w:color w:val="6E6555"/>
          <w:sz w:val="19"/>
          <w:szCs w:val="19"/>
        </w:rPr>
        <w:t xml:space="preserve">[33] Wikipedia synthesis, “Social media abuse against women athletes” (systematic, disproportionate targeting; multi-study sourcing).</w:t>
      </w:r>
    </w:p>
    <w:p>
      <w:pPr>
        <w:spacing w:after="90" w:line="252"/>
      </w:pPr>
      <w:r>
        <w:rPr>
          <w:rFonts w:ascii="Georgia" w:cs="Georgia" w:eastAsia="Georgia" w:hAnsi="Georgia"/>
          <w:color w:val="6E6555"/>
          <w:sz w:val="19"/>
          <w:szCs w:val="19"/>
        </w:rPr>
        <w:t xml:space="preserve">[34] CIS, “Lessons from failed social media startups” (verticality; the Strava formulation), and adjacent post-mortem analyses (Failory; Appinventiv), 2023–2026.</w:t>
      </w:r>
    </w:p>
    <w:p>
      <w:pPr>
        <w:spacing w:after="90" w:line="252"/>
      </w:pPr>
      <w:r>
        <w:rPr>
          <w:rFonts w:ascii="Georgia" w:cs="Georgia" w:eastAsia="Georgia" w:hAnsi="Georgia"/>
          <w:color w:val="6E6555"/>
          <w:sz w:val="19"/>
          <w:szCs w:val="19"/>
        </w:rPr>
        <w:t xml:space="preserve">[35] SGB Media, “SFIA: Sports Participation Gains Moderate in 2025” (team sports the strongest category, surpassing 90 million participants), 2026.</w:t>
      </w:r>
    </w:p>
    <w:p>
      <w:pPr>
        <w:spacing w:after="90" w:line="252"/>
      </w:pPr>
      <w:r>
        <w:rPr>
          <w:rFonts w:ascii="Georgia" w:cs="Georgia" w:eastAsia="Georgia" w:hAnsi="Georgia"/>
          <w:color w:val="6E6555"/>
          <w:sz w:val="19"/>
          <w:szCs w:val="19"/>
        </w:rPr>
        <w:t xml:space="preserve">[36] SFIA, “2025 Topline Participation Report” release (court volleyball ~7% Olympic-bounce growth), February 2025.</w:t>
      </w:r>
    </w:p>
    <w:p>
      <w:pPr>
        <w:spacing w:after="90" w:line="252"/>
      </w:pPr>
      <w:r>
        <w:rPr>
          <w:rFonts w:ascii="Georgia" w:cs="Georgia" w:eastAsia="Georgia" w:hAnsi="Georgia"/>
          <w:color w:val="6E6555"/>
          <w:sz w:val="19"/>
          <w:szCs w:val="19"/>
        </w:rPr>
        <w:t xml:space="preserve">[37] Project Play, “State of Play 2025” (boys' volleyball among the fastest-rising school sports), 2025.</w:t>
      </w:r>
    </w:p>
    <w:p>
      <w:pPr>
        <w:spacing w:after="90" w:line="252"/>
      </w:pPr>
      <w:r>
        <w:rPr>
          <w:rFonts w:ascii="Georgia" w:cs="Georgia" w:eastAsia="Georgia" w:hAnsi="Georgia"/>
          <w:color w:val="6E6555"/>
          <w:sz w:val="19"/>
          <w:szCs w:val="19"/>
        </w:rPr>
        <w:t xml:space="preserve">[38] SFIA, “List of 2026 Single Sport Reports” (Volleyball Beach/Sand tracked with cross-participation analysis), 2026.</w:t>
      </w:r>
    </w:p>
    <w:p>
      <w:pPr>
        <w:spacing w:after="160" w:line="276"/>
        <w:jc w:val="both"/>
      </w:pPr>
      <w:r>
        <w:rPr>
          <w:rFonts w:ascii="Georgia" w:cs="Georgia" w:eastAsia="Georgia" w:hAnsi="Georgia"/>
          <w:color w:val="201B12"/>
          <w:sz w:val="22"/>
          <w:szCs w:val="22"/>
        </w:rPr>
        <w:t xml:space="preserve"> </w:t>
      </w:r>
    </w:p>
    <w:p>
      <w:pPr>
        <w:spacing w:after="0"/>
        <w:jc w:val="both"/>
      </w:pPr>
      <w:r>
        <w:rPr>
          <w:rFonts w:ascii="Georgia" w:cs="Georgia" w:eastAsia="Georgia" w:hAnsi="Georgia"/>
          <w:b/>
          <w:bCs/>
          <w:color w:val="201B12"/>
          <w:sz w:val="22"/>
          <w:szCs w:val="22"/>
        </w:rPr>
        <w:t xml:space="preserve">Evidence label: </w:t>
      </w:r>
      <w:r>
        <w:rPr>
          <w:rFonts w:ascii="Georgia" w:cs="Georgia" w:eastAsia="Georgia" w:hAnsi="Georgia"/>
          <w:i/>
          <w:iCs/>
          <w:color w:val="201B12"/>
          <w:sz w:val="22"/>
          <w:szCs w:val="22"/>
        </w:rPr>
        <w:t xml:space="preserve">all external claims are Recorded (third-party published sources, accessed live August 2026, paraphrased throughout); matrix scores and pattern syntheses are the analyst's judgment and labeled as such in the text. Prepared by Klimr's research function for internal and investor-conversation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6555"/>
        <w:sz w:val="14"/>
        <w:szCs w:val="14"/>
      </w:rPr>
      <w:t xml:space="preserve">KLIMR · MARKET GAP RESEARCH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rPr>
        <w:color w:val="D63A0F"/>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01B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2026-08-17T03:58:24.793Z</dcterms:created>
  <dcterms:modified xsi:type="dcterms:W3CDTF">2026-08-17T03:58:24.805Z</dcterms:modified>
</cp:coreProperties>
</file>

<file path=docProps/custom.xml><?xml version="1.0" encoding="utf-8"?>
<Properties xmlns="http://schemas.openxmlformats.org/officeDocument/2006/custom-properties" xmlns:vt="http://schemas.openxmlformats.org/officeDocument/2006/docPropsVTypes"/>
</file>