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Lumus Finanças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Auditoria visual e Tailwind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  <w:br/>
              <w:t>Implementado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  <w:br/>
              <w:t>Lumus Finanças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LAST UPDATED</w:t>
              <w:br/>
              <w:t>11 de setembro de 2026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  <w:tblHeader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0" w:before="0" w:line="240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19"/>
                <w:rtl w:val="0"/>
              </w:rPr>
              <w:t>Autores</w:t>
            </w:r>
            <w:r>
              <w:rPr>
                <w:sz w:val="19"/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9"/>
                <w:rtl w:val="0"/>
              </w:rPr>
              <w:t>Auditoria executada com Codex</w:t>
            </w:r>
            <w:r>
              <w:rPr>
                <w:rFonts w:ascii="Helvetica Neue" w:cs="Helvetica Neue" w:eastAsia="Helvetica Neue" w:hAnsi="Helvetica Neue"/>
                <w:sz w:val="19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sz w:val="19"/>
                <w:rtl w:val="0"/>
              </w:rPr>
            </w:r>
            <w:r>
              <w:rPr>
                <w:sz w:val="19"/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0" w:before="0" w:line="240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19"/>
                <w:rtl w:val="0"/>
              </w:rPr>
              <w:t>Revisores</w:t>
            </w:r>
            <w:r>
              <w:rPr>
                <w:sz w:val="19"/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9"/>
                <w:rtl w:val="0"/>
              </w:rPr>
              <w:t>Mantenedor do Lumus Finanças</w:t>
            </w:r>
            <w:r>
              <w:rPr>
                <w:sz w:val="19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0" w:before="0" w:line="240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19"/>
                <w:rtl w:val="0"/>
              </w:rPr>
              <w:t>Documentos e escopo</w:t>
            </w:r>
            <w:r>
              <w:rPr>
                <w:sz w:val="19"/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9"/>
                <w:rtl w:val="0"/>
              </w:rPr>
              <w:t>Auditoria de Design.md e Sistema de Temas.md · design system, 24 rotas e 46 telas web/mobile.</w:t>
            </w:r>
            <w:r>
              <w:rPr>
                <w:rFonts w:ascii="Helvetica Neue" w:cs="Helvetica Neue" w:eastAsia="Helvetica Neue" w:hAnsi="Helvetica Neue"/>
                <w:sz w:val="19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sz w:val="19"/>
                <w:rtl w:val="0"/>
              </w:rPr>
            </w:r>
            <w:r>
              <w:rPr>
                <w:sz w:val="19"/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  Resumo executivo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auditoria consolidou Tailwind e NativeWind como fonte canônica de apresentação do Lumus Finanças. Tokens, primitives, formulários, navegação, cartões e adaptadores de bibliotecas agora seguem uma arquitetura compartilhada. Todos os P1 encontrados foram corrigidos sem alterar regras financeiras, contratos, permissões ou navegação.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inventário cobre 24 rotas funcionais e 46 arquivos de tela. O resultado removeu oito StyleSheet.create, toda especificidade forçada e estilos duplicados críticos. A dívida restante é P2, está registrada por arquivo e não pode crescer. Type-checks, 222 testes, lint e export web foram aprovados.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  Objetivos e limites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Limites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Tailwind e NativeWind como padrão obrigatório com tokens semânticos.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Atualizar para Tailwind 4 ou NativeWind 5; a combinação já causou tela branca.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Unificar contraste, foco, toque, formulários, navegação e superfícies.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Alterar regras financeiras, permissões, APIs ou navegação.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Eliminar P0 e P1 e impedir nova dívida visual por arquivo.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Declarar equivalência nativa sem emulador ou dispositivo disponível.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Preservar compatibilidade enquanto consumidores migram por camada.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Migrar listas extensas sem perfil de desempenho e dataset real.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apresentação estava distribuída entre Tailwind, useScreenStyle.ts, StyleSheet, CSS local, Mantine styles, valores hexadecimais e objetos de tela. O hook tinha 583 linhas e 54 consumidores, misturando tema, responsividade, layout e decisões visuais. Componentes equivalentes exibiam contraste e estados diferentes.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correção atua na origem compartilhada: configuração Tailwind, tokens, primitives, adaptadores, shells e componentes de domínio. A invariável é simples: telas escolhem conteúdo e variantes; classes estáticas e valores visuais pertencem ao design system.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 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Figura 1  Arquitetura visual consolidada do Lumus Finanças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Componentes principais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Fonte principal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de 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Tailwind config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Escalas semânticas de cor, tipo, espaço, raio, sombra e movimento.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tailwind.config.js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Classe ausente falha no build ou no smoke visual.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Design system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Tokens resolvidos, contratos de classe e adaptadores web/nativos.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design-system/*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Lint bloqueia aumento de dívida ou exceção incompleta.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Primitives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Button, Input, Select, Switch, Checkbox, Radio e Textarea acessíveis.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components/ui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Variantes mantêm foco, disabled e toque mínimo.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Componentes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Shells, formulários, cartão bancário e domínio financeiro.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components/shared web mobile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Fallback preserva fluxo e registra biblioteca limitada.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Telas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Compor conteúdo, dados, estados e variantes responsivas.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screens e app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pode introduzir linguagem visual local.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  Ciclo de uma alteração visual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mudança entra por uma tela, componente ou estado reproduzível.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revisão identifica a camada proprietária e verifica web, mobile, tema e acessibilidade.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Tokens e contratos de classe são importados diretamente do design system.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Primitives compõem base, tamanho, variante, estado, densidade e plataforma.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APIs sem className usam somente adaptadores e exceções registradas.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lint compara métricas globais e por arquivo; type-check, testes e export validam o comportamento.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auditoria registra evidência, risco residual e plataformas que não puderam ser executadas.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  Contratos do design system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Contrato visual principal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token semântico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Tailwind theme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Nome por função; nunca por tela ou valor literal.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contrato de classe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 readonly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Base reutilizável para surfaces, controles e estados.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variante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tva ou composição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Quando aplicável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Tamanho, tom, estado, densidade, plataforma e responsividade.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valor resolvido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cor ou dimensão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Só em fronteira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Usado por SVG, gráficos, picker ou API nativa sem className.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exceção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JSON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 houver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Arquivo, motivo, limitação, risco, alternativa e responsável.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baseline de dívida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JSON por arquivo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Temporário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Pode diminuir; qualquer aumento falha no lint.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evidência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teste ou render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Validação mínima compatível com o impacto da mudança.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configuração Tailwind e design-system/tokens.ts são as fontes canônicas da apresentação.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Novos StyleSheet.create, !important, transition-all e utilitários forçados falham imediatamente.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Nenhum arquivo pode aumentar style, hex, valor arbitrário ou uso do hook acima de seu baseline.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baseline mede dívida, não legitima estilo estático legado; essa dívida deve apenas diminuir.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Os contratos e a matriz detalhada estão publicados em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Arquitetura/Auditoria de Design.md, design-system/tokens.ts e design-system/style-exceptions.json.</w:t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  Consistência e regressão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As correções compartilhadas têm precedência sobre ajustes locais. Repetir um componente visual exige a mesma API e variantes; diferenças de plataforma são aceitas somente quando a API nativa ou a biblioteca exigir, sempre com os mesmos tokens e estados.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Motivo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Componente equivalente duplicado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Promover para shared ou primitive antes da tela.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Evita APIs e aparências divergentes.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Biblioteca sem className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Usar adaptador registrado com tokens resolvidos.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Mantém a exceção pequena e auditável.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Viewport ou plataforma diferente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Adaptar composição preservando tokens, hierarquia e estados.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Responsividade não cria outro design system.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Token muda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Consumidores recebem a mudança e o gate completo é reexecutado.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Evita correção parcial e drift.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  Segurança privacidade e acessibilidade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Regras financeiras, autorização e limites de leitura permanecem fora da camada visual e não foram alterados.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Valores financeiros continuam usando modo de privacidade; logs e screenshots não devem expor dados reais.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Ações primárias usam texto escuro sobre amarelo, foco visível e alvo mínimo de 44 px.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Labels, nomes de ícones, ordem de teclado, erro, loading e disabled devem existir no primitive ou formulário.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Reduced motion é aplicado globalmente e respeitado em Motion, GSAP e WebGL quando suportado.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 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  <w:tblHeader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Critério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P0 e P1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Nenhum P0; todos os P1 identificados corrigidos.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Design system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Drift de estilo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1.263 style, 1.275 hex, 381 arbitrários; nenhum aumento por arquivo.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Frontend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Correção funcional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38 suítes e 222 testes; type-check app e backend aprovados.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Bundle web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Export aprovado; 12.578 módulos; JS principal 22,9 MB.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Web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Smoke visual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Login 390×844 e 1440×900, teclado, foco, sem overflow ou console error.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Produto e UI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 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foi considerada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não foi selecionada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Reescrever todas as telas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Eliminaria dívida de uma vez.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Alto risco funcional em telas financeiras extensas.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Manter useScreenStyles como tema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Mudança inicial menor.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Preservaria uma segunda fonte visual.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Tailwind 4 e NativeWind 5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Stack mais recente.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Histórico local registra tela branca nessa combinação.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CSS ou styles por tela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Flexibilidade imediata.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Reintroduz duplicação, valores mágicos e drift web/mobile.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  Limitações verificadas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Android não foi renderizado porque adb e o SDK não estão disponíveis no host.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iOS não foi renderizado porque o host Windows não oferece simulador.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Telas autenticadas não foram abertas contra Firebase; foram cobertas por código, testes e export.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DevTools MCP não estava disponível; bundle e listas extensas permanecem riscos P2 sem Core Web Vitals inventados.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12 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Adotar a arquitetura consolidada como regra do repositório. A fundação e os P1 estão concluídos. As próximas mudanças devem reduzir o baseline por componente compartilhado, executar validação nativa e medir listas e bundle com ferramentas de desempenho disponíveis.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Entregável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Tokens, primitives, hook simplificado e adaptadores.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Lint, tipos, testes e export aprovados.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Inventário, achados, exceções e regressão do login.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46 telas registradas e P1 corrigidos.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Validação nativa e autenticada.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Android/iOS, tema, fonte, paisagem e teclado verificados.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Redução da dívida P2 e desempenho.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Baseline menor, listas medidas e bundle dividido por rota.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Lumus Finanças  Auditoria de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