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color w:val="000000"/>
          <w:sz w:val="22"/>
          <w:szCs w:val="22"/>
        </w:rPr>
      </w:pPr>
      <w:bookmarkStart w:colFirst="0" w:colLast="0" w:name="_nxg7p9k12kvb" w:id="0"/>
      <w:bookmarkEnd w:id="0"/>
      <w:r w:rsidDel="00000000" w:rsidR="00000000" w:rsidRPr="00000000">
        <w:rPr>
          <w:b w:val="1"/>
          <w:color w:val="000000"/>
          <w:sz w:val="22"/>
          <w:szCs w:val="22"/>
          <w:rtl w:val="0"/>
        </w:rPr>
        <w:t xml:space="preserve">Link: </w:t>
      </w:r>
      <w:hyperlink r:id="rId6">
        <w:r w:rsidDel="00000000" w:rsidR="00000000" w:rsidRPr="00000000">
          <w:rPr>
            <w:color w:val="1155cc"/>
            <w:sz w:val="22"/>
            <w:szCs w:val="22"/>
            <w:u w:val="single"/>
            <w:rtl w:val="0"/>
          </w:rPr>
          <w:t xml:space="preserve">https://lookerstudio.google.com/reporting/da0b248c-6f2e-4237-babb-d6515a78328e</w:t>
        </w:r>
      </w:hyperlink>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2"/>
          <w:szCs w:val="22"/>
        </w:rPr>
      </w:pPr>
      <w:bookmarkStart w:colFirst="0" w:colLast="0" w:name="_vhv65fvtb1oz" w:id="1"/>
      <w:bookmarkEnd w:id="1"/>
      <w:r w:rsidDel="00000000" w:rsidR="00000000" w:rsidRPr="00000000">
        <w:rPr>
          <w:b w:val="1"/>
          <w:color w:val="000000"/>
          <w:sz w:val="22"/>
          <w:szCs w:val="22"/>
          <w:rtl w:val="0"/>
        </w:rPr>
        <w:t xml:space="preserve">Explicação do Dashboard:</w:t>
      </w:r>
    </w:p>
    <w:p w:rsidR="00000000" w:rsidDel="00000000" w:rsidP="00000000" w:rsidRDefault="00000000" w:rsidRPr="00000000" w14:paraId="00000003">
      <w:pPr>
        <w:spacing w:after="240" w:before="240" w:lineRule="auto"/>
        <w:rPr/>
      </w:pPr>
      <w:r w:rsidDel="00000000" w:rsidR="00000000" w:rsidRPr="00000000">
        <w:rPr>
          <w:rtl w:val="0"/>
        </w:rPr>
        <w:t xml:space="preserve">O dashboard foi desenvolvido com o objetivo de analisar o engajamento e o desempenho dos membros dentro do eixo de Comunicação e Engajamento de Equipes, permitindo identificar padrões, relações e oportunidades de melhoria entre as dimensões de senioridade, performance e participação nas capacitações (PIGs).</w:t>
      </w:r>
    </w:p>
    <w:p w:rsidR="00000000" w:rsidDel="00000000" w:rsidP="00000000" w:rsidRDefault="00000000" w:rsidRPr="00000000" w14:paraId="00000004">
      <w:pPr>
        <w:pStyle w:val="Heading3"/>
        <w:keepNext w:val="0"/>
        <w:keepLines w:val="0"/>
        <w:spacing w:before="280" w:lineRule="auto"/>
        <w:rPr>
          <w:b w:val="1"/>
          <w:color w:val="000000"/>
          <w:sz w:val="22"/>
          <w:szCs w:val="22"/>
        </w:rPr>
      </w:pPr>
      <w:bookmarkStart w:colFirst="0" w:colLast="0" w:name="_n1b3zpslc6aa" w:id="2"/>
      <w:bookmarkEnd w:id="2"/>
      <w:r w:rsidDel="00000000" w:rsidR="00000000" w:rsidRPr="00000000">
        <w:rPr>
          <w:b w:val="1"/>
          <w:color w:val="000000"/>
          <w:sz w:val="22"/>
          <w:szCs w:val="22"/>
          <w:rtl w:val="0"/>
        </w:rPr>
        <w:t xml:space="preserve">1. Indicadores Gerais (Scorecards)</w:t>
      </w:r>
    </w:p>
    <w:p w:rsidR="00000000" w:rsidDel="00000000" w:rsidP="00000000" w:rsidRDefault="00000000" w:rsidRPr="00000000" w14:paraId="00000005">
      <w:pPr>
        <w:spacing w:after="240" w:before="240" w:lineRule="auto"/>
        <w:ind w:left="0" w:firstLine="0"/>
        <w:rPr>
          <w:b w:val="1"/>
        </w:rPr>
      </w:pPr>
      <w:r w:rsidDel="00000000" w:rsidR="00000000" w:rsidRPr="00000000">
        <w:rPr>
          <w:rtl w:val="0"/>
        </w:rPr>
        <w:t xml:space="preserve">Média Score (7,9) e Engajamento (0,82). Esses dois indicadores no topo do painel oferecem uma visão rápida do desempenho global da equipe.</w:t>
        <w:br w:type="textWrapping"/>
        <w:t xml:space="preserve">O Score representa a média combinada das avaliações técnica e comportamental, enquanto o Engajamento indica o nível médio de participação dos membros nas capacitações (PIGs). Servem como referência geral para comparar os demais gráficos.</w:t>
        <w:br w:type="textWrapping"/>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2"/>
          <w:szCs w:val="22"/>
        </w:rPr>
      </w:pPr>
      <w:bookmarkStart w:colFirst="0" w:colLast="0" w:name="_ak0m0rfe5b4i" w:id="3"/>
      <w:bookmarkEnd w:id="3"/>
      <w:r w:rsidDel="00000000" w:rsidR="00000000" w:rsidRPr="00000000">
        <w:rPr>
          <w:b w:val="1"/>
          <w:color w:val="000000"/>
          <w:sz w:val="22"/>
          <w:szCs w:val="22"/>
          <w:rtl w:val="0"/>
        </w:rPr>
        <w:t xml:space="preserve">2. Engajamento Médio por Nível de Senioridade (Gráfico de Barras)</w:t>
      </w:r>
    </w:p>
    <w:p w:rsidR="00000000" w:rsidDel="00000000" w:rsidP="00000000" w:rsidRDefault="00000000" w:rsidRPr="00000000" w14:paraId="00000007">
      <w:pPr>
        <w:spacing w:after="240" w:before="240" w:lineRule="auto"/>
        <w:rPr/>
      </w:pPr>
      <w:r w:rsidDel="00000000" w:rsidR="00000000" w:rsidRPr="00000000">
        <w:rPr>
          <w:rtl w:val="0"/>
        </w:rPr>
        <w:t xml:space="preserve">Mostra o engajamento médio (Engajamento_PIGs) de Juniores, Plenos e Sêniors. Sêniors apresentam maior engajamento (0,93), seguidos pelos Juniores (0,87) e Plenos (0,73). Esse gráfico evidencia que o engajamento tende a crescer conforme a senioridade aumenta, sugerindo que membros mais experientes participam mais ativamente das capacitações, um dado relevante para estratégias de motivação dos níveis iniciais.</w:t>
        <w:br w:type="textWrapping"/>
      </w:r>
    </w:p>
    <w:p w:rsidR="00000000" w:rsidDel="00000000" w:rsidP="00000000" w:rsidRDefault="00000000" w:rsidRPr="00000000" w14:paraId="00000008">
      <w:pPr>
        <w:pStyle w:val="Heading3"/>
        <w:keepNext w:val="0"/>
        <w:keepLines w:val="0"/>
        <w:spacing w:before="280" w:lineRule="auto"/>
        <w:rPr>
          <w:b w:val="1"/>
          <w:color w:val="000000"/>
          <w:sz w:val="22"/>
          <w:szCs w:val="22"/>
        </w:rPr>
      </w:pPr>
      <w:bookmarkStart w:colFirst="0" w:colLast="0" w:name="_t9156165ghqp" w:id="4"/>
      <w:bookmarkEnd w:id="4"/>
      <w:r w:rsidDel="00000000" w:rsidR="00000000" w:rsidRPr="00000000">
        <w:rPr>
          <w:b w:val="1"/>
          <w:color w:val="000000"/>
          <w:sz w:val="22"/>
          <w:szCs w:val="22"/>
          <w:rtl w:val="0"/>
        </w:rPr>
        <w:t xml:space="preserve">3. Score Médio por Nível de Senioridade (Gráfico de Barras)</w:t>
      </w:r>
    </w:p>
    <w:p w:rsidR="00000000" w:rsidDel="00000000" w:rsidP="00000000" w:rsidRDefault="00000000" w:rsidRPr="00000000" w14:paraId="00000009">
      <w:pPr>
        <w:spacing w:after="240" w:before="240" w:lineRule="auto"/>
        <w:rPr/>
      </w:pPr>
      <w:r w:rsidDel="00000000" w:rsidR="00000000" w:rsidRPr="00000000">
        <w:rPr>
          <w:rtl w:val="0"/>
        </w:rPr>
        <w:t xml:space="preserve">Apresenta a média do Score_Desempenho para cada grupo. Sêniors novamente se destacam (9,16), seguidos de Juniores (7,75) e Plenos (7,53). Esse resultado reforça que o nível de senioridade está positivamente relacionado à performance, mostrando que a experiência pode estar contribuindo para o desenvolvimento técnico e comportamental.</w:t>
        <w:br w:type="textWrapping"/>
      </w:r>
    </w:p>
    <w:p w:rsidR="00000000" w:rsidDel="00000000" w:rsidP="00000000" w:rsidRDefault="00000000" w:rsidRPr="00000000" w14:paraId="0000000A">
      <w:pPr>
        <w:pStyle w:val="Heading3"/>
        <w:keepNext w:val="0"/>
        <w:keepLines w:val="0"/>
        <w:spacing w:before="280" w:lineRule="auto"/>
        <w:rPr>
          <w:b w:val="1"/>
          <w:color w:val="000000"/>
          <w:sz w:val="22"/>
          <w:szCs w:val="22"/>
        </w:rPr>
      </w:pPr>
      <w:bookmarkStart w:colFirst="0" w:colLast="0" w:name="_hsvpgt8tilo9" w:id="5"/>
      <w:bookmarkEnd w:id="5"/>
      <w:r w:rsidDel="00000000" w:rsidR="00000000" w:rsidRPr="00000000">
        <w:rPr>
          <w:b w:val="1"/>
          <w:color w:val="000000"/>
          <w:sz w:val="22"/>
          <w:szCs w:val="22"/>
          <w:rtl w:val="0"/>
        </w:rPr>
        <w:t xml:space="preserve">4. Relação entre Engajamento e Score (Gráfico de Dispersão)</w:t>
      </w:r>
    </w:p>
    <w:p w:rsidR="00000000" w:rsidDel="00000000" w:rsidP="00000000" w:rsidRDefault="00000000" w:rsidRPr="00000000" w14:paraId="0000000B">
      <w:pPr>
        <w:spacing w:after="240" w:before="240" w:lineRule="auto"/>
        <w:rPr/>
      </w:pPr>
      <w:r w:rsidDel="00000000" w:rsidR="00000000" w:rsidRPr="00000000">
        <w:rPr>
          <w:rtl w:val="0"/>
        </w:rPr>
        <w:t xml:space="preserve">Relaciona Engajamento_PIGs (eixo X) com Score_Desempenho (eixo Y), agrupando por senioridade. Cada bolha representa o desempenho médio de um grupo. A disposição ascendente das bolhas indica que membros com maior engajamento tendem a apresentar melhores scores, confirmando a correlação positiva entre participação nas atividades e desenvolvimento individual.</w:t>
      </w:r>
    </w:p>
    <w:p w:rsidR="00000000" w:rsidDel="00000000" w:rsidP="00000000" w:rsidRDefault="00000000" w:rsidRPr="00000000" w14:paraId="0000000C">
      <w:pPr>
        <w:pStyle w:val="Heading3"/>
        <w:keepNext w:val="0"/>
        <w:keepLines w:val="0"/>
        <w:spacing w:before="280" w:lineRule="auto"/>
        <w:rPr>
          <w:b w:val="1"/>
          <w:color w:val="000000"/>
          <w:sz w:val="22"/>
          <w:szCs w:val="22"/>
        </w:rPr>
      </w:pPr>
      <w:bookmarkStart w:colFirst="0" w:colLast="0" w:name="_n89idpli0mlg" w:id="6"/>
      <w:bookmarkEnd w:id="6"/>
      <w:r w:rsidDel="00000000" w:rsidR="00000000" w:rsidRPr="00000000">
        <w:rPr>
          <w:b w:val="1"/>
          <w:color w:val="000000"/>
          <w:sz w:val="22"/>
          <w:szCs w:val="22"/>
          <w:rtl w:val="0"/>
        </w:rPr>
        <w:t xml:space="preserve">5. Distribuição de Status dos Membros (Gráfico de Pizza/Donut)</w:t>
      </w:r>
    </w:p>
    <w:p w:rsidR="00000000" w:rsidDel="00000000" w:rsidP="00000000" w:rsidRDefault="00000000" w:rsidRPr="00000000" w14:paraId="0000000D">
      <w:pPr>
        <w:spacing w:after="240" w:before="240" w:lineRule="auto"/>
        <w:rPr/>
      </w:pPr>
      <w:r w:rsidDel="00000000" w:rsidR="00000000" w:rsidRPr="00000000">
        <w:rPr>
          <w:rFonts w:ascii="Arial Unicode MS" w:cs="Arial Unicode MS" w:eastAsia="Arial Unicode MS" w:hAnsi="Arial Unicode MS"/>
          <w:rtl w:val="0"/>
        </w:rPr>
        <w:t xml:space="preserve">Apresenta a proporção entre membros “Destaque” (54,9%) e “Padrão” (45,1%). Esse gráfico facilita a leitura da saúde geral do time, mostrando que mais da metade dos membros está com desempenho e engajamento acima dos critérios estabelecidos (Score ≥ 7 e Engajamento ≥ 0,8). É um indicador visual direto do equilíbrio entre talentos consolidados e membros em fase de desenvolvimento.</w:t>
      </w:r>
    </w:p>
    <w:p w:rsidR="00000000" w:rsidDel="00000000" w:rsidP="00000000" w:rsidRDefault="00000000" w:rsidRPr="00000000" w14:paraId="0000000E">
      <w:pPr>
        <w:pStyle w:val="Heading3"/>
        <w:keepNext w:val="0"/>
        <w:keepLines w:val="0"/>
        <w:spacing w:before="280" w:lineRule="auto"/>
        <w:rPr>
          <w:b w:val="1"/>
          <w:color w:val="000000"/>
          <w:sz w:val="22"/>
          <w:szCs w:val="22"/>
        </w:rPr>
      </w:pPr>
      <w:bookmarkStart w:colFirst="0" w:colLast="0" w:name="_oievo8nhj7qc" w:id="7"/>
      <w:bookmarkEnd w:id="7"/>
      <w:r w:rsidDel="00000000" w:rsidR="00000000" w:rsidRPr="00000000">
        <w:rPr>
          <w:b w:val="1"/>
          <w:color w:val="000000"/>
          <w:sz w:val="22"/>
          <w:szCs w:val="22"/>
          <w:rtl w:val="0"/>
        </w:rPr>
        <w:t xml:space="preserve">Conclusão:</w:t>
      </w:r>
    </w:p>
    <w:p w:rsidR="00000000" w:rsidDel="00000000" w:rsidP="00000000" w:rsidRDefault="00000000" w:rsidRPr="00000000" w14:paraId="0000000F">
      <w:pPr>
        <w:spacing w:after="240" w:before="240" w:lineRule="auto"/>
        <w:rPr/>
      </w:pPr>
      <w:r w:rsidDel="00000000" w:rsidR="00000000" w:rsidRPr="00000000">
        <w:rPr>
          <w:rtl w:val="0"/>
        </w:rPr>
        <w:t xml:space="preserve">O dashboard evidencia uma relação direta entre engajamento e performance, demonstrando que quanto maior a participação nas capacitações, melhor o desempenho médio. Além disso, destaca que membros sêniors lideram tanto em engajamento quanto em score, enquanto os plenos apresentam oportunidades de estímulo para se igualar aos demais níveis. Com base nesses insights, a gestão pode direcionar ações de comunicação, feedback e capacitação para fortalecer o engajamento nas faixas mais baixas e, assim, elevar o desempenho global da equipe.</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ookerstudio.google.com/reporting/da0b248c-6f2e-4237-babb-d6515a78328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