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Noto Sans" w:hAnsi="Noto Sans"/>
          <w:b/>
          <w:i w:val="0"/>
          <w:color w:val="1E5B4F"/>
          <w:sz w:val="22"/>
        </w:rPr>
        <w:t>Colegio de Bachilleres</w:t>
      </w:r>
    </w:p>
    <w:p>
      <w:pPr>
        <w:spacing w:after="400" w:line="276" w:lineRule="auto"/>
        <w:jc w:val="center"/>
      </w:pPr>
      <w:r>
        <w:rPr>
          <w:rFonts w:ascii="Noto Sans" w:hAnsi="Noto Sans"/>
          <w:b w:val="0"/>
          <w:i w:val="0"/>
          <w:sz w:val="20"/>
        </w:rPr>
        <w:t>Componente de Formación Laboral. Modelo Educativo 2025</w:t>
      </w:r>
    </w:p>
    <w:p>
      <w:pPr>
        <w:spacing w:after="100" w:line="276" w:lineRule="auto"/>
        <w:jc w:val="center"/>
      </w:pPr>
      <w:r>
        <w:rPr>
          <w:rFonts w:ascii="Noto Sans" w:hAnsi="Noto Sans"/>
          <w:b/>
          <w:i w:val="0"/>
          <w:color w:val="1E5B4F"/>
          <w:sz w:val="34"/>
        </w:rPr>
        <w:t>Ajustes en la migración de programas de estudio</w:t>
      </w:r>
    </w:p>
    <w:p>
      <w:pPr>
        <w:spacing w:after="400" w:line="276" w:lineRule="auto"/>
        <w:jc w:val="center"/>
      </w:pPr>
      <w:r>
        <w:rPr>
          <w:rFonts w:ascii="Noto Sans" w:hAnsi="Noto Sans"/>
          <w:b/>
          <w:i w:val="0"/>
          <w:sz w:val="24"/>
        </w:rPr>
        <w:t>De Unidad de Aprendizaje Curricular a Asignatura</w:t>
      </w:r>
    </w:p>
    <w:p>
      <w:pPr>
        <w:spacing w:after="120" w:line="276" w:lineRule="auto"/>
        <w:jc w:val="center"/>
      </w:pPr>
      <w:r>
        <w:rPr>
          <w:rFonts w:ascii="Noto Sans" w:hAnsi="Noto Sans"/>
          <w:b w:val="0"/>
          <w:i w:val="0"/>
          <w:sz w:val="20"/>
        </w:rPr>
        <w:t>Elementos identificados durante la conversión de tres programas de tercer semestre: Fundamentos de la programación con IA, Producción de contenidos para redes sociales y Producción de contenidos digitales accesibles.</w:t>
      </w:r>
    </w:p>
    <w:p>
      <w:pPr>
        <w:spacing w:after="160" w:line="276" w:lineRule="auto"/>
        <w:jc w:val="center"/>
      </w:pPr>
      <w:r>
        <w:rPr>
          <w:rFonts w:ascii="Noto Sans" w:hAnsi="Noto Sans"/>
          <w:b/>
          <w:i w:val="0"/>
          <w:sz w:val="20"/>
        </w:rPr>
        <w:t>Agosto de 2026</w:t>
      </w:r>
    </w:p>
    <w:p>
      <w:pPr>
        <w:spacing w:before="320" w:after="140"/>
      </w:pPr>
      <w:r>
        <w:rPr>
          <w:rFonts w:ascii="Noto Sans" w:hAnsi="Noto Sans"/>
          <w:b/>
          <w:color w:val="1E5B4F"/>
          <w:sz w:val="26"/>
        </w:rPr>
        <w:t>Por qué este documento</w:t>
      </w:r>
    </w:p>
    <w:p>
      <w:pPr>
        <w:spacing w:after="160" w:line="276" w:lineRule="auto"/>
        <w:jc w:val="both"/>
      </w:pPr>
      <w:r>
        <w:rPr>
          <w:rFonts w:ascii="Noto Sans" w:hAnsi="Noto Sans"/>
          <w:b w:val="0"/>
          <w:i w:val="0"/>
          <w:sz w:val="21"/>
        </w:rPr>
        <w:t>La conversión de un programa por UAC a la estructura del Modelo 2025 parece, al principio, un trabajo de nomenclatura. Se cambia el nombre de los elementos, se ajusta la carga horaria y se reorganizan los apartados. La experiencia de convertir tres programas mostró otra cosa: bajo ese cambio de superficie hay decisiones curriculares que solo se hacen visibles al contrastar ambos documentos línea por línea.</w:t>
      </w:r>
    </w:p>
    <w:p>
      <w:pPr>
        <w:spacing w:after="160" w:line="276" w:lineRule="auto"/>
        <w:jc w:val="both"/>
      </w:pPr>
      <w:r>
        <w:rPr>
          <w:rFonts w:ascii="Noto Sans" w:hAnsi="Noto Sans"/>
          <w:b w:val="0"/>
          <w:i w:val="0"/>
          <w:sz w:val="21"/>
        </w:rPr>
        <w:t>Lo que sigue reúne esos hallazgos. Cada apartado describe qué apareció, qué se hizo y qué queda como criterio para las siguientes conversiones.</w:t>
      </w:r>
    </w:p>
    <w:p>
      <w:pPr>
        <w:spacing w:after="160" w:line="276" w:lineRule="auto"/>
        <w:jc w:val="both"/>
      </w:pPr>
      <w:r>
        <w:rPr>
          <w:rFonts w:ascii="Noto Sans" w:hAnsi="Noto Sans"/>
          <w:b w:val="0"/>
          <w:i w:val="0"/>
          <w:sz w:val="21"/>
        </w:rPr>
        <w:t>Una advertencia sobre el origen. Buena parte de lo que aquí se señala no proviene del trabajo de conversión sino de los programas oficiales por UAC que sirvieron de base. Se heredó al copiarlos y solo se hizo visible al confrontarlo con la estructura nueva. La evaluación diagnóstica ajena a la asignatura, el masculino genérico en los roles de equipo y varias referencias mal citadas ya venían así en documentos aprobados. Señalarlo no es una observación al trabajo docente sino un mapa de lo que conviene mirar en cada migración.</w:t>
      </w:r>
    </w:p>
    <w:p>
      <w:pPr>
        <w:spacing w:before="320" w:after="140"/>
      </w:pPr>
      <w:r>
        <w:rPr>
          <w:rFonts w:ascii="Noto Sans" w:hAnsi="Noto Sans"/>
          <w:b/>
          <w:color w:val="1E5B4F"/>
          <w:sz w:val="26"/>
        </w:rPr>
        <w:t>1. Los desempeños</w:t>
      </w:r>
    </w:p>
    <w:p>
      <w:pPr>
        <w:spacing w:after="160" w:line="276" w:lineRule="auto"/>
        <w:jc w:val="both"/>
      </w:pPr>
      <w:r>
        <w:rPr>
          <w:rFonts w:ascii="Noto Sans" w:hAnsi="Noto Sans"/>
          <w:b w:val="0"/>
          <w:i w:val="0"/>
          <w:sz w:val="21"/>
        </w:rPr>
        <w:t>El Modelo 2025 incorpora el desempeño como evidencia junto al conocimiento y al producto, y exige declarar el instrumento con que se evalúa. No todos los programas por UAC lo traían. Uno de los tres carecía por completo de desempeños y de criterios de evaluación, de modo que hubo que redactarlos desde cero.</w:t>
      </w:r>
    </w:p>
    <w:p>
      <w:pPr>
        <w:spacing w:after="160" w:line="276" w:lineRule="auto"/>
        <w:jc w:val="both"/>
      </w:pPr>
      <w:r>
        <w:rPr>
          <w:rFonts w:ascii="Noto Sans" w:hAnsi="Noto Sans"/>
          <w:b w:val="0"/>
          <w:i w:val="0"/>
          <w:sz w:val="21"/>
        </w:rPr>
        <w:t>El enunciado del desempeño nombra la acción observable y nada más. Enumerar en él lo que ya está desglosado en las viñetas duplica la información y alarga la celda sin ganancia. En lugar de "Elabora el Diagrama de Gantt registrando los datos generales, las actividades, los responsables, las dependencias, los tiempos y el cronograma", basta con "Elabora el Diagrama de Gantt del proyecto informático".</w:t>
      </w:r>
    </w:p>
    <w:p>
      <w:pPr>
        <w:spacing w:after="160" w:line="276" w:lineRule="auto"/>
        <w:jc w:val="both"/>
      </w:pPr>
      <w:r>
        <w:rPr>
          <w:rFonts w:ascii="Noto Sans" w:hAnsi="Noto Sans"/>
          <w:b w:val="0"/>
          <w:i w:val="0"/>
          <w:sz w:val="21"/>
        </w:rPr>
        <w:t>Los hábitos, valores y actitudes del catálogo CONOCER van dentro de cada criterio, no concentrados en una viñeta final. La diferencia no es cosmética. Cuando la actitud se enuncia aparte, en una línea del tipo "Mantiene una actitud de responsabilidad y organización", queda desvinculada de la acción que debería demostrarla y se vuelve decorativa. Integrada en el criterio, en cambio, señala dónde se observa:</w:t>
      </w:r>
    </w:p>
    <w:p>
      <w:pPr>
        <w:spacing w:after="160"/>
        <w:ind w:left="567"/>
        <w:jc w:val="both"/>
      </w:pPr>
      <w:r>
        <w:rPr>
          <w:rFonts w:ascii="Noto Sans" w:hAnsi="Noto Sans"/>
          <w:i/>
          <w:sz w:val="20"/>
        </w:rPr>
        <w:t>Desglosa las actividades del proyecto con sus insumos, responsables y dependencias, repartiendo la carga de trabajo con solidaridad entre el equipo.</w:t>
      </w:r>
    </w:p>
    <w:p>
      <w:pPr>
        <w:spacing w:after="160" w:line="276" w:lineRule="auto"/>
        <w:jc w:val="both"/>
      </w:pPr>
      <w:r>
        <w:rPr>
          <w:rFonts w:ascii="Noto Sans" w:hAnsi="Noto Sans"/>
          <w:b w:val="0"/>
          <w:i w:val="0"/>
          <w:sz w:val="21"/>
        </w:rPr>
        <w:t>Sobre los instrumentos, la convención es uno por columna: guía de observación para el desempeño y lista de cotejo para el producto. Los criterios se colocan debajo de la descripción de cada evidencia y nunca dentro de la celda de instrumentos.</w:t>
      </w:r>
    </w:p>
    <w:p>
      <w:pPr>
        <w:spacing w:before="320" w:after="140"/>
      </w:pPr>
      <w:r>
        <w:rPr>
          <w:rFonts w:ascii="Noto Sans" w:hAnsi="Noto Sans"/>
          <w:b/>
          <w:color w:val="1E5B4F"/>
          <w:sz w:val="26"/>
        </w:rPr>
        <w:t>2. Los catálogos son listas cerradas</w:t>
      </w:r>
    </w:p>
    <w:p>
      <w:pPr>
        <w:spacing w:after="160" w:line="276" w:lineRule="auto"/>
        <w:jc w:val="both"/>
      </w:pPr>
      <w:r>
        <w:rPr>
          <w:rFonts w:ascii="Noto Sans" w:hAnsi="Noto Sans"/>
          <w:b w:val="0"/>
          <w:i w:val="0"/>
          <w:sz w:val="21"/>
        </w:rPr>
        <w:t>Este resultó el hallazgo más frecuente y también el más difícil de detectar, porque los términos inventados suenan verosímiles. Tres catálogos del modelo son listas fijas y solo admiten los términos que contienen.</w:t>
      </w:r>
    </w:p>
    <w:tbl>
      <w:tblPr>
        <w:tblStyle w:val="TableGrid"/>
        <w:tblW w:type="auto" w:w="0"/>
        <w:jc w:val="center"/>
        <w:tblLook w:firstColumn="1" w:firstRow="1" w:lastColumn="0" w:lastRow="0" w:noHBand="0" w:noVBand="1" w:val="04A0"/>
      </w:tblPr>
      <w:tblGrid>
        <w:gridCol w:w="4646"/>
        <w:gridCol w:w="4646"/>
      </w:tblGrid>
      <w:tr>
        <w:tc>
          <w:tcPr>
            <w:tcW w:type="dxa" w:w="4646"/>
          </w:tcPr>
          <w:p>
            <w:r/>
            <w:r>
              <w:rPr>
                <w:rFonts w:ascii="Noto Sans" w:hAnsi="Noto Sans"/>
                <w:b/>
                <w:color w:val="1E5B4F"/>
                <w:sz w:val="18"/>
              </w:rPr>
              <w:t>Catálogo</w:t>
            </w:r>
          </w:p>
        </w:tc>
        <w:tc>
          <w:tcPr>
            <w:tcW w:type="dxa" w:w="4646"/>
          </w:tcPr>
          <w:p>
            <w:r/>
            <w:r>
              <w:rPr>
                <w:rFonts w:ascii="Noto Sans" w:hAnsi="Noto Sans"/>
                <w:b/>
                <w:color w:val="1E5B4F"/>
                <w:sz w:val="18"/>
              </w:rPr>
              <w:t>Elementos</w:t>
            </w:r>
          </w:p>
        </w:tc>
      </w:tr>
      <w:tr>
        <w:tc>
          <w:tcPr>
            <w:tcW w:type="dxa" w:w="4646"/>
          </w:tcPr>
          <w:p>
            <w:r/>
            <w:r>
              <w:rPr>
                <w:rFonts w:ascii="Noto Sans" w:hAnsi="Noto Sans"/>
                <w:sz w:val="18"/>
              </w:rPr>
              <w:t>Hábitos, CONOCER</w:t>
            </w:r>
          </w:p>
        </w:tc>
        <w:tc>
          <w:tcPr>
            <w:tcW w:type="dxa" w:w="4646"/>
          </w:tcPr>
          <w:p>
            <w:r/>
            <w:r>
              <w:rPr>
                <w:rFonts w:ascii="Noto Sans" w:hAnsi="Noto Sans"/>
                <w:sz w:val="18"/>
              </w:rPr>
              <w:t>organización, puntualidad, perseverancia, autoevaluación</w:t>
            </w:r>
          </w:p>
        </w:tc>
      </w:tr>
      <w:tr>
        <w:tc>
          <w:tcPr>
            <w:tcW w:type="dxa" w:w="4646"/>
          </w:tcPr>
          <w:p>
            <w:r/>
            <w:r>
              <w:rPr>
                <w:rFonts w:ascii="Noto Sans" w:hAnsi="Noto Sans"/>
                <w:sz w:val="18"/>
              </w:rPr>
              <w:t>Valores, CONOCER</w:t>
            </w:r>
          </w:p>
        </w:tc>
        <w:tc>
          <w:tcPr>
            <w:tcW w:type="dxa" w:w="4646"/>
          </w:tcPr>
          <w:p>
            <w:r/>
            <w:r>
              <w:rPr>
                <w:rFonts w:ascii="Noto Sans" w:hAnsi="Noto Sans"/>
                <w:sz w:val="18"/>
              </w:rPr>
              <w:t>responsabilidad, respeto, honestidad, compromiso, solidaridad</w:t>
            </w:r>
          </w:p>
        </w:tc>
      </w:tr>
      <w:tr>
        <w:tc>
          <w:tcPr>
            <w:tcW w:type="dxa" w:w="4646"/>
          </w:tcPr>
          <w:p>
            <w:r/>
            <w:r>
              <w:rPr>
                <w:rFonts w:ascii="Noto Sans" w:hAnsi="Noto Sans"/>
                <w:sz w:val="18"/>
              </w:rPr>
              <w:t>Actitudes, CONOCER</w:t>
            </w:r>
          </w:p>
        </w:tc>
        <w:tc>
          <w:tcPr>
            <w:tcW w:type="dxa" w:w="4646"/>
          </w:tcPr>
          <w:p>
            <w:r/>
            <w:r>
              <w:rPr>
                <w:rFonts w:ascii="Noto Sans" w:hAnsi="Noto Sans"/>
                <w:sz w:val="18"/>
              </w:rPr>
              <w:t>iniciativa, flexibilidad, empatía, colaboración, actitud positiva</w:t>
            </w:r>
          </w:p>
        </w:tc>
      </w:tr>
      <w:tr>
        <w:tc>
          <w:tcPr>
            <w:tcW w:type="dxa" w:w="4646"/>
          </w:tcPr>
          <w:p>
            <w:r/>
            <w:r>
              <w:rPr>
                <w:rFonts w:ascii="Noto Sans" w:hAnsi="Noto Sans"/>
                <w:sz w:val="18"/>
              </w:rPr>
              <w:t>Habilidades para la Vida y el Trabajo</w:t>
            </w:r>
          </w:p>
        </w:tc>
        <w:tc>
          <w:tcPr>
            <w:tcW w:type="dxa" w:w="4646"/>
          </w:tcPr>
          <w:p>
            <w:r/>
            <w:r>
              <w:rPr>
                <w:rFonts w:ascii="Noto Sans" w:hAnsi="Noto Sans"/>
                <w:sz w:val="18"/>
              </w:rPr>
              <w:t>regulación de emociones, autoconocimiento, comunicación, logro de metas, autonomía, toma de decisiones, resolución de problemas, mentalidad de crecimiento, creatividad, empatía, conciencia social, trabajo en equipo y colaboración</w:t>
            </w:r>
          </w:p>
        </w:tc>
      </w:tr>
      <w:tr>
        <w:tc>
          <w:tcPr>
            <w:tcW w:type="dxa" w:w="4646"/>
          </w:tcPr>
          <w:p>
            <w:r/>
            <w:r>
              <w:rPr>
                <w:rFonts w:ascii="Noto Sans" w:hAnsi="Noto Sans"/>
                <w:sz w:val="18"/>
              </w:rPr>
              <w:t>Habilidades para el Desarrollo Sostenible</w:t>
            </w:r>
          </w:p>
        </w:tc>
        <w:tc>
          <w:tcPr>
            <w:tcW w:type="dxa" w:w="4646"/>
          </w:tcPr>
          <w:p>
            <w:r/>
            <w:r>
              <w:rPr>
                <w:rFonts w:ascii="Noto Sans" w:hAnsi="Noto Sans"/>
                <w:sz w:val="18"/>
              </w:rPr>
              <w:t>Nexo Agua-Energía-Alimento, Servicios Ecosistémicos, Sistemas Socio-ecológicos, Economía Ecológica</w:t>
            </w:r>
          </w:p>
        </w:tc>
      </w:tr>
    </w:tbl>
    <w:p>
      <w:pPr>
        <w:spacing w:after="120"/>
      </w:pPr>
    </w:p>
    <w:p>
      <w:pPr>
        <w:spacing w:after="160" w:line="276" w:lineRule="auto"/>
        <w:jc w:val="both"/>
      </w:pPr>
      <w:r>
        <w:rPr>
          <w:rFonts w:ascii="Noto Sans" w:hAnsi="Noto Sans"/>
          <w:b w:val="0"/>
          <w:i w:val="0"/>
          <w:sz w:val="21"/>
        </w:rPr>
        <w:t>Aparecieron presentados como HVyT o como HDS, sin pertenecer a ningún catálogo, los siguientes: ética profesional, responsabilidad ambiental y social, pensamiento crítico, trabajo colaborativo, comunicación efectiva, innovación y mejora de procesos, y uso responsable de la tecnología. Ninguno existe en el marco.</w:t>
      </w:r>
    </w:p>
    <w:p>
      <w:pPr>
        <w:spacing w:after="160" w:line="276" w:lineRule="auto"/>
        <w:jc w:val="both"/>
      </w:pPr>
      <w:r>
        <w:rPr>
          <w:rFonts w:ascii="Noto Sans" w:hAnsi="Noto Sans"/>
          <w:b w:val="0"/>
          <w:i w:val="0"/>
          <w:sz w:val="21"/>
        </w:rPr>
        <w:t>Hay un matiz que evita corregir de más. Pensamiento crítico es una expresión legítima cuando describe el enfoque pedagógico de la Nueva Escuela Mexicana, y aparece así en varios pasajes de los programas. Solo constituye error cuando se presenta como una de las doce habilidades del catálogo. Conviene leer el contexto antes de tacharla.</w:t>
      </w:r>
    </w:p>
    <w:p>
      <w:pPr>
        <w:spacing w:after="160" w:line="276" w:lineRule="auto"/>
        <w:jc w:val="both"/>
      </w:pPr>
      <w:r>
        <w:rPr>
          <w:rFonts w:ascii="Noto Sans" w:hAnsi="Noto Sans"/>
          <w:b w:val="0"/>
          <w:i w:val="0"/>
          <w:sz w:val="21"/>
        </w:rPr>
        <w:t>La regla práctica es sencilla: al nombrar HVyT o HDS en la prosa, tomar las que están marcadas con equis en la matriz de transversalidad de ese corte. Se leen de la tabla; no se eligen por intuición.</w:t>
      </w:r>
    </w:p>
    <w:p>
      <w:pPr>
        <w:spacing w:before="320" w:after="140"/>
      </w:pPr>
      <w:r>
        <w:rPr>
          <w:rFonts w:ascii="Noto Sans" w:hAnsi="Noto Sans"/>
          <w:b/>
          <w:color w:val="1E5B4F"/>
          <w:sz w:val="26"/>
        </w:rPr>
        <w:t>3. Vocabulario del Plan 2023</w:t>
      </w:r>
    </w:p>
    <w:p>
      <w:pPr>
        <w:spacing w:after="160" w:line="276" w:lineRule="auto"/>
        <w:jc w:val="both"/>
      </w:pPr>
      <w:r>
        <w:rPr>
          <w:rFonts w:ascii="Noto Sans" w:hAnsi="Noto Sans"/>
          <w:b w:val="0"/>
          <w:i w:val="0"/>
          <w:sz w:val="21"/>
        </w:rPr>
        <w:t>Los programas por UAC arrastran términos que el Modelo 2025 sustituyó. Sobreviven sobre todo en la estrategia didáctica, porque ese apartado suele copiarse íntegro.</w:t>
      </w:r>
    </w:p>
    <w:tbl>
      <w:tblPr>
        <w:tblStyle w:val="TableGrid"/>
        <w:tblW w:type="auto" w:w="0"/>
        <w:jc w:val="center"/>
        <w:tblLook w:firstColumn="1" w:firstRow="1" w:lastColumn="0" w:lastRow="0" w:noHBand="0" w:noVBand="1" w:val="04A0"/>
      </w:tblPr>
      <w:tblGrid>
        <w:gridCol w:w="4646"/>
        <w:gridCol w:w="4646"/>
      </w:tblGrid>
      <w:tr>
        <w:tc>
          <w:tcPr>
            <w:tcW w:type="dxa" w:w="4646"/>
          </w:tcPr>
          <w:p>
            <w:r/>
            <w:r>
              <w:rPr>
                <w:rFonts w:ascii="Noto Sans" w:hAnsi="Noto Sans"/>
                <w:b/>
                <w:color w:val="1E5B4F"/>
                <w:sz w:val="18"/>
              </w:rPr>
              <w:t>Término del Plan 2023</w:t>
            </w:r>
          </w:p>
        </w:tc>
        <w:tc>
          <w:tcPr>
            <w:tcW w:type="dxa" w:w="4646"/>
          </w:tcPr>
          <w:p>
            <w:r/>
            <w:r>
              <w:rPr>
                <w:rFonts w:ascii="Noto Sans" w:hAnsi="Noto Sans"/>
                <w:b/>
                <w:color w:val="1E5B4F"/>
                <w:sz w:val="18"/>
              </w:rPr>
              <w:t>Equivalente en el Modelo 2025</w:t>
            </w:r>
          </w:p>
        </w:tc>
      </w:tr>
      <w:tr>
        <w:tc>
          <w:tcPr>
            <w:tcW w:type="dxa" w:w="4646"/>
          </w:tcPr>
          <w:p>
            <w:r/>
            <w:r>
              <w:rPr>
                <w:rFonts w:ascii="Noto Sans" w:hAnsi="Noto Sans"/>
                <w:sz w:val="18"/>
              </w:rPr>
              <w:t>Unidad de Aprendizaje Curricular</w:t>
            </w:r>
          </w:p>
        </w:tc>
        <w:tc>
          <w:tcPr>
            <w:tcW w:type="dxa" w:w="4646"/>
          </w:tcPr>
          <w:p>
            <w:r/>
            <w:r>
              <w:rPr>
                <w:rFonts w:ascii="Noto Sans" w:hAnsi="Noto Sans"/>
                <w:sz w:val="18"/>
              </w:rPr>
              <w:t>Asignatura</w:t>
            </w:r>
          </w:p>
        </w:tc>
      </w:tr>
      <w:tr>
        <w:tc>
          <w:tcPr>
            <w:tcW w:type="dxa" w:w="4646"/>
          </w:tcPr>
          <w:p>
            <w:r/>
            <w:r>
              <w:rPr>
                <w:rFonts w:ascii="Noto Sans" w:hAnsi="Noto Sans"/>
                <w:sz w:val="18"/>
              </w:rPr>
              <w:t>Metas de aprendizaje</w:t>
            </w:r>
          </w:p>
        </w:tc>
        <w:tc>
          <w:tcPr>
            <w:tcW w:type="dxa" w:w="4646"/>
          </w:tcPr>
          <w:p>
            <w:r/>
            <w:r>
              <w:rPr>
                <w:rFonts w:ascii="Noto Sans" w:hAnsi="Noto Sans"/>
                <w:sz w:val="18"/>
              </w:rPr>
              <w:t>Actividad clave de la competencia laboral básica</w:t>
            </w:r>
          </w:p>
        </w:tc>
      </w:tr>
      <w:tr>
        <w:tc>
          <w:tcPr>
            <w:tcW w:type="dxa" w:w="4646"/>
          </w:tcPr>
          <w:p>
            <w:r/>
            <w:r>
              <w:rPr>
                <w:rFonts w:ascii="Noto Sans" w:hAnsi="Noto Sans"/>
                <w:sz w:val="18"/>
              </w:rPr>
              <w:t>Metas específicas</w:t>
            </w:r>
          </w:p>
        </w:tc>
        <w:tc>
          <w:tcPr>
            <w:tcW w:type="dxa" w:w="4646"/>
          </w:tcPr>
          <w:p>
            <w:r/>
            <w:r>
              <w:rPr>
                <w:rFonts w:ascii="Noto Sans" w:hAnsi="Noto Sans"/>
                <w:sz w:val="18"/>
              </w:rPr>
              <w:t>Desarrollo de la competencia laboral básica</w:t>
            </w:r>
          </w:p>
        </w:tc>
      </w:tr>
      <w:tr>
        <w:tc>
          <w:tcPr>
            <w:tcW w:type="dxa" w:w="4646"/>
          </w:tcPr>
          <w:p>
            <w:r/>
            <w:r>
              <w:rPr>
                <w:rFonts w:ascii="Noto Sans" w:hAnsi="Noto Sans"/>
                <w:sz w:val="18"/>
              </w:rPr>
              <w:t>Progresiones de aprendizaje</w:t>
            </w:r>
          </w:p>
        </w:tc>
        <w:tc>
          <w:tcPr>
            <w:tcW w:type="dxa" w:w="4646"/>
          </w:tcPr>
          <w:p>
            <w:r/>
            <w:r>
              <w:rPr>
                <w:rFonts w:ascii="Noto Sans" w:hAnsi="Noto Sans"/>
                <w:sz w:val="18"/>
              </w:rPr>
              <w:t>Propósitos formativos</w:t>
            </w:r>
          </w:p>
        </w:tc>
      </w:tr>
      <w:tr>
        <w:tc>
          <w:tcPr>
            <w:tcW w:type="dxa" w:w="4646"/>
          </w:tcPr>
          <w:p>
            <w:r/>
            <w:r>
              <w:rPr>
                <w:rFonts w:ascii="Noto Sans" w:hAnsi="Noto Sans"/>
                <w:sz w:val="18"/>
              </w:rPr>
              <w:t>Instrumentación didáctica</w:t>
            </w:r>
          </w:p>
        </w:tc>
        <w:tc>
          <w:tcPr>
            <w:tcW w:type="dxa" w:w="4646"/>
          </w:tcPr>
          <w:p>
            <w:r/>
            <w:r>
              <w:rPr>
                <w:rFonts w:ascii="Noto Sans" w:hAnsi="Noto Sans"/>
                <w:sz w:val="18"/>
              </w:rPr>
              <w:t>Estrategia didáctica</w:t>
            </w:r>
          </w:p>
        </w:tc>
      </w:tr>
      <w:tr>
        <w:tc>
          <w:tcPr>
            <w:tcW w:type="dxa" w:w="4646"/>
          </w:tcPr>
          <w:p>
            <w:r/>
            <w:r>
              <w:rPr>
                <w:rFonts w:ascii="Noto Sans" w:hAnsi="Noto Sans"/>
                <w:sz w:val="18"/>
              </w:rPr>
              <w:t>Conceptos Centrales, CoCEDS</w:t>
            </w:r>
          </w:p>
        </w:tc>
        <w:tc>
          <w:tcPr>
            <w:tcW w:type="dxa" w:w="4646"/>
          </w:tcPr>
          <w:p>
            <w:r/>
            <w:r>
              <w:rPr>
                <w:rFonts w:ascii="Noto Sans" w:hAnsi="Noto Sans"/>
                <w:sz w:val="18"/>
              </w:rPr>
              <w:t>Habilidades para el Desarrollo Sostenible</w:t>
            </w:r>
          </w:p>
        </w:tc>
      </w:tr>
    </w:tbl>
    <w:p>
      <w:pPr>
        <w:spacing w:after="120"/>
      </w:pPr>
    </w:p>
    <w:p>
      <w:pPr>
        <w:spacing w:after="160" w:line="276" w:lineRule="auto"/>
        <w:jc w:val="both"/>
      </w:pPr>
      <w:r>
        <w:rPr>
          <w:rFonts w:ascii="Noto Sans" w:hAnsi="Noto Sans"/>
          <w:b w:val="0"/>
          <w:i w:val="0"/>
          <w:sz w:val="21"/>
        </w:rPr>
        <w:t xml:space="preserve">El producto o proyecto integrador no forma parte de esta lista. Se conserva en el Modelo 2025 como elemento de la estrategia didáctica, con sus criterios de evaluación, y así aparece en los programas ya elaborados con la nueva estructura. Lo que conviene cuidar es que no quede huérfano, anunciado solo en el cierre sin que la apertura ni el desarrollo lo hayan sostenido, y que las evidencias de los cortes se redacten en relación con la función productiva y no con el proyecto.</w:t>
      </w:r>
    </w:p>
    <w:p>
      <w:pPr>
        <w:spacing w:after="160" w:line="276" w:lineRule="auto"/>
        <w:jc w:val="both"/>
      </w:pPr>
      <w:r>
        <w:rPr>
          <w:rFonts w:ascii="Noto Sans" w:hAnsi="Noto Sans"/>
          <w:b w:val="0"/>
          <w:i w:val="0"/>
          <w:sz w:val="21"/>
        </w:rPr>
        <w:t>Conviene distinguir un caso legítimo. La nota de portada que cita el programa por UAC del que deriva el nuevo, con la fórmula "elaborado con base en el Programa de la Unidad de Aprendizaje Curricular", es una referencia histórica correcta y debe conservarse.</w:t>
      </w:r>
    </w:p>
    <w:p>
      <w:pPr>
        <w:spacing w:before="320" w:after="140"/>
      </w:pPr>
      <w:r>
        <w:rPr>
          <w:rFonts w:ascii="Noto Sans" w:hAnsi="Noto Sans"/>
          <w:b/>
          <w:color w:val="1E5B4F"/>
          <w:sz w:val="26"/>
        </w:rPr>
        <w:t>4. Transversalidad</w:t>
      </w:r>
    </w:p>
    <w:p>
      <w:pPr>
        <w:spacing w:after="160" w:line="276" w:lineRule="auto"/>
        <w:jc w:val="both"/>
      </w:pPr>
      <w:r>
        <w:rPr>
          <w:rFonts w:ascii="Noto Sans" w:hAnsi="Noto Sans"/>
          <w:b w:val="0"/>
          <w:i w:val="0"/>
          <w:sz w:val="21"/>
        </w:rPr>
        <w:t>El paso de progresiones de aprendizaje a propósitos formativos no es un cambio de etiqueta. Se trata de elementos que viven en documentos curriculares distintos, así que la vinculación hay que rehacerla, no traducirla. En la conversión revisada cambiaron incluso las asignaturas vinculadas: donde el programa por UAC citaba Cultura Digital III, el de asignatura tuvo que recurrir a Pensamiento Matemático III y a Pensamiento Filosófico y Humanidades III.</w:t>
      </w:r>
    </w:p>
    <w:p>
      <w:pPr>
        <w:spacing w:after="160" w:line="276" w:lineRule="auto"/>
        <w:jc w:val="both"/>
      </w:pPr>
      <w:r>
        <w:rPr>
          <w:rFonts w:ascii="Noto Sans" w:hAnsi="Noto Sans"/>
          <w:b w:val="0"/>
          <w:i w:val="0"/>
          <w:sz w:val="21"/>
        </w:rPr>
        <w:t>La razón de ese reemplazo importa. Cultura Digital no se cursa en tercer semestre; solo llega a segundo, con las claves 941 y 942, y Cultura Digital III corresponde a sexto. Toda referencia heredada a esa asignatura debe sustituirse.</w:t>
      </w:r>
    </w:p>
    <w:p>
      <w:pPr>
        <w:spacing w:after="160" w:line="276" w:lineRule="auto"/>
        <w:jc w:val="both"/>
      </w:pPr>
      <w:r>
        <w:rPr>
          <w:rFonts w:ascii="Noto Sans" w:hAnsi="Noto Sans"/>
          <w:b w:val="0"/>
          <w:i w:val="0"/>
          <w:sz w:val="21"/>
        </w:rPr>
        <w:t>Para verificar en qué semestre se cursa una asignatura del componente fundamental conviene consultar el Listado de asignaturas con claves y no la prosa de los programas, que contiene menciones incidentales de otros semestres. Una lectura de esos textos situó Ciencias Sociales III en cuarto semestre cuando en realidad se cursa en tercero.</w:t>
      </w:r>
    </w:p>
    <w:p>
      <w:pPr>
        <w:spacing w:after="160" w:line="276" w:lineRule="auto"/>
        <w:jc w:val="both"/>
      </w:pPr>
      <w:r>
        <w:rPr>
          <w:rFonts w:ascii="Noto Sans" w:hAnsi="Noto Sans"/>
          <w:b w:val="0"/>
          <w:i w:val="0"/>
          <w:sz w:val="21"/>
        </w:rPr>
        <w:t>Las asignaturas disponibles en tercer semestre son seis: 913 Lengua y Comunicación III, 923 Inglés III, 933 Pensamiento Matemático III, 963 Ciencias Sociales III, 973 Pensamiento Filosófico y Humanidades III y 983 Ciencias Naturales, Experimentales y Tecnología III.</w:t>
      </w:r>
    </w:p>
    <w:p>
      <w:pPr>
        <w:spacing w:after="160" w:line="276" w:lineRule="auto"/>
        <w:jc w:val="both"/>
      </w:pPr>
      <w:r>
        <w:rPr>
          <w:rFonts w:ascii="Noto Sans" w:hAnsi="Noto Sans"/>
          <w:b w:val="0"/>
          <w:i w:val="0"/>
          <w:sz w:val="21"/>
        </w:rPr>
        <w:t>En cuanto al formato, la columna de interacción entre las asignaturas lleva en cursiva únicamente el fragmento que remite al propósito formativo del componente fundamental. El resto va en redonda. Se encontró la celda completa en cursiva, lo que anula la función de la marca:</w:t>
      </w:r>
    </w:p>
    <w:p>
      <w:pPr>
        <w:spacing w:after="160"/>
        <w:ind w:left="567"/>
        <w:jc w:val="both"/>
      </w:pPr>
      <w:r>
        <w:rPr>
          <w:rFonts w:ascii="Noto Sans" w:hAnsi="Noto Sans"/>
          <w:i/>
          <w:sz w:val="20"/>
        </w:rPr>
        <w:t>El análisis e interpretación de textos favorece la comprensión del papel de las redes sociales como medios de comunicación de marcas, y la reflexión filosófica sobre la cultura contemporánea permite valorar críticamente su influencia.</w:t>
      </w:r>
    </w:p>
    <w:p>
      <w:pPr>
        <w:spacing w:before="320" w:after="140"/>
      </w:pPr>
      <w:r>
        <w:rPr>
          <w:rFonts w:ascii="Noto Sans" w:hAnsi="Noto Sans"/>
          <w:b/>
          <w:color w:val="1E5B4F"/>
          <w:sz w:val="26"/>
        </w:rPr>
        <w:t>5. Estrategia didáctica</w:t>
      </w:r>
    </w:p>
    <w:p>
      <w:pPr>
        <w:spacing w:after="160" w:line="276" w:lineRule="auto"/>
        <w:jc w:val="both"/>
      </w:pPr>
      <w:r>
        <w:rPr>
          <w:rFonts w:ascii="Noto Sans" w:hAnsi="Noto Sans"/>
          <w:b w:val="0"/>
          <w:i w:val="0"/>
          <w:sz w:val="21"/>
        </w:rPr>
        <w:t>Aquí se concentró el mayor número de ajustes, y la razón es previsible: es el apartado más extenso y el que más se copia sin releer.</w:t>
      </w:r>
    </w:p>
    <w:p>
      <w:pPr>
        <w:spacing w:after="160" w:line="276" w:lineRule="auto"/>
        <w:jc w:val="both"/>
      </w:pPr>
      <w:r>
        <w:rPr>
          <w:rFonts w:ascii="Noto Sans" w:hAnsi="Noto Sans"/>
          <w:b w:val="0"/>
          <w:i w:val="0"/>
          <w:sz w:val="21"/>
        </w:rPr>
        <w:t>El primer problema fue de cobertura. Un corte de dieciséis horas quedó sin ninguna actividad en la secuencia; su único respaldo era la práctica. Los tres cortes necesitan actividades propias, porque la práctica consolida pero no sustituye al desarrollo.</w:t>
      </w:r>
    </w:p>
    <w:p>
      <w:pPr>
        <w:spacing w:after="160" w:line="276" w:lineRule="auto"/>
        <w:jc w:val="both"/>
      </w:pPr>
      <w:r>
        <w:rPr>
          <w:rFonts w:ascii="Noto Sans" w:hAnsi="Noto Sans"/>
          <w:b w:val="0"/>
          <w:i w:val="0"/>
          <w:sz w:val="21"/>
        </w:rPr>
        <w:t>El segundo fue de congruencia interna. La estrategia recomendaba evaluar con pruebas objetivas, rúbricas y bitácoras cuando los cortes solo declaran guía de observación y lista de cotejo. El documento se contradecía a sí mismo.</w:t>
      </w:r>
    </w:p>
    <w:p>
      <w:pPr>
        <w:spacing w:after="160" w:line="276" w:lineRule="auto"/>
        <w:jc w:val="both"/>
      </w:pPr>
      <w:r>
        <w:rPr>
          <w:rFonts w:ascii="Noto Sans" w:hAnsi="Noto Sans"/>
          <w:b w:val="0"/>
          <w:i w:val="0"/>
          <w:sz w:val="21"/>
        </w:rPr>
        <w:t>El tercero fue de pertenencia. Apareció una evaluación diagnóstica sobre estructura empresarial, organigrama y proceso administrativo dentro de un programa de programación. Venía de otra Trayectoria. En la misma línea, la mención de laboratorio como espacio de trabajo es un residuo de la Trayectoria de Laboratorio de control de calidad; en informática corresponde sala de cómputo.</w:t>
      </w:r>
    </w:p>
    <w:p>
      <w:pPr>
        <w:spacing w:after="160" w:line="276" w:lineRule="auto"/>
        <w:jc w:val="both"/>
      </w:pPr>
      <w:r>
        <w:rPr>
          <w:rFonts w:ascii="Noto Sans" w:hAnsi="Noto Sans"/>
          <w:b w:val="0"/>
          <w:i w:val="0"/>
          <w:sz w:val="21"/>
        </w:rPr>
        <w:t>Hubo además tres cuestiones de forma que conviene revisar siempre. Las viñetas deben ir todas en infinitivo, y se encontraron algunas que mezclaban infinitivo con imperativo dentro de la misma oración. Las actividades permanentes, como recapitular al inicio de cada sesión, pertenecen al desarrollo y no a la apertura del curso. Y el cierre no debe pedir tres veces lo mismo: se hallaron tres viñetas solicitando presentar la misma solución, lo que contraviene el quinto criterio de ajuste, que manda eliminar actividades repetitivas.</w:t>
      </w:r>
    </w:p>
    <w:p>
      <w:pPr>
        <w:spacing w:after="160" w:line="276" w:lineRule="auto"/>
        <w:jc w:val="both"/>
      </w:pPr>
      <w:r>
        <w:rPr>
          <w:rFonts w:ascii="Noto Sans" w:hAnsi="Noto Sans"/>
          <w:b w:val="0"/>
          <w:i w:val="0"/>
          <w:sz w:val="21"/>
        </w:rPr>
        <w:t>Vale la pena mirar con atención los roles de equipo. Es una zona donde el vocabulario de la asignatura de origen sobrevive sin que se note: la fórmula "cuatro diseñadores de soluciones informáticas" apareció intacta en programas de diseño gráfico y de accesibilidad.</w:t>
      </w:r>
    </w:p>
    <w:p>
      <w:pPr>
        <w:spacing w:before="320" w:after="140"/>
      </w:pPr>
      <w:r>
        <w:rPr>
          <w:rFonts w:ascii="Noto Sans" w:hAnsi="Noto Sans"/>
          <w:b/>
          <w:color w:val="1E5B4F"/>
          <w:sz w:val="26"/>
        </w:rPr>
        <w:t>6. La actividad de derechos humanos</w:t>
      </w:r>
    </w:p>
    <w:p>
      <w:pPr>
        <w:spacing w:after="160" w:line="276" w:lineRule="auto"/>
        <w:jc w:val="both"/>
      </w:pPr>
      <w:r>
        <w:rPr>
          <w:rFonts w:ascii="Noto Sans" w:hAnsi="Noto Sans"/>
          <w:b w:val="0"/>
          <w:i w:val="0"/>
          <w:sz w:val="21"/>
        </w:rPr>
        <w:t>Esta actividad merece revisión aparte porque es fácil que enuncie más de lo que cumple. Se encontró una redacción que declaraba las tres vertientes, derechos humanos, prevención de la corrupción y formación cívica y ética, pero solo desarrollaba dos.</w:t>
      </w:r>
    </w:p>
    <w:p>
      <w:pPr>
        <w:spacing w:after="160" w:line="276" w:lineRule="auto"/>
        <w:jc w:val="both"/>
      </w:pPr>
      <w:r>
        <w:rPr>
          <w:rFonts w:ascii="Noto Sans" w:hAnsi="Noto Sans"/>
          <w:b w:val="0"/>
          <w:i w:val="0"/>
          <w:sz w:val="21"/>
        </w:rPr>
        <w:t>El problema de fondo estaba en el verbo. La actividad terminaba pidiendo reflexionar, y reflexionar deja el ejercicio en el plano cognitivo. Sensibilizar supone algo más exigente: una toma de postura personal, una decisión que el estudiantado deba sostener. Además debe producir algo verificable. Un aviso de privacidad, una ficha de transparencia o un informe de accesibilidad funcionan como evidencia; reflexionar en grupo no deja rastro.</w:t>
      </w:r>
    </w:p>
    <w:p>
      <w:pPr>
        <w:spacing w:after="160" w:line="276" w:lineRule="auto"/>
        <w:jc w:val="both"/>
      </w:pPr>
      <w:r>
        <w:rPr>
          <w:rFonts w:ascii="Noto Sans" w:hAnsi="Noto Sans"/>
          <w:b w:val="0"/>
          <w:i w:val="0"/>
          <w:sz w:val="21"/>
        </w:rPr>
        <w:t>Conviene también anclar la actividad en normativa real, como la Ley Federal de Protección de Datos Personales en Posesión de los Particulares, las pautas WCAG 2.1 o la Ley General para la Inclusión de las Personas con Discapacidad, en lugar de apelar a principios generales.</w:t>
      </w:r>
    </w:p>
    <w:p>
      <w:pPr>
        <w:spacing w:after="160" w:line="276" w:lineRule="auto"/>
        <w:jc w:val="both"/>
      </w:pPr>
      <w:r>
        <w:rPr>
          <w:rFonts w:ascii="Noto Sans" w:hAnsi="Noto Sans"/>
          <w:b w:val="0"/>
          <w:i w:val="0"/>
          <w:sz w:val="21"/>
        </w:rPr>
        <w:t>La vertiente de corrupción exige cuidado particular. Si se enuncia, hay que tratarla: conflicto de interés, opacidad, rendición de cuentas. Cerrar con una frase sobre el fortalecimiento de instituciones transparentes, cuando el caso planteado es el de una empresa privada, construye un puente retórico que no resiste una lectura atenta.</w:t>
      </w:r>
    </w:p>
    <w:p>
      <w:pPr>
        <w:spacing w:after="160" w:line="276" w:lineRule="auto"/>
        <w:jc w:val="both"/>
      </w:pPr>
      <w:r>
        <w:rPr>
          <w:rFonts w:ascii="Noto Sans" w:hAnsi="Noto Sans"/>
          <w:b w:val="0"/>
          <w:i w:val="0"/>
          <w:sz w:val="21"/>
        </w:rPr>
        <w:t>Por último, el ejemplo de transversalidad debe cubrir los tres cortes y no solo el primero, y las aportaciones que atribuya a cada asignatura del componente fundamental tienen que corresponder a los propósitos formativos que la tabla efectivamente cita. Se halló un ejemplo que invocaba el razonamiento lógico de Pensamiento Matemático III cuando los propósitos citados tratan de álgebra y de ecuaciones.</w:t>
      </w:r>
    </w:p>
    <w:p>
      <w:pPr>
        <w:spacing w:before="320" w:after="140"/>
      </w:pPr>
      <w:r>
        <w:rPr>
          <w:rFonts w:ascii="Noto Sans" w:hAnsi="Noto Sans"/>
          <w:b/>
          <w:color w:val="1E5B4F"/>
          <w:sz w:val="26"/>
        </w:rPr>
        <w:t>7. Fuentes de información</w:t>
      </w:r>
    </w:p>
    <w:p>
      <w:pPr>
        <w:spacing w:after="160" w:line="276" w:lineRule="auto"/>
        <w:jc w:val="both"/>
      </w:pPr>
      <w:r>
        <w:rPr>
          <w:rFonts w:ascii="Noto Sans" w:hAnsi="Noto Sans"/>
          <w:b w:val="0"/>
          <w:i w:val="0"/>
          <w:sz w:val="21"/>
        </w:rPr>
        <w:t>De veintidós fuentes revisadas en los tres programas, solo tres estaban correctamente citadas. La mayoría de los defectos venía de los programas oficiales por UAC.</w:t>
      </w:r>
    </w:p>
    <w:tbl>
      <w:tblPr>
        <w:tblStyle w:val="TableGrid"/>
        <w:tblW w:type="auto" w:w="0"/>
        <w:jc w:val="center"/>
        <w:tblLook w:firstColumn="1" w:firstRow="1" w:lastColumn="0" w:lastRow="0" w:noHBand="0" w:noVBand="1" w:val="04A0"/>
      </w:tblPr>
      <w:tblGrid>
        <w:gridCol w:w="4646"/>
        <w:gridCol w:w="4646"/>
      </w:tblGrid>
      <w:tr>
        <w:tc>
          <w:tcPr>
            <w:tcW w:type="dxa" w:w="4646"/>
          </w:tcPr>
          <w:p>
            <w:r/>
            <w:r>
              <w:rPr>
                <w:rFonts w:ascii="Noto Sans" w:hAnsi="Noto Sans"/>
                <w:b/>
                <w:color w:val="1E5B4F"/>
                <w:sz w:val="18"/>
              </w:rPr>
              <w:t>Defecto</w:t>
            </w:r>
          </w:p>
        </w:tc>
        <w:tc>
          <w:tcPr>
            <w:tcW w:type="dxa" w:w="4646"/>
          </w:tcPr>
          <w:p>
            <w:r/>
            <w:r>
              <w:rPr>
                <w:rFonts w:ascii="Noto Sans" w:hAnsi="Noto Sans"/>
                <w:b/>
                <w:color w:val="1E5B4F"/>
                <w:sz w:val="18"/>
              </w:rPr>
              <w:t>Caso encontrado</w:t>
            </w:r>
          </w:p>
        </w:tc>
      </w:tr>
      <w:tr>
        <w:tc>
          <w:tcPr>
            <w:tcW w:type="dxa" w:w="4646"/>
          </w:tcPr>
          <w:p>
            <w:r/>
            <w:r>
              <w:rPr>
                <w:rFonts w:ascii="Noto Sans" w:hAnsi="Noto Sans"/>
                <w:sz w:val="18"/>
              </w:rPr>
              <w:t>El enlace conduce a otro contenido</w:t>
            </w:r>
          </w:p>
        </w:tc>
        <w:tc>
          <w:tcPr>
            <w:tcW w:type="dxa" w:w="4646"/>
          </w:tcPr>
          <w:p>
            <w:r/>
            <w:r>
              <w:rPr>
                <w:rFonts w:ascii="Noto Sans" w:hAnsi="Noto Sans"/>
                <w:sz w:val="18"/>
              </w:rPr>
              <w:t>Un video citado como La fórmula del prompt perfecto resolvía a un tema distinto</w:t>
            </w:r>
          </w:p>
        </w:tc>
      </w:tr>
      <w:tr>
        <w:tc>
          <w:tcPr>
            <w:tcW w:type="dxa" w:w="4646"/>
          </w:tcPr>
          <w:p>
            <w:r/>
            <w:r>
              <w:rPr>
                <w:rFonts w:ascii="Noto Sans" w:hAnsi="Noto Sans"/>
                <w:sz w:val="18"/>
              </w:rPr>
              <w:t>Autoría castellanizada</w:t>
            </w:r>
          </w:p>
        </w:tc>
        <w:tc>
          <w:tcPr>
            <w:tcW w:type="dxa" w:w="4646"/>
          </w:tcPr>
          <w:p>
            <w:r/>
            <w:r>
              <w:rPr>
                <w:rFonts w:ascii="Noto Sans" w:hAnsi="Noto Sans"/>
                <w:sz w:val="18"/>
              </w:rPr>
              <w:t>Martínez, J. en lugar de Martins, J., de Asana</w:t>
            </w:r>
          </w:p>
        </w:tc>
      </w:tr>
      <w:tr>
        <w:tc>
          <w:tcPr>
            <w:tcW w:type="dxa" w:w="4646"/>
          </w:tcPr>
          <w:p>
            <w:r/>
            <w:r>
              <w:rPr>
                <w:rFonts w:ascii="Noto Sans" w:hAnsi="Noto Sans"/>
                <w:sz w:val="18"/>
              </w:rPr>
              <w:t>Título y año alterados</w:t>
            </w:r>
          </w:p>
        </w:tc>
        <w:tc>
          <w:tcPr>
            <w:tcW w:type="dxa" w:w="4646"/>
          </w:tcPr>
          <w:p>
            <w:r/>
            <w:r>
              <w:rPr>
                <w:rFonts w:ascii="Noto Sans" w:hAnsi="Noto Sans"/>
                <w:sz w:val="18"/>
              </w:rPr>
              <w:t>La misma cita: 2025 por 2026, y el título cambiado</w:t>
            </w:r>
          </w:p>
        </w:tc>
      </w:tr>
      <w:tr>
        <w:tc>
          <w:tcPr>
            <w:tcW w:type="dxa" w:w="4646"/>
          </w:tcPr>
          <w:p>
            <w:r/>
            <w:r>
              <w:rPr>
                <w:rFonts w:ascii="Noto Sans" w:hAnsi="Noto Sans"/>
                <w:sz w:val="18"/>
              </w:rPr>
              <w:t>Página eliminada</w:t>
            </w:r>
          </w:p>
        </w:tc>
        <w:tc>
          <w:tcPr>
            <w:tcW w:type="dxa" w:w="4646"/>
          </w:tcPr>
          <w:p>
            <w:r/>
            <w:r>
              <w:rPr>
                <w:rFonts w:ascii="Noto Sans" w:hAnsi="Noto Sans"/>
                <w:sz w:val="18"/>
              </w:rPr>
              <w:t>Respuesta HTTP 410 Gone</w:t>
            </w:r>
          </w:p>
        </w:tc>
      </w:tr>
      <w:tr>
        <w:tc>
          <w:tcPr>
            <w:tcW w:type="dxa" w:w="4646"/>
          </w:tcPr>
          <w:p>
            <w:r/>
            <w:r>
              <w:rPr>
                <w:rFonts w:ascii="Noto Sans" w:hAnsi="Noto Sans"/>
                <w:sz w:val="18"/>
              </w:rPr>
              <w:t>Dominio migrado</w:t>
            </w:r>
          </w:p>
        </w:tc>
        <w:tc>
          <w:tcPr>
            <w:tcW w:type="dxa" w:w="4646"/>
          </w:tcPr>
          <w:p>
            <w:r/>
            <w:r>
              <w:rPr>
                <w:rFonts w:ascii="Noto Sans" w:hAnsi="Noto Sans"/>
                <w:sz w:val="18"/>
              </w:rPr>
              <w:t>Rock Content, Lucidchart y SocialGest cambiaron de host</w:t>
            </w:r>
          </w:p>
        </w:tc>
      </w:tr>
      <w:tr>
        <w:tc>
          <w:tcPr>
            <w:tcW w:type="dxa" w:w="4646"/>
          </w:tcPr>
          <w:p>
            <w:r/>
            <w:r>
              <w:rPr>
                <w:rFonts w:ascii="Noto Sans" w:hAnsi="Noto Sans"/>
                <w:sz w:val="18"/>
              </w:rPr>
              <w:t>Autor corporativo en lugar del personal</w:t>
            </w:r>
          </w:p>
        </w:tc>
        <w:tc>
          <w:tcPr>
            <w:tcW w:type="dxa" w:w="4646"/>
          </w:tcPr>
          <w:p>
            <w:r/>
            <w:r>
              <w:rPr>
                <w:rFonts w:ascii="Noto Sans" w:hAnsi="Noto Sans"/>
                <w:sz w:val="18"/>
              </w:rPr>
              <w:t>La empresa firmando lo que escribió una persona</w:t>
            </w:r>
          </w:p>
        </w:tc>
      </w:tr>
    </w:tbl>
    <w:p>
      <w:pPr>
        <w:spacing w:after="120"/>
      </w:pPr>
    </w:p>
    <w:p>
      <w:pPr>
        <w:spacing w:after="160" w:line="276" w:lineRule="auto"/>
        <w:jc w:val="both"/>
      </w:pPr>
      <w:r>
        <w:rPr>
          <w:rFonts w:ascii="Noto Sans" w:hAnsi="Noto Sans"/>
          <w:b w:val="0"/>
          <w:i w:val="0"/>
          <w:sz w:val="21"/>
        </w:rPr>
        <w:t>El procedimiento que dio resultado fue recuperar las referencias del programa por UAC de origen, que suele traer decenas ya avaladas por quienes lo elaboraron, y comprobar una por una su existencia, título, autoría y año. Lo que no se pudo verificar se retiró y se informó. Un error 403 no prueba que la fuente no exista, porque suele tratarse de un bloqueo automático, pero tampoco autoriza a firmar la cita.</w:t>
      </w:r>
    </w:p>
    <w:p>
      <w:pPr>
        <w:spacing w:after="160" w:line="276" w:lineRule="auto"/>
        <w:jc w:val="both"/>
      </w:pPr>
      <w:r>
        <w:rPr>
          <w:rFonts w:ascii="Noto Sans" w:hAnsi="Noto Sans"/>
          <w:b w:val="0"/>
          <w:i w:val="0"/>
          <w:sz w:val="21"/>
        </w:rPr>
        <w:t>La cantidad recomendada es de cinco a ocho referencias por corte, ordenadas alfabéticamente según APA 7.</w:t>
      </w:r>
    </w:p>
    <w:p>
      <w:pPr>
        <w:spacing w:before="320" w:after="140"/>
      </w:pPr>
      <w:r>
        <w:rPr>
          <w:rFonts w:ascii="Noto Sans" w:hAnsi="Noto Sans"/>
          <w:b/>
          <w:color w:val="1E5B4F"/>
          <w:sz w:val="26"/>
        </w:rPr>
        <w:t>8. Coherencia entre apartados y lenguaje incluyente</w:t>
      </w:r>
    </w:p>
    <w:p>
      <w:pPr>
        <w:spacing w:after="160" w:line="276" w:lineRule="auto"/>
        <w:jc w:val="both"/>
      </w:pPr>
      <w:r>
        <w:rPr>
          <w:rFonts w:ascii="Noto Sans" w:hAnsi="Noto Sans"/>
          <w:b w:val="0"/>
          <w:i w:val="0"/>
          <w:sz w:val="21"/>
        </w:rPr>
        <w:t>El número, el orden y la redacción literal de los desarrollos deben coincidir en cuatro lugares: el apartado 2.10, el 2.11, la transversalidad y la dosificación. Un programa presentaba dos desarrollos en el 2.10 y tres en el 2.11. En otro, una meta existía en el detalle pero faltaba en el esquema y en la dosificación, y era justamente la que daba sentido a la Trayectoria. Los desarrollos van numerados en el 2.11 y en la transversalidad.</w:t>
      </w:r>
    </w:p>
    <w:p>
      <w:pPr>
        <w:spacing w:after="160" w:line="276" w:lineRule="auto"/>
        <w:jc w:val="both"/>
      </w:pPr>
      <w:r>
        <w:rPr>
          <w:rFonts w:ascii="Noto Sans" w:hAnsi="Noto Sans"/>
          <w:b w:val="0"/>
          <w:i w:val="0"/>
          <w:sz w:val="21"/>
        </w:rPr>
        <w:t>La competencia laboral básica, en cambio, se conserva en su redacción. Es la única pieza intocable; todos los ajustes se hacen sobre los demás elementos.</w:t>
      </w:r>
    </w:p>
    <w:p>
      <w:pPr>
        <w:spacing w:after="160" w:line="276" w:lineRule="auto"/>
        <w:jc w:val="both"/>
      </w:pPr>
      <w:r>
        <w:rPr>
          <w:rFonts w:ascii="Noto Sans" w:hAnsi="Noto Sans"/>
          <w:b w:val="0"/>
          <w:i w:val="0"/>
          <w:sz w:val="21"/>
        </w:rPr>
        <w:t>Sobre el lenguaje, apareció masculino genérico en los roles de equipo y en las preguntas de debate: un líder de proyecto, cuatro diseñadores, los usuarios, un programador. Contrasta con las evidencias del mismo documento, que sí dicen las personas usuarias, de modo que al defecto se suma una incoherencia interna. Las formas empleadas en la corrección fueron una persona que lidera el proyecto, diseñadoras o diseñadores, las personas usuarias y quien programa.</w:t>
      </w:r>
    </w:p>
    <w:p>
      <w:pPr>
        <w:spacing w:before="320" w:after="140"/>
      </w:pPr>
      <w:r>
        <w:rPr>
          <w:rFonts w:ascii="Noto Sans" w:hAnsi="Noto Sans"/>
          <w:b/>
          <w:color w:val="1E5B4F"/>
          <w:sz w:val="26"/>
        </w:rPr>
        <w:t>9. Verificación antes de entregar</w:t>
      </w:r>
    </w:p>
    <w:p>
      <w:pPr>
        <w:spacing w:after="160" w:line="276" w:lineRule="auto"/>
        <w:jc w:val="both"/>
      </w:pPr>
      <w:r>
        <w:rPr>
          <w:rFonts w:ascii="Noto Sans" w:hAnsi="Noto Sans"/>
          <w:b w:val="0"/>
          <w:i w:val="0"/>
          <w:sz w:val="21"/>
        </w:rPr>
        <w:t>Los catorce puntos siguientes resumen lo anterior en forma de control. Sirven para revisar un programa migrado antes de enviarlo a validación.</w:t>
      </w:r>
    </w:p>
    <w:p>
      <w:pPr>
        <w:pStyle w:val="ListNumber"/>
        <w:spacing w:after="80"/>
        <w:jc w:val="both"/>
      </w:pPr>
      <w:r>
        <w:rPr>
          <w:rFonts w:ascii="Noto Sans" w:hAnsi="Noto Sans"/>
          <w:sz w:val="21"/>
        </w:rPr>
        <w:t>Los cortes suman 64 horas y 16 semanas.</w:t>
      </w:r>
    </w:p>
    <w:p>
      <w:pPr>
        <w:pStyle w:val="ListNumber"/>
        <w:spacing w:after="80"/>
        <w:jc w:val="both"/>
      </w:pPr>
      <w:r>
        <w:rPr>
          <w:rFonts w:ascii="Noto Sans" w:hAnsi="Noto Sans"/>
          <w:sz w:val="21"/>
        </w:rPr>
        <w:t>El número, el orden y la redacción de los desarrollos coinciden en los apartados 2.10 y 2.11, en la transversalidad y en la dosificación.</w:t>
      </w:r>
    </w:p>
    <w:p>
      <w:pPr>
        <w:pStyle w:val="ListNumber"/>
        <w:spacing w:after="80"/>
        <w:jc w:val="both"/>
      </w:pPr>
      <w:r>
        <w:rPr>
          <w:rFonts w:ascii="Noto Sans" w:hAnsi="Noto Sans"/>
          <w:sz w:val="21"/>
        </w:rPr>
        <w:t>Cada producto tiene su desempeño espejo, y ambos cuentan con criterios propios.</w:t>
      </w:r>
    </w:p>
    <w:p>
      <w:pPr>
        <w:pStyle w:val="ListNumber"/>
        <w:spacing w:after="80"/>
        <w:jc w:val="both"/>
      </w:pPr>
      <w:r>
        <w:rPr>
          <w:rFonts w:ascii="Noto Sans" w:hAnsi="Noto Sans"/>
          <w:sz w:val="21"/>
        </w:rPr>
        <w:t>Hay un solo instrumento por columna, y son los mismos que sugiere la estrategia didáctica.</w:t>
      </w:r>
    </w:p>
    <w:p>
      <w:pPr>
        <w:pStyle w:val="ListNumber"/>
        <w:spacing w:after="80"/>
        <w:jc w:val="both"/>
      </w:pPr>
      <w:r>
        <w:rPr>
          <w:rFonts w:ascii="Noto Sans" w:hAnsi="Noto Sans"/>
          <w:sz w:val="21"/>
        </w:rPr>
        <w:t>Los conocimientos están redactados sin verbos.</w:t>
      </w:r>
    </w:p>
    <w:p>
      <w:pPr>
        <w:pStyle w:val="ListNumber"/>
        <w:spacing w:after="80"/>
        <w:jc w:val="both"/>
      </w:pPr>
      <w:r>
        <w:rPr>
          <w:rFonts w:ascii="Noto Sans" w:hAnsi="Noto Sans"/>
          <w:sz w:val="21"/>
        </w:rPr>
        <w:t>Los tres cortes tienen actividades y prácticas, con una duración que cabe en su carga.</w:t>
      </w:r>
    </w:p>
    <w:p>
      <w:pPr>
        <w:pStyle w:val="ListNumber"/>
        <w:spacing w:after="80"/>
        <w:jc w:val="both"/>
      </w:pPr>
      <w:r>
        <w:rPr>
          <w:rFonts w:ascii="Noto Sans" w:hAnsi="Noto Sans"/>
          <w:sz w:val="21"/>
        </w:rPr>
        <w:t>La evaluación diagnóstica y el nombre de la Trayectoria corresponden a esta asignatura.</w:t>
      </w:r>
    </w:p>
    <w:p>
      <w:pPr>
        <w:pStyle w:val="ListNumber"/>
        <w:spacing w:after="80"/>
        <w:jc w:val="both"/>
      </w:pPr>
      <w:r>
        <w:rPr>
          <w:rFonts w:ascii="Noto Sans" w:hAnsi="Noto Sans"/>
          <w:sz w:val="21"/>
        </w:rPr>
        <w:t>Las semanas marcadas con evaluación sumativa coinciden con el cierre de cada corte.</w:t>
      </w:r>
    </w:p>
    <w:p>
      <w:pPr>
        <w:pStyle w:val="ListNumber"/>
        <w:spacing w:after="80"/>
        <w:jc w:val="both"/>
      </w:pPr>
      <w:r>
        <w:rPr>
          <w:rFonts w:ascii="Noto Sans" w:hAnsi="Noto Sans"/>
          <w:sz w:val="21"/>
        </w:rPr>
        <w:t>Cada fuente fue verificada contra su dirección electrónica.</w:t>
      </w:r>
    </w:p>
    <w:p>
      <w:pPr>
        <w:pStyle w:val="ListNumber"/>
        <w:spacing w:after="80"/>
        <w:jc w:val="both"/>
      </w:pPr>
      <w:r>
        <w:rPr>
          <w:rFonts w:ascii="Noto Sans" w:hAnsi="Noto Sans"/>
          <w:sz w:val="21"/>
        </w:rPr>
        <w:t>Las habilidades nombradas en la prosa existen en el catálogo y están marcadas en la matriz.</w:t>
      </w:r>
    </w:p>
    <w:p>
      <w:pPr>
        <w:pStyle w:val="ListNumber"/>
        <w:spacing w:after="80"/>
        <w:jc w:val="both"/>
      </w:pPr>
      <w:r>
        <w:rPr>
          <w:rFonts w:ascii="Noto Sans" w:hAnsi="Noto Sans"/>
          <w:sz w:val="21"/>
        </w:rPr>
        <w:t xml:space="preserve">No queda vocabulario del Plan 2023.</w:t>
      </w:r>
    </w:p>
    <w:p>
      <w:pPr>
        <w:pStyle w:val="ListNumber"/>
        <w:spacing w:after="80"/>
        <w:jc w:val="both"/>
      </w:pPr>
      <w:r>
        <w:rPr>
          <w:rFonts w:ascii="Noto Sans" w:hAnsi="Noto Sans"/>
          <w:sz w:val="21"/>
        </w:rPr>
        <w:t>No quedan residuos de la asignatura de origen, con atención especial a los roles de equipo.</w:t>
      </w:r>
    </w:p>
    <w:p>
      <w:pPr>
        <w:pStyle w:val="ListNumber"/>
        <w:spacing w:after="80"/>
        <w:jc w:val="both"/>
      </w:pPr>
      <w:r>
        <w:rPr>
          <w:rFonts w:ascii="Noto Sans" w:hAnsi="Noto Sans"/>
          <w:sz w:val="21"/>
        </w:rPr>
        <w:t>La actividad de derechos humanos sensibiliza, produce evidencia y cita normativa real.</w:t>
      </w:r>
    </w:p>
    <w:p>
      <w:pPr>
        <w:pStyle w:val="ListNumber"/>
        <w:spacing w:after="80"/>
        <w:jc w:val="both"/>
      </w:pPr>
      <w:r>
        <w:rPr>
          <w:rFonts w:ascii="Noto Sans" w:hAnsi="Noto Sans"/>
          <w:sz w:val="21"/>
        </w:rPr>
        <w:t>Se aplicó lenguaje incluyente y no sexista en todo el documento.</w:t>
      </w:r>
    </w:p>
    <w:p>
      <w:pPr>
        <w:spacing w:before="320" w:after="140"/>
      </w:pPr>
      <w:r>
        <w:rPr>
          <w:rFonts w:ascii="Noto Sans" w:hAnsi="Noto Sans"/>
          <w:b/>
          <w:color w:val="1E5B4F"/>
          <w:sz w:val="26"/>
        </w:rPr>
        <w:t>Nota sobre los tres programas revisados</w:t>
      </w:r>
    </w:p>
    <w:p>
      <w:pPr>
        <w:spacing w:after="160" w:line="276" w:lineRule="auto"/>
        <w:jc w:val="both"/>
      </w:pPr>
      <w:r>
        <w:rPr>
          <w:rFonts w:ascii="Noto Sans" w:hAnsi="Noto Sans"/>
          <w:b w:val="0"/>
          <w:i w:val="0"/>
          <w:sz w:val="21"/>
        </w:rPr>
        <w:t>Los tres quedaron sin hallazgos en la verificación final, con una excepción deliberada. En Fundamentos de la programación con IA se conservaron sin aplicar los ajustes relativos a los instrumentos sugeridos y a las duplicaciones de la fase de apertura, por decisión de quien coordina el trabajo. Los otros dos programas sí los incorporan. La diferencia entre documentos es intencional y no debe leerse como inconsistencia.</w:t>
      </w:r>
    </w:p>
    <w:sectPr w:rsidR="00FC693F" w:rsidRPr="0006063C" w:rsidSect="00034616">
      <w:pgSz w:w="12240" w:h="15840"/>
      <w:pgMar w:top="1440" w:right="1474" w:bottom="144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