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1150" w:rsidRPr="001C4407" w:rsidRDefault="00AF2D23" w:rsidP="001C4407">
      <w:pPr>
        <w:pStyle w:val="Title"/>
        <w:spacing w:after="120"/>
        <w:jc w:val="center"/>
      </w:pPr>
      <w:r w:rsidRPr="00AF2D23">
        <w:rPr>
          <w:rFonts w:eastAsia="Times New Roman"/>
        </w:rPr>
        <w:t>A falsification-aware demand-polarity map for seismic soil-structure interaction: when flexible foundations reduce force but increase displacement demand</w:t>
      </w:r>
    </w:p>
    <w:p w:rsidR="00E010A7" w:rsidRDefault="00E010A7" w:rsidP="001625B9">
      <w:pPr>
        <w:spacing w:after="120"/>
        <w:jc w:val="center"/>
        <w:rPr>
          <w:lang w:val="es-PA"/>
        </w:rPr>
      </w:pPr>
      <w:r>
        <w:rPr>
          <w:lang w:val="es-PA"/>
        </w:rPr>
        <w:t xml:space="preserve">Gabriel </w:t>
      </w:r>
      <w:r w:rsidR="005C700E">
        <w:rPr>
          <w:lang w:val="es-PA"/>
        </w:rPr>
        <w:t xml:space="preserve">Jesús </w:t>
      </w:r>
      <w:proofErr w:type="spellStart"/>
      <w:r w:rsidR="005C700E">
        <w:rPr>
          <w:lang w:val="es-PA"/>
        </w:rPr>
        <w:t>Montú</w:t>
      </w:r>
      <w:r>
        <w:rPr>
          <w:lang w:val="es-PA"/>
        </w:rPr>
        <w:t>far</w:t>
      </w:r>
      <w:proofErr w:type="spellEnd"/>
      <w:r w:rsidR="005C700E">
        <w:rPr>
          <w:lang w:val="es-PA"/>
        </w:rPr>
        <w:t xml:space="preserve"> Chiriboga</w:t>
      </w:r>
    </w:p>
    <w:p w:rsidR="00755DF9" w:rsidRPr="001D6813" w:rsidRDefault="005C700E" w:rsidP="001625B9">
      <w:pPr>
        <w:spacing w:after="120"/>
        <w:jc w:val="center"/>
        <w:rPr>
          <w:lang w:val="es-PA"/>
        </w:rPr>
      </w:pPr>
      <w:r>
        <w:rPr>
          <w:lang w:val="es-PA"/>
        </w:rPr>
        <w:t>Universidad de Panamá</w:t>
      </w:r>
      <w:r w:rsidR="00755DF9" w:rsidRPr="001D6813">
        <w:rPr>
          <w:lang w:val="es-PA"/>
        </w:rPr>
        <w:t xml:space="preserve">, </w:t>
      </w:r>
      <w:proofErr w:type="spellStart"/>
      <w:r w:rsidR="00755DF9" w:rsidRPr="001D6813">
        <w:rPr>
          <w:lang w:val="es-PA"/>
        </w:rPr>
        <w:t>Panama</w:t>
      </w:r>
      <w:proofErr w:type="spellEnd"/>
      <w:r w:rsidR="00755DF9" w:rsidRPr="001D6813">
        <w:rPr>
          <w:lang w:val="es-PA"/>
        </w:rPr>
        <w:t xml:space="preserve"> City, </w:t>
      </w:r>
      <w:proofErr w:type="spellStart"/>
      <w:r w:rsidR="00755DF9" w:rsidRPr="001D6813">
        <w:rPr>
          <w:lang w:val="es-PA"/>
        </w:rPr>
        <w:t>Panama</w:t>
      </w:r>
      <w:proofErr w:type="spellEnd"/>
      <w:r w:rsidR="00D3410C">
        <w:rPr>
          <w:lang w:val="es-PA"/>
        </w:rPr>
        <w:t xml:space="preserve">, </w:t>
      </w:r>
      <w:proofErr w:type="spellStart"/>
      <w:r w:rsidR="00D3410C">
        <w:rPr>
          <w:lang w:val="es-PA"/>
        </w:rPr>
        <w:t>Department</w:t>
      </w:r>
      <w:proofErr w:type="spellEnd"/>
      <w:r w:rsidR="00D3410C">
        <w:rPr>
          <w:lang w:val="es-PA"/>
        </w:rPr>
        <w:t xml:space="preserve"> of Civil </w:t>
      </w:r>
      <w:proofErr w:type="spellStart"/>
      <w:r w:rsidR="00D3410C">
        <w:rPr>
          <w:lang w:val="es-PA"/>
        </w:rPr>
        <w:t>Enginee</w:t>
      </w:r>
      <w:r>
        <w:rPr>
          <w:lang w:val="es-PA"/>
        </w:rPr>
        <w:t>ring</w:t>
      </w:r>
      <w:proofErr w:type="spellEnd"/>
    </w:p>
    <w:p w:rsidR="00755DF9" w:rsidRPr="001625B9" w:rsidRDefault="00755DF9" w:rsidP="001625B9">
      <w:pPr>
        <w:jc w:val="both"/>
      </w:pPr>
      <w:r>
        <w:t>Corresponding author: gabriel.montufar@up.ac.</w:t>
      </w:r>
      <w:bookmarkStart w:id="0" w:name="_GoBack"/>
      <w:bookmarkEnd w:id="0"/>
      <w:r>
        <w:t xml:space="preserve">pa | ORCID: </w:t>
      </w:r>
      <w:hyperlink r:id="rId5">
        <w:r>
          <w:rPr>
            <w:color w:val="0563C1"/>
            <w:u w:val="single"/>
          </w:rPr>
          <w:t>https://orcid.org/0000-0003-3392-3728</w:t>
        </w:r>
      </w:hyperlink>
    </w:p>
    <w:p w:rsidR="00755DF9" w:rsidRPr="001625B9" w:rsidRDefault="00755DF9" w:rsidP="002A1247">
      <w:pPr>
        <w:pStyle w:val="Heading1"/>
      </w:pPr>
      <w:r w:rsidRPr="001625B9">
        <w:t>Abstract</w:t>
      </w:r>
    </w:p>
    <w:p w:rsidR="00E01150" w:rsidRDefault="00E01150" w:rsidP="00340CFE">
      <w:pPr>
        <w:rPr>
          <w:b/>
          <w:bCs/>
        </w:rPr>
      </w:pPr>
      <w:r>
        <w:t xml:space="preserve">Soil-structure interaction (SSI) can reduce seismic force demand through period lengthening while increasing displacement, rocking, settlement or drift demand. This paper derives an SSI Demand-Polarity Map for flexible foundations, linking foundation flexibility, secant spectral slope and total-displacement demand through closed-form boundaries. The method is an upstream screening layer, not a substitute for nonlinear three-dimensional SSI analysis. Verification combines identity checks, spectral consistency checks and synthetic stress tests. Claim-bounded validation using </w:t>
      </w:r>
      <w:proofErr w:type="spellStart"/>
      <w:r>
        <w:t>FoRDy</w:t>
      </w:r>
      <w:proofErr w:type="spellEnd"/>
      <w:r>
        <w:t>/</w:t>
      </w:r>
      <w:proofErr w:type="spellStart"/>
      <w:r>
        <w:t>FoRCy</w:t>
      </w:r>
      <w:proofErr w:type="spellEnd"/>
      <w:r>
        <w:t>, independent proxy screening, FLIQ and Garner Valley evidence supports conservative pre-analysis use of the map.</w:t>
      </w:r>
    </w:p>
    <w:p w:rsidR="00755DF9" w:rsidRPr="001625B9" w:rsidRDefault="00755DF9" w:rsidP="002A1247">
      <w:pPr>
        <w:pStyle w:val="Heading1"/>
      </w:pPr>
      <w:r w:rsidRPr="001625B9">
        <w:t>Keywords</w:t>
      </w:r>
    </w:p>
    <w:p w:rsidR="00E01150" w:rsidRDefault="00E01150" w:rsidP="00340CFE">
      <w:pPr>
        <w:rPr>
          <w:b/>
          <w:bCs/>
        </w:rPr>
      </w:pPr>
      <w:proofErr w:type="gramStart"/>
      <w:r>
        <w:t>soil-structure</w:t>
      </w:r>
      <w:proofErr w:type="gramEnd"/>
      <w:r>
        <w:t xml:space="preserve"> interaction; SSI Demand-Polarity Map; flexible foundations; earthquake engineering; seismic force demand; displacement demand</w:t>
      </w:r>
    </w:p>
    <w:p w:rsidR="00755DF9" w:rsidRPr="001625B9" w:rsidRDefault="00755DF9" w:rsidP="002A1247">
      <w:pPr>
        <w:pStyle w:val="Heading1"/>
      </w:pPr>
      <w:r w:rsidRPr="001625B9">
        <w:t>1 Introduction</w:t>
      </w:r>
    </w:p>
    <w:p w:rsidR="00755DF9" w:rsidRPr="001625B9" w:rsidRDefault="00755DF9" w:rsidP="001625B9">
      <w:pPr>
        <w:spacing w:after="120"/>
        <w:jc w:val="both"/>
      </w:pPr>
      <w:r>
        <w:t xml:space="preserve">Soil-structure interaction (SSI) </w:t>
      </w:r>
      <w:proofErr w:type="gramStart"/>
      <w:r>
        <w:t>is often simplified</w:t>
      </w:r>
      <w:proofErr w:type="gramEnd"/>
      <w:r>
        <w:t xml:space="preserve"> as a beneficial mechanism because foundation flexibility elongates the fundamental period of the structure, a mechanism recognized since early building-soil interaction studies (Jennings and </w:t>
      </w:r>
      <w:proofErr w:type="spellStart"/>
      <w:r>
        <w:t>Bielak</w:t>
      </w:r>
      <w:proofErr w:type="spellEnd"/>
      <w:r>
        <w:t xml:space="preserve">, 1973; </w:t>
      </w:r>
      <w:proofErr w:type="spellStart"/>
      <w:r>
        <w:t>Veletsos</w:t>
      </w:r>
      <w:proofErr w:type="spellEnd"/>
      <w:r>
        <w:t xml:space="preserve"> and Meek, 1974; </w:t>
      </w:r>
      <w:proofErr w:type="spellStart"/>
      <w:r>
        <w:t>Veletsos</w:t>
      </w:r>
      <w:proofErr w:type="spellEnd"/>
      <w:r>
        <w:t xml:space="preserve"> and Nair, 1975; Wolf, 1985). That interpretation is not generally valid. Depending on the spectral region, the amount of soil damping, kinematic filtering and the magnitude of foundation translation and rocking, SSI may reduce base shear while simultaneously increasing total displacement demand (</w:t>
      </w:r>
      <w:proofErr w:type="spellStart"/>
      <w:r>
        <w:t>Gazetas</w:t>
      </w:r>
      <w:proofErr w:type="spellEnd"/>
      <w:r>
        <w:t xml:space="preserve">, 1991; </w:t>
      </w:r>
      <w:proofErr w:type="spellStart"/>
      <w:r>
        <w:t>Mylonakis</w:t>
      </w:r>
      <w:proofErr w:type="spellEnd"/>
      <w:r>
        <w:t xml:space="preserve"> and </w:t>
      </w:r>
      <w:proofErr w:type="spellStart"/>
      <w:r>
        <w:t>Gazetas</w:t>
      </w:r>
      <w:proofErr w:type="spellEnd"/>
      <w:r>
        <w:t xml:space="preserve">, </w:t>
      </w:r>
      <w:r>
        <w:lastRenderedPageBreak/>
        <w:t>2000; Stewart et al., 2003). For earthquake engineering practice, this ambiguity creates a decision problem: fixed-base modelling may be conservative for force demand but non-conservative for displacement-sensitive performance measures (FEMA, 2005; NIST, 2012; FEMA, 2020). Additional SSI and foundation-flexibility formulations also show how impedance, embedment and compliance assumptions condition this interpretation (</w:t>
      </w:r>
      <w:proofErr w:type="spellStart"/>
      <w:r>
        <w:t>Richart</w:t>
      </w:r>
      <w:proofErr w:type="spellEnd"/>
      <w:r>
        <w:t xml:space="preserve"> et al., 1970; Novak and </w:t>
      </w:r>
      <w:proofErr w:type="spellStart"/>
      <w:r>
        <w:t>Beredugo</w:t>
      </w:r>
      <w:proofErr w:type="spellEnd"/>
      <w:r>
        <w:t xml:space="preserve">, 1972; </w:t>
      </w:r>
      <w:proofErr w:type="spellStart"/>
      <w:r>
        <w:t>Roesset</w:t>
      </w:r>
      <w:proofErr w:type="spellEnd"/>
      <w:r>
        <w:t>, 1980).</w:t>
      </w:r>
    </w:p>
    <w:p w:rsidR="00755DF9" w:rsidRPr="001625B9" w:rsidRDefault="00755DF9" w:rsidP="001625B9">
      <w:pPr>
        <w:spacing w:after="120"/>
        <w:jc w:val="both"/>
      </w:pPr>
      <w:r>
        <w:t xml:space="preserve">The objective of this article is to formulate a compact SSI Demand-Polarity Map for identifying when foundation flexibility may reduce force demand while increasing total displacement demand. The novelty is not the observation that SSI may be beneficial or detrimental, which has been widely discussed. The novelty is the derivation of closed-form demand-polarity boundaries from explicitly stated admissibility conditions, a foundation-compliance definition of the flexibility index, and an exact secant-slope spectral representation. The map </w:t>
      </w:r>
      <w:proofErr w:type="gramStart"/>
      <w:r>
        <w:t>is intended</w:t>
      </w:r>
      <w:proofErr w:type="gramEnd"/>
      <w:r>
        <w:t xml:space="preserve"> for preliminary earthquake-engineering assessment and parametric interpretation, not as a substitute for detailed nonlinear SSI analysis, finite-element modelling, time-history analysis, or site-specific design verification.</w:t>
      </w:r>
    </w:p>
    <w:p w:rsidR="00B530E8" w:rsidRDefault="00E6320B">
      <w:pPr>
        <w:jc w:val="both"/>
      </w:pPr>
      <w:r>
        <w:t xml:space="preserve">The proposed framework </w:t>
      </w:r>
      <w:proofErr w:type="gramStart"/>
      <w:r>
        <w:t>is designed</w:t>
      </w:r>
      <w:proofErr w:type="gramEnd"/>
      <w:r>
        <w:t xml:space="preserve"> as an upstream predictive screening layer rather than a replacement for nonlinear three-dimensional SSI analysis. It predicts force-displacement demand-polarity classes from pre-response descriptors and spectral quantities, enabling cases with potentially misleading fixed-base assumptions to </w:t>
      </w:r>
      <w:proofErr w:type="gramStart"/>
      <w:r>
        <w:t>be flagged</w:t>
      </w:r>
      <w:proofErr w:type="gramEnd"/>
      <w:r>
        <w:t xml:space="preserve"> before detailed SSI </w:t>
      </w:r>
      <w:proofErr w:type="spellStart"/>
      <w:r>
        <w:t>modeling</w:t>
      </w:r>
      <w:proofErr w:type="spellEnd"/>
      <w:r>
        <w:t xml:space="preserve"> is undertaken.</w:t>
      </w:r>
    </w:p>
    <w:p w:rsidR="00AF2D23" w:rsidRDefault="00AF2D23"/>
    <w:p w:rsidR="003C1264" w:rsidRDefault="003C1264" w:rsidP="003C1264">
      <w:pPr>
        <w:pStyle w:val="Heading2"/>
      </w:pPr>
      <w:r>
        <w:t>1.3 Scientific gap and research question</w:t>
      </w:r>
    </w:p>
    <w:p w:rsidR="003C1264" w:rsidRDefault="003C1264" w:rsidP="003C1264">
      <w:pPr>
        <w:jc w:val="both"/>
      </w:pPr>
      <w:r>
        <w:t xml:space="preserve">Current SSI procedures and studies provide methods for estimating period lengthening, foundation damping, impedance functions, kinematic interaction and detailed numerical response. However, they do not directly answer a screening-level decision question: when does apparent seismic force reduction caused by flexible-foundation period lengthening coexist with increased total displacement, rocking, settlement or drift demand? This decision gap matters because interpreting SSI only through force reduction can produce false-safe decisions in preliminary design. The present study addresses this gap by deriving and </w:t>
      </w:r>
      <w:r>
        <w:lastRenderedPageBreak/>
        <w:t>experimentally auditing a closed-form demand-polarity map that separates force-beneficial, mixed and detrimental SSI regimes.</w:t>
      </w:r>
    </w:p>
    <w:p w:rsidR="003C1264" w:rsidRDefault="003C1264" w:rsidP="003C1264">
      <w:pPr>
        <w:jc w:val="both"/>
      </w:pPr>
      <w:r>
        <w:t xml:space="preserve">The unresolved issue is not whether SSI can be beneficial or detrimental; this is well established. The unresolved screening problem is how to determine, before detailed </w:t>
      </w:r>
      <w:proofErr w:type="spellStart"/>
      <w:r>
        <w:t>modeling</w:t>
      </w:r>
      <w:proofErr w:type="spellEnd"/>
      <w:r>
        <w:t xml:space="preserve">, whether a force-reducing SSI shift </w:t>
      </w:r>
      <w:proofErr w:type="gramStart"/>
      <w:r>
        <w:t>should be treated</w:t>
      </w:r>
      <w:proofErr w:type="gramEnd"/>
      <w:r>
        <w:t xml:space="preserve"> as safe, mixed or displacement-critical. The research question is therefore: can a closed-form SSI demand-polarity criterion predict, at screening level, when force reduction is likely to coexist with displacement, rocking or settlement penalty while maintaining a low false-safe rate across experimental rocking-foundation databases?</w:t>
      </w:r>
    </w:p>
    <w:p w:rsidR="003C1264" w:rsidRDefault="003C1264" w:rsidP="003C1264">
      <w:pPr>
        <w:jc w:val="both"/>
      </w:pPr>
      <w:r>
        <w:t xml:space="preserve">The paper targets the screening decision level and </w:t>
      </w:r>
      <w:proofErr w:type="gramStart"/>
      <w:r>
        <w:t>is not intended</w:t>
      </w:r>
      <w:proofErr w:type="gramEnd"/>
      <w:r>
        <w:t xml:space="preserve"> to replace detailed nonlinear SSI response-history analysis.</w:t>
      </w:r>
    </w:p>
    <w:p w:rsidR="003C1264" w:rsidRDefault="003C1264" w:rsidP="00C07FCD">
      <w:pPr>
        <w:jc w:val="both"/>
      </w:pPr>
      <w:r>
        <w:t xml:space="preserve">For earthquake-engineering readers, the contribution </w:t>
      </w:r>
      <w:proofErr w:type="gramStart"/>
      <w:r>
        <w:t>is positioned</w:t>
      </w:r>
      <w:proofErr w:type="gramEnd"/>
      <w:r>
        <w:t xml:space="preserve"> at the intersection of analytical SSI, soil dynamics and foundations, dynamic soil-structure interaction, seismic response of buildings and field-benchmark traceability. In this framing, the map is a pre-analysis decision gate: it flags when apparent base-shear relief </w:t>
      </w:r>
      <w:proofErr w:type="gramStart"/>
      <w:r>
        <w:t>should be escalated</w:t>
      </w:r>
      <w:proofErr w:type="gramEnd"/>
      <w:r>
        <w:t xml:space="preserve"> because displacement, rocking, settlement or spectral-shift risk may still control performance. This framing is also consistent with code and guidance documents that require SSI effects to be interpreted through demand, drift, deformation and foundation-performance checks rather than force reduction alone (ASCE/SEI, 2022; CEN, 2004; FEMA, 2005; FEMA, 2020; NIST, 2012), and it is anchored to public benchmark resources such as NEES@UCSB (</w:t>
      </w:r>
      <w:proofErr w:type="spellStart"/>
      <w:r>
        <w:t>n.d.</w:t>
      </w:r>
      <w:proofErr w:type="spellEnd"/>
      <w:r>
        <w:t>). Figure 1 makes the decision-level gap explicit before the mathematical development.</w:t>
      </w:r>
    </w:p>
    <w:p w:rsidR="009C1914" w:rsidRDefault="001D6813">
      <w:pPr>
        <w:jc w:val="center"/>
      </w:pPr>
      <w:r>
        <w:rPr>
          <w:noProof/>
          <w:lang w:val="es-PA" w:eastAsia="es-PA"/>
        </w:rPr>
        <w:lastRenderedPageBreak/>
        <w:drawing>
          <wp:inline distT="0" distB="0" distL="0" distR="0">
            <wp:extent cx="5852160" cy="36521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852160" cy="3652114"/>
                    </a:xfrm>
                    <a:prstGeom prst="rect">
                      <a:avLst/>
                    </a:prstGeom>
                  </pic:spPr>
                </pic:pic>
              </a:graphicData>
            </a:graphic>
          </wp:inline>
        </w:drawing>
      </w:r>
    </w:p>
    <w:p w:rsidR="003C1264" w:rsidRDefault="00CB57E0" w:rsidP="000F4662">
      <w:pPr>
        <w:keepNext/>
        <w:jc w:val="center"/>
        <w:rPr>
          <w:b/>
          <w:bCs/>
        </w:rPr>
      </w:pPr>
      <w:r>
        <w:t>Figure 1. Screening gap addressed by the SSI Demand-Polarity Map.</w:t>
      </w:r>
    </w:p>
    <w:p w:rsidR="000F4662" w:rsidRPr="001D6813" w:rsidRDefault="000F4662" w:rsidP="001625B9">
      <w:pPr>
        <w:spacing w:after="120"/>
        <w:jc w:val="both"/>
        <w:rPr>
          <w:rFonts w:cs="Arial"/>
          <w:b/>
          <w:bCs/>
          <w:noProof/>
          <w:kern w:val="32"/>
          <w:szCs w:val="32"/>
          <w:lang w:val="en-US" w:eastAsia="es-PA"/>
        </w:rPr>
      </w:pPr>
      <w:r w:rsidRPr="001D6813">
        <w:rPr>
          <w:rFonts w:cs="Arial"/>
          <w:b/>
          <w:bCs/>
          <w:noProof/>
          <w:kern w:val="32"/>
          <w:szCs w:val="32"/>
          <w:lang w:val="en-US" w:eastAsia="es-PA"/>
        </w:rPr>
        <w:t>2 Knowledge Gap and Contribution</w:t>
      </w:r>
    </w:p>
    <w:p w:rsidR="003C1264" w:rsidRDefault="003C1264" w:rsidP="00CB57E0">
      <w:pPr>
        <w:jc w:val="both"/>
      </w:pPr>
      <w:r>
        <w:t xml:space="preserve">The practical gap addressed here is not the observation that SSI can be beneficial or detrimental; that point is already established. The gap is a decision-level screening layer between design guidance, detailed simulations and experimental evidence: existing SSI guidance and high-fidelity models address period lengthening, foundation damping, impedance, rocking and response modification, but they do not provide a closed-form, experimentally audited demand-polarity map that separates force reduction from displacement, rocking or settlement penalty before detailed SSI </w:t>
      </w:r>
      <w:proofErr w:type="spellStart"/>
      <w:r>
        <w:t>modeling</w:t>
      </w:r>
      <w:proofErr w:type="spellEnd"/>
      <w:r>
        <w:t>.</w:t>
      </w:r>
    </w:p>
    <w:p w:rsidR="003C1264" w:rsidRDefault="003C1264" w:rsidP="001625B9">
      <w:pPr>
        <w:spacing w:before="80" w:after="120"/>
        <w:jc w:val="both"/>
      </w:pPr>
      <w:r>
        <w:t xml:space="preserve">Tables 1 and 2 summarize the literature positioning and gap audit. The article makes four gap-driven earthquake-engineering contributions: (1) a closed-form demand-polarity boundary separating force reduction and total displacement amplification; (2) a spectral-shape interpretation of the mixed regime through the secant-slope window; (3) margin, robustness and false-safe metrics for conservative screening; </w:t>
      </w:r>
      <w:r>
        <w:lastRenderedPageBreak/>
        <w:t xml:space="preserve">and (4) a claim-bounded experimental audit using </w:t>
      </w:r>
      <w:proofErr w:type="spellStart"/>
      <w:r>
        <w:t>FoRDy</w:t>
      </w:r>
      <w:proofErr w:type="spellEnd"/>
      <w:r>
        <w:t>/</w:t>
      </w:r>
      <w:proofErr w:type="spellStart"/>
      <w:r>
        <w:t>FoRCy</w:t>
      </w:r>
      <w:proofErr w:type="spellEnd"/>
      <w:r>
        <w:t>, FLIQ and Garner as distinct positive, external and falsification layers.</w:t>
      </w:r>
    </w:p>
    <w:p w:rsidR="005F2B6C" w:rsidRPr="00AF2D23" w:rsidRDefault="002066B3" w:rsidP="001625B9">
      <w:pPr>
        <w:keepNext/>
        <w:spacing w:before="80" w:after="120"/>
        <w:jc w:val="center"/>
        <w:rPr>
          <w:sz w:val="20"/>
        </w:rPr>
      </w:pPr>
      <w:r w:rsidRPr="00AF2D23">
        <w:t>Table 1. Recent SSI evidence used to delimit the novelty claim.</w:t>
      </w:r>
    </w:p>
    <w:tbl>
      <w:tblPr>
        <w:tblStyle w:val="PlainTable2"/>
        <w:tblW w:w="5000" w:type="pct"/>
        <w:jc w:val="center"/>
        <w:tblLook w:val="0420" w:firstRow="1" w:lastRow="0" w:firstColumn="0" w:lastColumn="0" w:noHBand="0" w:noVBand="1"/>
      </w:tblPr>
      <w:tblGrid>
        <w:gridCol w:w="2340"/>
        <w:gridCol w:w="2340"/>
        <w:gridCol w:w="2340"/>
        <w:gridCol w:w="2340"/>
      </w:tblGrid>
      <w:tr w:rsidR="006C4118" w:rsidRPr="00EC2BC6" w:rsidTr="00EC2BC6">
        <w:trPr>
          <w:cnfStyle w:val="100000000000" w:firstRow="1" w:lastRow="0" w:firstColumn="0" w:lastColumn="0" w:oddVBand="0" w:evenVBand="0" w:oddHBand="0" w:evenHBand="0" w:firstRowFirstColumn="0" w:firstRowLastColumn="0" w:lastRowFirstColumn="0" w:lastRowLastColumn="0"/>
          <w:tblHeader/>
          <w:jc w:val="center"/>
        </w:trPr>
        <w:tc>
          <w:tcPr>
            <w:tcW w:w="1250" w:type="pct"/>
            <w:vAlign w:val="center"/>
          </w:tcPr>
          <w:p w:rsidR="006C4118" w:rsidRPr="00EC2BC6" w:rsidRDefault="00D07F1C">
            <w:pPr>
              <w:rPr>
                <w:sz w:val="20"/>
              </w:rPr>
            </w:pPr>
            <w:r w:rsidRPr="00EC2BC6">
              <w:rPr>
                <w:sz w:val="20"/>
              </w:rPr>
              <w:t>Source</w:t>
            </w:r>
          </w:p>
        </w:tc>
        <w:tc>
          <w:tcPr>
            <w:tcW w:w="1250" w:type="pct"/>
            <w:vAlign w:val="center"/>
          </w:tcPr>
          <w:p w:rsidR="006C4118" w:rsidRPr="00EC2BC6" w:rsidRDefault="00D07F1C">
            <w:pPr>
              <w:rPr>
                <w:sz w:val="20"/>
              </w:rPr>
            </w:pPr>
            <w:r w:rsidRPr="00EC2BC6">
              <w:rPr>
                <w:sz w:val="20"/>
              </w:rPr>
              <w:t>Evidence type</w:t>
            </w:r>
          </w:p>
        </w:tc>
        <w:tc>
          <w:tcPr>
            <w:tcW w:w="1250" w:type="pct"/>
            <w:vAlign w:val="center"/>
          </w:tcPr>
          <w:p w:rsidR="006C4118" w:rsidRPr="00EC2BC6" w:rsidRDefault="00D07F1C">
            <w:pPr>
              <w:rPr>
                <w:sz w:val="20"/>
              </w:rPr>
            </w:pPr>
            <w:r w:rsidRPr="00EC2BC6">
              <w:rPr>
                <w:sz w:val="20"/>
              </w:rPr>
              <w:t>Relevant finding</w:t>
            </w:r>
          </w:p>
        </w:tc>
        <w:tc>
          <w:tcPr>
            <w:tcW w:w="1250" w:type="pct"/>
            <w:vAlign w:val="center"/>
          </w:tcPr>
          <w:p w:rsidR="006C4118" w:rsidRPr="00EC2BC6" w:rsidRDefault="00D07F1C">
            <w:pPr>
              <w:rPr>
                <w:sz w:val="20"/>
              </w:rPr>
            </w:pPr>
            <w:r w:rsidRPr="00EC2BC6">
              <w:rPr>
                <w:sz w:val="20"/>
              </w:rPr>
              <w:t>Implication for this paper</w:t>
            </w:r>
          </w:p>
        </w:tc>
      </w:tr>
      <w:tr w:rsidR="006C4118"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1250" w:type="pct"/>
            <w:vAlign w:val="center"/>
          </w:tcPr>
          <w:p w:rsidR="006C4118" w:rsidRPr="00EC2BC6" w:rsidRDefault="00D07F1C">
            <w:pPr>
              <w:rPr>
                <w:sz w:val="20"/>
              </w:rPr>
            </w:pPr>
            <w:proofErr w:type="spellStart"/>
            <w:r w:rsidRPr="00EC2BC6">
              <w:rPr>
                <w:sz w:val="20"/>
              </w:rPr>
              <w:t>Mylonakis</w:t>
            </w:r>
            <w:proofErr w:type="spellEnd"/>
            <w:r w:rsidRPr="00EC2BC6">
              <w:rPr>
                <w:sz w:val="20"/>
              </w:rPr>
              <w:t xml:space="preserve"> and </w:t>
            </w:r>
            <w:proofErr w:type="spellStart"/>
            <w:r w:rsidRPr="00EC2BC6">
              <w:rPr>
                <w:sz w:val="20"/>
              </w:rPr>
              <w:t>Gazetas</w:t>
            </w:r>
            <w:proofErr w:type="spellEnd"/>
            <w:r w:rsidRPr="00EC2BC6">
              <w:rPr>
                <w:sz w:val="20"/>
              </w:rPr>
              <w:t xml:space="preserve"> (2000)</w:t>
            </w:r>
          </w:p>
        </w:tc>
        <w:tc>
          <w:tcPr>
            <w:tcW w:w="1250" w:type="pct"/>
            <w:vAlign w:val="center"/>
          </w:tcPr>
          <w:p w:rsidR="006C4118" w:rsidRPr="00EC2BC6" w:rsidRDefault="00D07F1C">
            <w:pPr>
              <w:rPr>
                <w:sz w:val="20"/>
              </w:rPr>
            </w:pPr>
            <w:r w:rsidRPr="00EC2BC6">
              <w:rPr>
                <w:sz w:val="20"/>
              </w:rPr>
              <w:t>Conceptual and analytical SSI synthesis</w:t>
            </w:r>
          </w:p>
        </w:tc>
        <w:tc>
          <w:tcPr>
            <w:tcW w:w="1250" w:type="pct"/>
            <w:vAlign w:val="center"/>
          </w:tcPr>
          <w:p w:rsidR="006C4118" w:rsidRPr="00EC2BC6" w:rsidRDefault="00D07F1C">
            <w:pPr>
              <w:rPr>
                <w:sz w:val="20"/>
              </w:rPr>
            </w:pPr>
            <w:r w:rsidRPr="00EC2BC6">
              <w:rPr>
                <w:sz w:val="20"/>
              </w:rPr>
              <w:t>SSI can be beneficial or detrimental depending on response measure and system.</w:t>
            </w:r>
          </w:p>
        </w:tc>
        <w:tc>
          <w:tcPr>
            <w:tcW w:w="1250" w:type="pct"/>
            <w:vAlign w:val="center"/>
          </w:tcPr>
          <w:p w:rsidR="006C4118" w:rsidRPr="00EC2BC6" w:rsidRDefault="00D07F1C">
            <w:pPr>
              <w:rPr>
                <w:sz w:val="20"/>
              </w:rPr>
            </w:pPr>
            <w:r w:rsidRPr="00EC2BC6">
              <w:rPr>
                <w:sz w:val="20"/>
              </w:rPr>
              <w:t xml:space="preserve">This paper cannot claim that dual beneficial/detrimental SSI </w:t>
            </w:r>
            <w:proofErr w:type="spellStart"/>
            <w:r w:rsidRPr="00EC2BC6">
              <w:rPr>
                <w:sz w:val="20"/>
              </w:rPr>
              <w:t>behavior</w:t>
            </w:r>
            <w:proofErr w:type="spellEnd"/>
            <w:r w:rsidRPr="00EC2BC6">
              <w:rPr>
                <w:sz w:val="20"/>
              </w:rPr>
              <w:t xml:space="preserve"> is new.</w:t>
            </w:r>
          </w:p>
        </w:tc>
      </w:tr>
      <w:tr w:rsidR="006C4118" w:rsidRPr="00EC2BC6" w:rsidTr="00EC2BC6">
        <w:trPr>
          <w:jc w:val="center"/>
        </w:trPr>
        <w:tc>
          <w:tcPr>
            <w:tcW w:w="1250" w:type="pct"/>
            <w:vAlign w:val="center"/>
          </w:tcPr>
          <w:p w:rsidR="006C4118" w:rsidRPr="00EC2BC6" w:rsidRDefault="00D07F1C">
            <w:pPr>
              <w:rPr>
                <w:sz w:val="20"/>
              </w:rPr>
            </w:pPr>
            <w:r w:rsidRPr="00EC2BC6">
              <w:rPr>
                <w:sz w:val="20"/>
              </w:rPr>
              <w:t>NIST/FEMA/ASCE guidance</w:t>
            </w:r>
          </w:p>
        </w:tc>
        <w:tc>
          <w:tcPr>
            <w:tcW w:w="1250" w:type="pct"/>
            <w:vAlign w:val="center"/>
          </w:tcPr>
          <w:p w:rsidR="006C4118" w:rsidRPr="00EC2BC6" w:rsidRDefault="00D07F1C">
            <w:pPr>
              <w:rPr>
                <w:sz w:val="20"/>
              </w:rPr>
            </w:pPr>
            <w:r w:rsidRPr="00EC2BC6">
              <w:rPr>
                <w:sz w:val="20"/>
              </w:rPr>
              <w:t>Practice-oriented SSI provisions</w:t>
            </w:r>
          </w:p>
        </w:tc>
        <w:tc>
          <w:tcPr>
            <w:tcW w:w="1250" w:type="pct"/>
            <w:vAlign w:val="center"/>
          </w:tcPr>
          <w:p w:rsidR="006C4118" w:rsidRPr="00EC2BC6" w:rsidRDefault="00D07F1C">
            <w:pPr>
              <w:rPr>
                <w:sz w:val="20"/>
              </w:rPr>
            </w:pPr>
            <w:r w:rsidRPr="00EC2BC6">
              <w:rPr>
                <w:sz w:val="20"/>
              </w:rPr>
              <w:t xml:space="preserve">Period elongation, damping, kinematic filtering and displacement-sensitive checks </w:t>
            </w:r>
            <w:proofErr w:type="gramStart"/>
            <w:r w:rsidRPr="00EC2BC6">
              <w:rPr>
                <w:sz w:val="20"/>
              </w:rPr>
              <w:t>must be separated</w:t>
            </w:r>
            <w:proofErr w:type="gramEnd"/>
            <w:r w:rsidRPr="00EC2BC6">
              <w:rPr>
                <w:sz w:val="20"/>
              </w:rPr>
              <w:t>.</w:t>
            </w:r>
          </w:p>
        </w:tc>
        <w:tc>
          <w:tcPr>
            <w:tcW w:w="1250" w:type="pct"/>
            <w:vAlign w:val="center"/>
          </w:tcPr>
          <w:p w:rsidR="006C4118" w:rsidRPr="00EC2BC6" w:rsidRDefault="00D07F1C">
            <w:pPr>
              <w:rPr>
                <w:sz w:val="20"/>
              </w:rPr>
            </w:pPr>
            <w:r w:rsidRPr="00EC2BC6">
              <w:rPr>
                <w:sz w:val="20"/>
              </w:rPr>
              <w:t xml:space="preserve">The criterion </w:t>
            </w:r>
            <w:proofErr w:type="gramStart"/>
            <w:r w:rsidRPr="00EC2BC6">
              <w:rPr>
                <w:sz w:val="20"/>
              </w:rPr>
              <w:t>is framed</w:t>
            </w:r>
            <w:proofErr w:type="gramEnd"/>
            <w:r w:rsidRPr="00EC2BC6">
              <w:rPr>
                <w:sz w:val="20"/>
              </w:rPr>
              <w:t xml:space="preserve"> as a preliminary screening aid, not a design substitute.</w:t>
            </w:r>
          </w:p>
        </w:tc>
      </w:tr>
      <w:tr w:rsidR="006C4118"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1250" w:type="pct"/>
            <w:vAlign w:val="center"/>
          </w:tcPr>
          <w:p w:rsidR="006C4118" w:rsidRPr="00EC2BC6" w:rsidRDefault="00D07F1C">
            <w:pPr>
              <w:rPr>
                <w:sz w:val="20"/>
              </w:rPr>
            </w:pPr>
            <w:r w:rsidRPr="00EC2BC6">
              <w:rPr>
                <w:sz w:val="20"/>
              </w:rPr>
              <w:t>Zhang and Far (2024)</w:t>
            </w:r>
          </w:p>
        </w:tc>
        <w:tc>
          <w:tcPr>
            <w:tcW w:w="1250" w:type="pct"/>
            <w:vAlign w:val="center"/>
          </w:tcPr>
          <w:p w:rsidR="006C4118" w:rsidRPr="00EC2BC6" w:rsidRDefault="00D07F1C">
            <w:pPr>
              <w:rPr>
                <w:sz w:val="20"/>
              </w:rPr>
            </w:pPr>
            <w:r w:rsidRPr="00EC2BC6">
              <w:rPr>
                <w:sz w:val="20"/>
              </w:rPr>
              <w:t>Finite-element high-rise study verified by shaking-table tests</w:t>
            </w:r>
          </w:p>
        </w:tc>
        <w:tc>
          <w:tcPr>
            <w:tcW w:w="1250" w:type="pct"/>
            <w:vAlign w:val="center"/>
          </w:tcPr>
          <w:p w:rsidR="006C4118" w:rsidRPr="00EC2BC6" w:rsidRDefault="00D07F1C">
            <w:pPr>
              <w:rPr>
                <w:sz w:val="20"/>
              </w:rPr>
            </w:pPr>
            <w:r w:rsidRPr="00EC2BC6">
              <w:rPr>
                <w:sz w:val="20"/>
              </w:rPr>
              <w:t>Foundation rotation can reduce base shear while increasing inter-storey drift.</w:t>
            </w:r>
          </w:p>
        </w:tc>
        <w:tc>
          <w:tcPr>
            <w:tcW w:w="1250" w:type="pct"/>
            <w:vAlign w:val="center"/>
          </w:tcPr>
          <w:p w:rsidR="006C4118" w:rsidRPr="00EC2BC6" w:rsidRDefault="00D07F1C">
            <w:pPr>
              <w:rPr>
                <w:sz w:val="20"/>
              </w:rPr>
            </w:pPr>
            <w:r w:rsidRPr="00EC2BC6">
              <w:rPr>
                <w:sz w:val="20"/>
              </w:rPr>
              <w:t>Independent support for force/displacement divergence.</w:t>
            </w:r>
          </w:p>
        </w:tc>
      </w:tr>
      <w:tr w:rsidR="006C4118" w:rsidRPr="00EC2BC6" w:rsidTr="00EC2BC6">
        <w:trPr>
          <w:jc w:val="center"/>
        </w:trPr>
        <w:tc>
          <w:tcPr>
            <w:tcW w:w="1250" w:type="pct"/>
            <w:vAlign w:val="center"/>
          </w:tcPr>
          <w:p w:rsidR="006C4118" w:rsidRPr="00EC2BC6" w:rsidRDefault="00D07F1C">
            <w:pPr>
              <w:rPr>
                <w:sz w:val="20"/>
              </w:rPr>
            </w:pPr>
            <w:r w:rsidRPr="00EC2BC6">
              <w:rPr>
                <w:sz w:val="20"/>
              </w:rPr>
              <w:t>Tao, Fu and Li (2024)</w:t>
            </w:r>
          </w:p>
        </w:tc>
        <w:tc>
          <w:tcPr>
            <w:tcW w:w="1250" w:type="pct"/>
            <w:vAlign w:val="center"/>
          </w:tcPr>
          <w:p w:rsidR="006C4118" w:rsidRPr="00EC2BC6" w:rsidRDefault="00D07F1C">
            <w:pPr>
              <w:rPr>
                <w:sz w:val="20"/>
              </w:rPr>
            </w:pPr>
            <w:r w:rsidRPr="00EC2BC6">
              <w:rPr>
                <w:sz w:val="20"/>
              </w:rPr>
              <w:t>SDOF-foundation-half-space model and 42-earthquake case studies</w:t>
            </w:r>
          </w:p>
        </w:tc>
        <w:tc>
          <w:tcPr>
            <w:tcW w:w="1250" w:type="pct"/>
            <w:vAlign w:val="center"/>
          </w:tcPr>
          <w:p w:rsidR="006C4118" w:rsidRPr="00EC2BC6" w:rsidRDefault="00D07F1C">
            <w:pPr>
              <w:rPr>
                <w:sz w:val="20"/>
              </w:rPr>
            </w:pPr>
            <w:r w:rsidRPr="00EC2BC6">
              <w:rPr>
                <w:sz w:val="20"/>
              </w:rPr>
              <w:t>Frequency shift can produce detrimental response amplification in a subset of cases.</w:t>
            </w:r>
          </w:p>
        </w:tc>
        <w:tc>
          <w:tcPr>
            <w:tcW w:w="1250" w:type="pct"/>
            <w:vAlign w:val="center"/>
          </w:tcPr>
          <w:p w:rsidR="006C4118" w:rsidRPr="00EC2BC6" w:rsidRDefault="00D07F1C">
            <w:pPr>
              <w:rPr>
                <w:sz w:val="20"/>
              </w:rPr>
            </w:pPr>
            <w:r w:rsidRPr="00EC2BC6">
              <w:rPr>
                <w:sz w:val="20"/>
              </w:rPr>
              <w:t xml:space="preserve">Local spectral position </w:t>
            </w:r>
            <w:proofErr w:type="gramStart"/>
            <w:r w:rsidRPr="00EC2BC6">
              <w:rPr>
                <w:sz w:val="20"/>
              </w:rPr>
              <w:t>must be treated</w:t>
            </w:r>
            <w:proofErr w:type="gramEnd"/>
            <w:r w:rsidRPr="00EC2BC6">
              <w:rPr>
                <w:sz w:val="20"/>
              </w:rPr>
              <w:t xml:space="preserve"> as a limitation and control variable.</w:t>
            </w:r>
          </w:p>
        </w:tc>
      </w:tr>
      <w:tr w:rsidR="006C4118"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1250" w:type="pct"/>
            <w:vAlign w:val="center"/>
          </w:tcPr>
          <w:p w:rsidR="006C4118" w:rsidRPr="00EC2BC6" w:rsidRDefault="00D07F1C">
            <w:pPr>
              <w:rPr>
                <w:sz w:val="20"/>
              </w:rPr>
            </w:pPr>
            <w:r w:rsidRPr="00EC2BC6">
              <w:rPr>
                <w:sz w:val="20"/>
              </w:rPr>
              <w:t>Yang et al. (2024)</w:t>
            </w:r>
          </w:p>
        </w:tc>
        <w:tc>
          <w:tcPr>
            <w:tcW w:w="1250" w:type="pct"/>
            <w:vAlign w:val="center"/>
          </w:tcPr>
          <w:p w:rsidR="006C4118" w:rsidRPr="00EC2BC6" w:rsidRDefault="00D07F1C">
            <w:pPr>
              <w:rPr>
                <w:sz w:val="20"/>
              </w:rPr>
            </w:pPr>
            <w:r w:rsidRPr="00EC2BC6">
              <w:rPr>
                <w:sz w:val="20"/>
              </w:rPr>
              <w:t>ABAQUS time-history study of RC frame-shear-wall buildings</w:t>
            </w:r>
          </w:p>
        </w:tc>
        <w:tc>
          <w:tcPr>
            <w:tcW w:w="1250" w:type="pct"/>
            <w:vAlign w:val="center"/>
          </w:tcPr>
          <w:p w:rsidR="006C4118" w:rsidRPr="00EC2BC6" w:rsidRDefault="00D07F1C">
            <w:pPr>
              <w:rPr>
                <w:sz w:val="20"/>
              </w:rPr>
            </w:pPr>
            <w:r w:rsidRPr="00EC2BC6">
              <w:rPr>
                <w:sz w:val="20"/>
              </w:rPr>
              <w:t>SSI can reduce shear while amplifying displacement, especially on softer sites.</w:t>
            </w:r>
          </w:p>
        </w:tc>
        <w:tc>
          <w:tcPr>
            <w:tcW w:w="1250" w:type="pct"/>
            <w:vAlign w:val="center"/>
          </w:tcPr>
          <w:p w:rsidR="006C4118" w:rsidRPr="00EC2BC6" w:rsidRDefault="00D07F1C">
            <w:pPr>
              <w:rPr>
                <w:sz w:val="20"/>
              </w:rPr>
            </w:pPr>
            <w:r w:rsidRPr="00EC2BC6">
              <w:rPr>
                <w:sz w:val="20"/>
              </w:rPr>
              <w:t>External qualitative check for the mixed force-benefit/displacement-penalty region.</w:t>
            </w:r>
          </w:p>
        </w:tc>
      </w:tr>
    </w:tbl>
    <w:p w:rsidR="00AF2D23" w:rsidRDefault="00AF2D23">
      <w:pPr>
        <w:jc w:val="both"/>
      </w:pPr>
      <w:r>
        <w:t>Table 2 then translates the identified knowledge gap into the specific response provided by the manuscript.</w:t>
      </w:r>
    </w:p>
    <w:p w:rsidR="00CB57E0" w:rsidRDefault="00CB57E0" w:rsidP="001625B9">
      <w:pPr>
        <w:spacing w:after="120"/>
      </w:pPr>
    </w:p>
    <w:p w:rsidR="00CB57E0" w:rsidRDefault="00CB57E0" w:rsidP="00CB57E0">
      <w:pPr>
        <w:keepNext/>
        <w:jc w:val="center"/>
      </w:pPr>
      <w:r>
        <w:t>Table 2. Gap audit against SSI guidance, high-fidelity models and experimental databases.</w:t>
      </w:r>
    </w:p>
    <w:tbl>
      <w:tblPr>
        <w:tblStyle w:val="PlainTable2"/>
        <w:tblW w:w="5000" w:type="pct"/>
        <w:jc w:val="center"/>
        <w:tblLook w:val="0420" w:firstRow="1" w:lastRow="0" w:firstColumn="0" w:lastColumn="0" w:noHBand="0" w:noVBand="1"/>
      </w:tblPr>
      <w:tblGrid>
        <w:gridCol w:w="2340"/>
        <w:gridCol w:w="2340"/>
        <w:gridCol w:w="2340"/>
        <w:gridCol w:w="2340"/>
      </w:tblGrid>
      <w:tr w:rsidR="00CB57E0" w:rsidRPr="00EC2BC6" w:rsidTr="00EC2BC6">
        <w:trPr>
          <w:cnfStyle w:val="100000000000" w:firstRow="1" w:lastRow="0" w:firstColumn="0" w:lastColumn="0" w:oddVBand="0" w:evenVBand="0" w:oddHBand="0" w:evenHBand="0" w:firstRowFirstColumn="0" w:firstRowLastColumn="0" w:lastRowFirstColumn="0" w:lastRowLastColumn="0"/>
          <w:tblHeader/>
          <w:jc w:val="center"/>
        </w:trPr>
        <w:tc>
          <w:tcPr>
            <w:tcW w:w="1250" w:type="pct"/>
            <w:vAlign w:val="center"/>
          </w:tcPr>
          <w:p w:rsidR="00CB57E0" w:rsidRPr="00EC2BC6" w:rsidRDefault="00CB57E0" w:rsidP="001625B9">
            <w:pPr>
              <w:spacing w:after="120"/>
              <w:rPr>
                <w:sz w:val="20"/>
              </w:rPr>
            </w:pPr>
            <w:r w:rsidRPr="00EC2BC6">
              <w:rPr>
                <w:sz w:val="20"/>
              </w:rPr>
              <w:t>Existing approach</w:t>
            </w:r>
          </w:p>
        </w:tc>
        <w:tc>
          <w:tcPr>
            <w:tcW w:w="1250" w:type="pct"/>
            <w:vAlign w:val="center"/>
          </w:tcPr>
          <w:p w:rsidR="00CB57E0" w:rsidRPr="00EC2BC6" w:rsidRDefault="00CB57E0" w:rsidP="001625B9">
            <w:pPr>
              <w:spacing w:after="120"/>
              <w:rPr>
                <w:sz w:val="20"/>
              </w:rPr>
            </w:pPr>
            <w:r w:rsidRPr="00EC2BC6">
              <w:rPr>
                <w:sz w:val="20"/>
              </w:rPr>
              <w:t>What it provides</w:t>
            </w:r>
          </w:p>
        </w:tc>
        <w:tc>
          <w:tcPr>
            <w:tcW w:w="1250" w:type="pct"/>
            <w:vAlign w:val="center"/>
          </w:tcPr>
          <w:p w:rsidR="00CB57E0" w:rsidRPr="00EC2BC6" w:rsidRDefault="00CB57E0" w:rsidP="001625B9">
            <w:pPr>
              <w:spacing w:after="120"/>
              <w:rPr>
                <w:sz w:val="20"/>
              </w:rPr>
            </w:pPr>
            <w:r w:rsidRPr="00EC2BC6">
              <w:rPr>
                <w:sz w:val="20"/>
              </w:rPr>
              <w:t>What remains missing</w:t>
            </w:r>
          </w:p>
        </w:tc>
        <w:tc>
          <w:tcPr>
            <w:tcW w:w="1250" w:type="pct"/>
            <w:vAlign w:val="center"/>
          </w:tcPr>
          <w:p w:rsidR="00CB57E0" w:rsidRPr="00EC2BC6" w:rsidRDefault="00CB57E0" w:rsidP="001625B9">
            <w:pPr>
              <w:spacing w:after="120"/>
              <w:rPr>
                <w:sz w:val="20"/>
              </w:rPr>
            </w:pPr>
            <w:r w:rsidRPr="00EC2BC6">
              <w:rPr>
                <w:sz w:val="20"/>
              </w:rPr>
              <w:t>Gap filled by this paper</w:t>
            </w:r>
          </w:p>
        </w:tc>
      </w:tr>
      <w:tr w:rsidR="00CB57E0"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1250" w:type="pct"/>
            <w:vAlign w:val="center"/>
          </w:tcPr>
          <w:p w:rsidR="00CB57E0" w:rsidRPr="00EC2BC6" w:rsidRDefault="00CB57E0" w:rsidP="001625B9">
            <w:pPr>
              <w:spacing w:after="120"/>
              <w:rPr>
                <w:sz w:val="20"/>
              </w:rPr>
            </w:pPr>
            <w:r w:rsidRPr="00EC2BC6">
              <w:rPr>
                <w:sz w:val="20"/>
              </w:rPr>
              <w:t>FEMA/NIST practical SSI guidance</w:t>
            </w:r>
          </w:p>
        </w:tc>
        <w:tc>
          <w:tcPr>
            <w:tcW w:w="1250" w:type="pct"/>
            <w:vAlign w:val="center"/>
          </w:tcPr>
          <w:p w:rsidR="00CB57E0" w:rsidRPr="00EC2BC6" w:rsidRDefault="00CB57E0" w:rsidP="001625B9">
            <w:pPr>
              <w:spacing w:after="120"/>
              <w:rPr>
                <w:sz w:val="20"/>
              </w:rPr>
            </w:pPr>
            <w:r w:rsidRPr="00EC2BC6">
              <w:rPr>
                <w:sz w:val="20"/>
              </w:rPr>
              <w:t xml:space="preserve">Period lengthening, foundation damping and practical </w:t>
            </w:r>
            <w:proofErr w:type="spellStart"/>
            <w:r w:rsidRPr="00EC2BC6">
              <w:rPr>
                <w:sz w:val="20"/>
              </w:rPr>
              <w:t>modeling</w:t>
            </w:r>
            <w:proofErr w:type="spellEnd"/>
            <w:r w:rsidRPr="00EC2BC6">
              <w:rPr>
                <w:sz w:val="20"/>
              </w:rPr>
              <w:t xml:space="preserve"> guidance</w:t>
            </w:r>
          </w:p>
        </w:tc>
        <w:tc>
          <w:tcPr>
            <w:tcW w:w="1250" w:type="pct"/>
            <w:vAlign w:val="center"/>
          </w:tcPr>
          <w:p w:rsidR="00CB57E0" w:rsidRPr="00EC2BC6" w:rsidRDefault="00CB57E0" w:rsidP="001625B9">
            <w:pPr>
              <w:spacing w:after="120"/>
              <w:rPr>
                <w:sz w:val="20"/>
              </w:rPr>
            </w:pPr>
            <w:r w:rsidRPr="00EC2BC6">
              <w:rPr>
                <w:sz w:val="20"/>
              </w:rPr>
              <w:t>No closed-form force-displacement polarity map; limited screening of false-safe force reduction</w:t>
            </w:r>
          </w:p>
        </w:tc>
        <w:tc>
          <w:tcPr>
            <w:tcW w:w="1250" w:type="pct"/>
            <w:vAlign w:val="center"/>
          </w:tcPr>
          <w:p w:rsidR="00CB57E0" w:rsidRPr="00EC2BC6" w:rsidRDefault="00CB57E0" w:rsidP="001625B9">
            <w:pPr>
              <w:spacing w:after="120"/>
              <w:rPr>
                <w:sz w:val="20"/>
              </w:rPr>
            </w:pPr>
            <w:r w:rsidRPr="00EC2BC6">
              <w:rPr>
                <w:sz w:val="20"/>
              </w:rPr>
              <w:t>Demand-polarity map and false-safe screening</w:t>
            </w:r>
          </w:p>
        </w:tc>
      </w:tr>
      <w:tr w:rsidR="00CB57E0" w:rsidRPr="00EC2BC6" w:rsidTr="00EC2BC6">
        <w:trPr>
          <w:jc w:val="center"/>
        </w:trPr>
        <w:tc>
          <w:tcPr>
            <w:tcW w:w="1250" w:type="pct"/>
            <w:vAlign w:val="center"/>
          </w:tcPr>
          <w:p w:rsidR="00CB57E0" w:rsidRPr="00EC2BC6" w:rsidRDefault="00CB57E0" w:rsidP="001625B9">
            <w:pPr>
              <w:spacing w:after="120"/>
              <w:rPr>
                <w:sz w:val="20"/>
              </w:rPr>
            </w:pPr>
            <w:r w:rsidRPr="00EC2BC6">
              <w:rPr>
                <w:sz w:val="20"/>
              </w:rPr>
              <w:t>ASCE/FEMA code-type SSI reductions</w:t>
            </w:r>
          </w:p>
        </w:tc>
        <w:tc>
          <w:tcPr>
            <w:tcW w:w="1250" w:type="pct"/>
            <w:vAlign w:val="center"/>
          </w:tcPr>
          <w:p w:rsidR="00CB57E0" w:rsidRPr="00EC2BC6" w:rsidRDefault="00CB57E0" w:rsidP="001625B9">
            <w:pPr>
              <w:spacing w:after="120"/>
              <w:rPr>
                <w:sz w:val="20"/>
              </w:rPr>
            </w:pPr>
            <w:r w:rsidRPr="00EC2BC6">
              <w:rPr>
                <w:sz w:val="20"/>
              </w:rPr>
              <w:t>Demand modification procedures and design checks</w:t>
            </w:r>
          </w:p>
        </w:tc>
        <w:tc>
          <w:tcPr>
            <w:tcW w:w="1250" w:type="pct"/>
            <w:vAlign w:val="center"/>
          </w:tcPr>
          <w:p w:rsidR="00CB57E0" w:rsidRPr="00EC2BC6" w:rsidRDefault="00CB57E0" w:rsidP="001625B9">
            <w:pPr>
              <w:spacing w:after="120"/>
              <w:rPr>
                <w:sz w:val="20"/>
              </w:rPr>
            </w:pPr>
            <w:r w:rsidRPr="00EC2BC6">
              <w:rPr>
                <w:sz w:val="20"/>
              </w:rPr>
              <w:t>Force-oriented interpretation can obscure displacement or rocking penalty</w:t>
            </w:r>
          </w:p>
        </w:tc>
        <w:tc>
          <w:tcPr>
            <w:tcW w:w="1250" w:type="pct"/>
            <w:vAlign w:val="center"/>
          </w:tcPr>
          <w:p w:rsidR="00CB57E0" w:rsidRPr="00EC2BC6" w:rsidRDefault="00CB57E0" w:rsidP="001625B9">
            <w:r>
              <w:rPr>
                <w:sz w:val="20"/>
              </w:rPr>
              <w:t>Explicit separation of force-demand ratio and total-displacement ratio</w:t>
            </w:r>
          </w:p>
        </w:tc>
      </w:tr>
      <w:tr w:rsidR="00CB57E0"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1250" w:type="pct"/>
            <w:vAlign w:val="center"/>
          </w:tcPr>
          <w:p w:rsidR="00CB57E0" w:rsidRPr="00EC2BC6" w:rsidRDefault="00CB57E0" w:rsidP="001625B9">
            <w:pPr>
              <w:spacing w:after="120"/>
              <w:rPr>
                <w:sz w:val="20"/>
              </w:rPr>
            </w:pPr>
            <w:r w:rsidRPr="00EC2BC6">
              <w:rPr>
                <w:sz w:val="20"/>
              </w:rPr>
              <w:t>High-fidelity nonlinear SSI models</w:t>
            </w:r>
          </w:p>
        </w:tc>
        <w:tc>
          <w:tcPr>
            <w:tcW w:w="1250" w:type="pct"/>
            <w:vAlign w:val="center"/>
          </w:tcPr>
          <w:p w:rsidR="00CB57E0" w:rsidRPr="00EC2BC6" w:rsidRDefault="00CB57E0" w:rsidP="001625B9">
            <w:pPr>
              <w:spacing w:after="120"/>
              <w:rPr>
                <w:sz w:val="20"/>
              </w:rPr>
            </w:pPr>
            <w:r w:rsidRPr="00EC2BC6">
              <w:rPr>
                <w:sz w:val="20"/>
              </w:rPr>
              <w:t>Detailed case-specific dynamic response</w:t>
            </w:r>
          </w:p>
        </w:tc>
        <w:tc>
          <w:tcPr>
            <w:tcW w:w="1250" w:type="pct"/>
            <w:vAlign w:val="center"/>
          </w:tcPr>
          <w:p w:rsidR="00CB57E0" w:rsidRPr="00EC2BC6" w:rsidRDefault="00CB57E0" w:rsidP="001625B9">
            <w:pPr>
              <w:spacing w:after="120"/>
              <w:rPr>
                <w:sz w:val="20"/>
              </w:rPr>
            </w:pPr>
            <w:r w:rsidRPr="00EC2BC6">
              <w:rPr>
                <w:sz w:val="20"/>
              </w:rPr>
              <w:t>Require data, expertise and computation before screening decision</w:t>
            </w:r>
          </w:p>
        </w:tc>
        <w:tc>
          <w:tcPr>
            <w:tcW w:w="1250" w:type="pct"/>
            <w:vAlign w:val="center"/>
          </w:tcPr>
          <w:p w:rsidR="00CB57E0" w:rsidRPr="00EC2BC6" w:rsidRDefault="00CB57E0" w:rsidP="001625B9">
            <w:pPr>
              <w:spacing w:after="120"/>
              <w:rPr>
                <w:sz w:val="20"/>
              </w:rPr>
            </w:pPr>
            <w:r w:rsidRPr="00EC2BC6">
              <w:rPr>
                <w:sz w:val="20"/>
              </w:rPr>
              <w:t>Upstream pre-analysis screening criterion</w:t>
            </w:r>
          </w:p>
        </w:tc>
      </w:tr>
      <w:tr w:rsidR="00CB57E0" w:rsidRPr="00EC2BC6" w:rsidTr="00EC2BC6">
        <w:trPr>
          <w:jc w:val="center"/>
        </w:trPr>
        <w:tc>
          <w:tcPr>
            <w:tcW w:w="1250" w:type="pct"/>
            <w:vAlign w:val="center"/>
          </w:tcPr>
          <w:p w:rsidR="00CB57E0" w:rsidRPr="00EC2BC6" w:rsidRDefault="00CB57E0" w:rsidP="001625B9">
            <w:pPr>
              <w:spacing w:after="120"/>
              <w:rPr>
                <w:sz w:val="20"/>
              </w:rPr>
            </w:pPr>
            <w:r w:rsidRPr="00EC2BC6">
              <w:rPr>
                <w:sz w:val="20"/>
              </w:rPr>
              <w:t>Rocking-foundation experiments</w:t>
            </w:r>
          </w:p>
        </w:tc>
        <w:tc>
          <w:tcPr>
            <w:tcW w:w="1250" w:type="pct"/>
            <w:vAlign w:val="center"/>
          </w:tcPr>
          <w:p w:rsidR="00CB57E0" w:rsidRPr="00EC2BC6" w:rsidRDefault="00CB57E0" w:rsidP="001625B9">
            <w:pPr>
              <w:spacing w:after="120"/>
              <w:rPr>
                <w:sz w:val="20"/>
              </w:rPr>
            </w:pPr>
            <w:r w:rsidRPr="00EC2BC6">
              <w:rPr>
                <w:sz w:val="20"/>
              </w:rPr>
              <w:t>Measured moment, rotation, settlement and energy dissipation</w:t>
            </w:r>
          </w:p>
        </w:tc>
        <w:tc>
          <w:tcPr>
            <w:tcW w:w="1250" w:type="pct"/>
            <w:vAlign w:val="center"/>
          </w:tcPr>
          <w:p w:rsidR="00CB57E0" w:rsidRPr="00EC2BC6" w:rsidRDefault="00CB57E0" w:rsidP="001625B9">
            <w:pPr>
              <w:spacing w:after="120"/>
              <w:rPr>
                <w:sz w:val="20"/>
              </w:rPr>
            </w:pPr>
            <w:r w:rsidRPr="00EC2BC6">
              <w:rPr>
                <w:sz w:val="20"/>
              </w:rPr>
              <w:t>No general closed-form SSI demand-polarity classifier</w:t>
            </w:r>
          </w:p>
        </w:tc>
        <w:tc>
          <w:tcPr>
            <w:tcW w:w="1250" w:type="pct"/>
            <w:vAlign w:val="center"/>
          </w:tcPr>
          <w:p w:rsidR="00CB57E0" w:rsidRPr="00EC2BC6" w:rsidRDefault="00CB57E0" w:rsidP="001625B9">
            <w:pPr>
              <w:spacing w:after="120"/>
              <w:rPr>
                <w:sz w:val="20"/>
              </w:rPr>
            </w:pPr>
            <w:r w:rsidRPr="00EC2BC6">
              <w:rPr>
                <w:sz w:val="20"/>
              </w:rPr>
              <w:t>Experimental proxy audit of polarity classes</w:t>
            </w:r>
          </w:p>
        </w:tc>
      </w:tr>
      <w:tr w:rsidR="00CB57E0"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1250" w:type="pct"/>
            <w:vAlign w:val="center"/>
          </w:tcPr>
          <w:p w:rsidR="00CB57E0" w:rsidRPr="00EC2BC6" w:rsidRDefault="00CB57E0" w:rsidP="001625B9">
            <w:pPr>
              <w:spacing w:after="120"/>
              <w:rPr>
                <w:sz w:val="20"/>
              </w:rPr>
            </w:pPr>
            <w:r w:rsidRPr="00EC2BC6">
              <w:rPr>
                <w:sz w:val="20"/>
              </w:rPr>
              <w:t>ML/predictive rocking datasets</w:t>
            </w:r>
          </w:p>
        </w:tc>
        <w:tc>
          <w:tcPr>
            <w:tcW w:w="1250" w:type="pct"/>
            <w:vAlign w:val="center"/>
          </w:tcPr>
          <w:p w:rsidR="00CB57E0" w:rsidRPr="00EC2BC6" w:rsidRDefault="00CB57E0" w:rsidP="001625B9">
            <w:pPr>
              <w:spacing w:after="120"/>
              <w:rPr>
                <w:sz w:val="20"/>
              </w:rPr>
            </w:pPr>
            <w:r w:rsidRPr="00EC2BC6">
              <w:rPr>
                <w:sz w:val="20"/>
              </w:rPr>
              <w:t>Data-driven performance prediction</w:t>
            </w:r>
          </w:p>
        </w:tc>
        <w:tc>
          <w:tcPr>
            <w:tcW w:w="1250" w:type="pct"/>
            <w:vAlign w:val="center"/>
          </w:tcPr>
          <w:p w:rsidR="00CB57E0" w:rsidRPr="00EC2BC6" w:rsidRDefault="00CB57E0" w:rsidP="001625B9">
            <w:pPr>
              <w:spacing w:after="120"/>
              <w:rPr>
                <w:sz w:val="20"/>
              </w:rPr>
            </w:pPr>
            <w:r w:rsidRPr="00EC2BC6">
              <w:rPr>
                <w:sz w:val="20"/>
              </w:rPr>
              <w:t>Predictive but often not closed-form or interpretable for force-displacement polarity</w:t>
            </w:r>
          </w:p>
        </w:tc>
        <w:tc>
          <w:tcPr>
            <w:tcW w:w="1250" w:type="pct"/>
            <w:vAlign w:val="center"/>
          </w:tcPr>
          <w:p w:rsidR="00CB57E0" w:rsidRPr="00EC2BC6" w:rsidRDefault="00CB57E0" w:rsidP="001625B9">
            <w:pPr>
              <w:spacing w:after="120"/>
              <w:rPr>
                <w:sz w:val="20"/>
              </w:rPr>
            </w:pPr>
            <w:r w:rsidRPr="00EC2BC6">
              <w:rPr>
                <w:sz w:val="20"/>
              </w:rPr>
              <w:t>Interpretable theorem plus class-screening validation</w:t>
            </w:r>
          </w:p>
        </w:tc>
      </w:tr>
      <w:tr w:rsidR="00CB57E0" w:rsidRPr="00EC2BC6" w:rsidTr="00EC2BC6">
        <w:trPr>
          <w:jc w:val="center"/>
        </w:trPr>
        <w:tc>
          <w:tcPr>
            <w:tcW w:w="1250" w:type="pct"/>
            <w:vAlign w:val="center"/>
          </w:tcPr>
          <w:p w:rsidR="00CB57E0" w:rsidRPr="00EC2BC6" w:rsidRDefault="00CB57E0" w:rsidP="001625B9">
            <w:pPr>
              <w:spacing w:after="120"/>
              <w:rPr>
                <w:sz w:val="20"/>
              </w:rPr>
            </w:pPr>
            <w:r w:rsidRPr="00EC2BC6">
              <w:rPr>
                <w:sz w:val="20"/>
              </w:rPr>
              <w:t>Field benchmarks such as Garner/</w:t>
            </w:r>
            <w:proofErr w:type="spellStart"/>
            <w:r w:rsidRPr="00EC2BC6">
              <w:rPr>
                <w:sz w:val="20"/>
              </w:rPr>
              <w:t>EuroProteas</w:t>
            </w:r>
            <w:proofErr w:type="spellEnd"/>
          </w:p>
        </w:tc>
        <w:tc>
          <w:tcPr>
            <w:tcW w:w="1250" w:type="pct"/>
            <w:vAlign w:val="center"/>
          </w:tcPr>
          <w:p w:rsidR="00CB57E0" w:rsidRPr="00EC2BC6" w:rsidRDefault="00CB57E0" w:rsidP="001625B9">
            <w:pPr>
              <w:spacing w:after="120"/>
              <w:rPr>
                <w:sz w:val="20"/>
              </w:rPr>
            </w:pPr>
            <w:r w:rsidRPr="00EC2BC6">
              <w:rPr>
                <w:sz w:val="20"/>
              </w:rPr>
              <w:t>Sensor-level SFSI evidence</w:t>
            </w:r>
          </w:p>
        </w:tc>
        <w:tc>
          <w:tcPr>
            <w:tcW w:w="1250" w:type="pct"/>
            <w:vAlign w:val="center"/>
          </w:tcPr>
          <w:p w:rsidR="00CB57E0" w:rsidRPr="00EC2BC6" w:rsidRDefault="00CB57E0" w:rsidP="001625B9">
            <w:pPr>
              <w:spacing w:after="120"/>
              <w:rPr>
                <w:sz w:val="20"/>
              </w:rPr>
            </w:pPr>
            <w:r w:rsidRPr="00EC2BC6">
              <w:rPr>
                <w:sz w:val="20"/>
              </w:rPr>
              <w:t>Data access and instrumentation limits; not always reusable for full validation</w:t>
            </w:r>
          </w:p>
        </w:tc>
        <w:tc>
          <w:tcPr>
            <w:tcW w:w="1250" w:type="pct"/>
            <w:vAlign w:val="center"/>
          </w:tcPr>
          <w:p w:rsidR="00CB57E0" w:rsidRPr="00EC2BC6" w:rsidRDefault="00CB57E0" w:rsidP="001625B9">
            <w:pPr>
              <w:spacing w:after="120"/>
              <w:rPr>
                <w:sz w:val="20"/>
              </w:rPr>
            </w:pPr>
            <w:r w:rsidRPr="00EC2BC6">
              <w:rPr>
                <w:sz w:val="20"/>
              </w:rPr>
              <w:t>Falsification and claim-boundary protocol</w:t>
            </w:r>
          </w:p>
        </w:tc>
      </w:tr>
    </w:tbl>
    <w:p w:rsidR="001A1198" w:rsidRPr="001625B9" w:rsidRDefault="001A1198" w:rsidP="001625B9">
      <w:pPr>
        <w:spacing w:after="120"/>
      </w:pPr>
    </w:p>
    <w:p w:rsidR="00755DF9" w:rsidRPr="001625B9" w:rsidRDefault="00755DF9" w:rsidP="002A1247">
      <w:pPr>
        <w:pStyle w:val="Heading1"/>
      </w:pPr>
      <w:r w:rsidRPr="001625B9">
        <w:lastRenderedPageBreak/>
        <w:t>3 Dimensionless Formulation</w:t>
      </w:r>
    </w:p>
    <w:p w:rsidR="00755DF9" w:rsidRPr="001625B9" w:rsidRDefault="00755DF9" w:rsidP="002A1247">
      <w:pPr>
        <w:pStyle w:val="Heading2"/>
      </w:pPr>
      <w:r w:rsidRPr="001625B9">
        <w:t>3.1 Minimum structural and foundation model</w:t>
      </w:r>
    </w:p>
    <w:p w:rsidR="00755DF9" w:rsidRPr="001625B9" w:rsidRDefault="00755DF9" w:rsidP="001625B9">
      <w:pPr>
        <w:spacing w:after="120"/>
        <w:jc w:val="both"/>
      </w:pPr>
      <w:proofErr w:type="gramStart"/>
      <w:r w:rsidRPr="001625B9">
        <w:t>The superstructure is represented by effective mass, effective height, lateral stiffness and viscous damping</w:t>
      </w:r>
      <w:proofErr w:type="gramEnd"/>
      <w:r w:rsidRPr="001625B9">
        <w:t>:</w:t>
      </w:r>
    </w:p>
    <w:p w:rsidR="00755DF9" w:rsidRPr="001625B9" w:rsidRDefault="00755DF9" w:rsidP="001625B9">
      <w:pPr>
        <w:jc w:val="both"/>
      </w:pPr>
      <m:oMath>
        <m:r>
          <w:rPr>
            <w:rFonts w:ascii="Cambria Math" w:hAnsi="Cambria Math"/>
          </w:rPr>
          <m:t>m</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s</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s</m:t>
            </m:r>
          </m:sub>
        </m:sSub>
      </m:oMath>
      <w:r>
        <w:t xml:space="preserve">    (1)</w:t>
      </w:r>
    </w:p>
    <w:p w:rsidR="00755DF9" w:rsidRPr="001625B9" w:rsidRDefault="00755DF9" w:rsidP="001625B9">
      <w:pPr>
        <w:spacing w:after="120"/>
        <w:jc w:val="both"/>
      </w:pPr>
      <w:r w:rsidRPr="001625B9">
        <w:t>The fixed-base circular frequency and period are:</w:t>
      </w:r>
    </w:p>
    <w:p w:rsidR="00755DF9" w:rsidRPr="001625B9" w:rsidRDefault="00D3410C" w:rsidP="001625B9">
      <w:pPr>
        <w:jc w:val="both"/>
      </w:pPr>
      <m:oMath>
        <m:sSub>
          <m:sSubPr>
            <m:ctrlPr>
              <w:rPr>
                <w:rFonts w:ascii="Cambria Math" w:hAnsi="Cambria Math"/>
              </w:rPr>
            </m:ctrlPr>
          </m:sSubPr>
          <m:e>
            <m:r>
              <w:rPr>
                <w:rFonts w:ascii="Cambria Math" w:hAnsi="Cambria Math"/>
              </w:rPr>
              <m:t>ω</m:t>
            </m:r>
          </m:e>
          <m:sub>
            <m:r>
              <w:rPr>
                <w:rFonts w:ascii="Cambria Math" w:hAnsi="Cambria Math"/>
              </w:rPr>
              <m:t>s</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s</m:t>
                    </m:r>
                  </m:sub>
                </m:sSub>
              </m:num>
              <m:den>
                <m:r>
                  <w:rPr>
                    <w:rFonts w:ascii="Cambria Math" w:hAnsi="Cambria Math"/>
                  </w:rPr>
                  <m:t>m</m:t>
                </m:r>
              </m:den>
            </m:f>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s</m:t>
            </m:r>
          </m:sub>
        </m:sSub>
        <m:r>
          <m:rPr>
            <m:sty m:val="p"/>
          </m:rPr>
          <w:rPr>
            <w:rFonts w:ascii="Cambria Math" w:hAnsi="Cambria Math"/>
          </w:rPr>
          <m:t>=</m:t>
        </m:r>
        <m:f>
          <m:fPr>
            <m:ctrlPr>
              <w:rPr>
                <w:rFonts w:ascii="Cambria Math" w:hAnsi="Cambria Math"/>
              </w:rPr>
            </m:ctrlPr>
          </m:fPr>
          <m:num>
            <m:r>
              <w:rPr>
                <w:rFonts w:ascii="Cambria Math" w:hAnsi="Cambria Math"/>
              </w:rPr>
              <m:t>2π</m:t>
            </m:r>
          </m:num>
          <m:den>
            <m:sSub>
              <m:sSubPr>
                <m:ctrlPr>
                  <w:rPr>
                    <w:rFonts w:ascii="Cambria Math" w:hAnsi="Cambria Math"/>
                  </w:rPr>
                </m:ctrlPr>
              </m:sSubPr>
              <m:e>
                <m:r>
                  <w:rPr>
                    <w:rFonts w:ascii="Cambria Math" w:hAnsi="Cambria Math"/>
                  </w:rPr>
                  <m:t>ω</m:t>
                </m:r>
              </m:e>
              <m:sub>
                <m:r>
                  <w:rPr>
                    <w:rFonts w:ascii="Cambria Math" w:hAnsi="Cambria Math"/>
                  </w:rPr>
                  <m:t>s</m:t>
                </m:r>
              </m:sub>
            </m:sSub>
          </m:den>
        </m:f>
      </m:oMath>
      <w:r w:rsidR="00EC2BC6">
        <w:t xml:space="preserve">    (2)</w:t>
      </w:r>
    </w:p>
    <w:p w:rsidR="00755DF9" w:rsidRPr="001625B9" w:rsidRDefault="00755DF9" w:rsidP="001625B9">
      <w:pPr>
        <w:spacing w:after="120"/>
        <w:jc w:val="both"/>
      </w:pPr>
      <w:r w:rsidRPr="001625B9">
        <w:t xml:space="preserve">The foundation </w:t>
      </w:r>
      <w:proofErr w:type="gramStart"/>
      <w:r w:rsidRPr="001625B9">
        <w:t>is represented</w:t>
      </w:r>
      <w:proofErr w:type="gramEnd"/>
      <w:r w:rsidRPr="001625B9">
        <w:t xml:space="preserve"> by horizontal and rotational stiffness terms:</w:t>
      </w:r>
    </w:p>
    <w:p w:rsidR="00755DF9" w:rsidRPr="001625B9" w:rsidRDefault="006A1028" w:rsidP="001625B9">
      <w:pPr>
        <w:spacing w:before="60" w:after="120"/>
        <w:jc w:val="both"/>
      </w:pPr>
      <w:proofErr w:type="gramStart"/>
      <w:r>
        <w:t>where</w:t>
      </w:r>
      <w:proofErr w:type="gramEnd"/>
      <w:r>
        <w:t xml:space="preserve"> kₓ denotes horizontal stiffness and </w:t>
      </w:r>
      <w:proofErr w:type="spellStart"/>
      <w:r>
        <w:t>kθ</w:t>
      </w:r>
      <w:proofErr w:type="spellEnd"/>
      <w:r>
        <w:t xml:space="preserve"> denotes rotational stiffness.</w:t>
      </w:r>
    </w:p>
    <w:p w:rsidR="00755DF9" w:rsidRPr="001625B9" w:rsidRDefault="00755DF9" w:rsidP="002A1247">
      <w:pPr>
        <w:pStyle w:val="Heading2"/>
      </w:pPr>
      <w:r w:rsidRPr="001625B9">
        <w:t>3.2 Relative foundation flexibility</w:t>
      </w:r>
    </w:p>
    <w:p w:rsidR="00755DF9" w:rsidRPr="001625B9" w:rsidRDefault="00755DF9" w:rsidP="001625B9">
      <w:pPr>
        <w:spacing w:after="120"/>
        <w:jc w:val="both"/>
      </w:pPr>
      <w:r w:rsidRPr="001625B9">
        <w:t>The two primary dimensionless groups compare structural stiffness with the horizontal and rotational flexibility of the soil-foundation system, following the usual impedance interpretation of surface and embedded foundations (</w:t>
      </w:r>
      <w:proofErr w:type="spellStart"/>
      <w:r w:rsidRPr="001625B9">
        <w:t>Dobry</w:t>
      </w:r>
      <w:proofErr w:type="spellEnd"/>
      <w:r w:rsidRPr="001625B9">
        <w:t xml:space="preserve"> and </w:t>
      </w:r>
      <w:proofErr w:type="spellStart"/>
      <w:r w:rsidRPr="001625B9">
        <w:t>Gazetas</w:t>
      </w:r>
      <w:proofErr w:type="spellEnd"/>
      <w:r w:rsidRPr="001625B9">
        <w:t xml:space="preserve">, 1986; </w:t>
      </w:r>
      <w:proofErr w:type="spellStart"/>
      <w:r w:rsidRPr="001625B9">
        <w:t>Pais</w:t>
      </w:r>
      <w:proofErr w:type="spellEnd"/>
      <w:r w:rsidRPr="001625B9">
        <w:t xml:space="preserve"> and </w:t>
      </w:r>
      <w:proofErr w:type="spellStart"/>
      <w:r w:rsidRPr="001625B9">
        <w:t>Kausel</w:t>
      </w:r>
      <w:proofErr w:type="spellEnd"/>
      <w:r w:rsidRPr="001625B9">
        <w:t xml:space="preserve">, 1988; </w:t>
      </w:r>
      <w:proofErr w:type="spellStart"/>
      <w:r w:rsidRPr="001625B9">
        <w:t>Gazetas</w:t>
      </w:r>
      <w:proofErr w:type="spellEnd"/>
      <w:r w:rsidRPr="001625B9">
        <w:t>, 1991):</w:t>
      </w:r>
    </w:p>
    <w:p w:rsidR="00755DF9" w:rsidRPr="001625B9" w:rsidRDefault="00D3410C" w:rsidP="001625B9">
      <w:pPr>
        <w:jc w:val="both"/>
      </w:pPr>
      <m:oMath>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θ</m:t>
            </m:r>
          </m:sub>
        </m:sSub>
      </m:oMath>
      <w:r w:rsidR="00EC2BC6">
        <w:t xml:space="preserve">    (3)</w:t>
      </w:r>
    </w:p>
    <w:p w:rsidR="00755DF9" w:rsidRPr="001625B9" w:rsidRDefault="00D3410C" w:rsidP="001625B9">
      <w:pPr>
        <w:jc w:val="both"/>
      </w:pPr>
      <m:oMath>
        <m:sSub>
          <m:sSubPr>
            <m:ctrlPr>
              <w:rPr>
                <w:rFonts w:ascii="Cambria Math" w:hAnsi="Cambria Math"/>
              </w:rPr>
            </m:ctrlPr>
          </m:sSubPr>
          <m:e>
            <m:r>
              <w:rPr>
                <w:rFonts w:ascii="Cambria Math" w:hAnsi="Cambria Math"/>
              </w:rPr>
              <m:t>η</m:t>
            </m:r>
          </m:e>
          <m:sub>
            <m:r>
              <w:rPr>
                <w:rFonts w:ascii="Cambria Math" w:hAnsi="Cambria Math"/>
              </w:rPr>
              <m:t>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s</m:t>
                </m:r>
              </m:sub>
            </m:sSub>
          </m:num>
          <m:den>
            <m:sSub>
              <m:sSubPr>
                <m:ctrlPr>
                  <w:rPr>
                    <w:rFonts w:ascii="Cambria Math" w:hAnsi="Cambria Math"/>
                  </w:rPr>
                </m:ctrlPr>
              </m:sSubPr>
              <m:e>
                <m:r>
                  <w:rPr>
                    <w:rFonts w:ascii="Cambria Math" w:hAnsi="Cambria Math"/>
                  </w:rPr>
                  <m:t>k</m:t>
                </m:r>
              </m:e>
              <m:sub>
                <m:r>
                  <w:rPr>
                    <w:rFonts w:ascii="Cambria Math" w:hAnsi="Cambria Math"/>
                  </w:rPr>
                  <m:t>x</m:t>
                </m:r>
              </m:sub>
            </m:sSub>
          </m:den>
        </m:f>
      </m:oMath>
      <w:r w:rsidR="00EC2BC6">
        <w:t xml:space="preserve">    (4)</w:t>
      </w:r>
    </w:p>
    <w:p w:rsidR="00755DF9" w:rsidRPr="001625B9" w:rsidRDefault="00D3410C" w:rsidP="001625B9">
      <w:pPr>
        <w:jc w:val="both"/>
      </w:pPr>
      <m:oMath>
        <m:sSub>
          <m:sSubPr>
            <m:ctrlPr>
              <w:rPr>
                <w:rFonts w:ascii="Cambria Math" w:hAnsi="Cambria Math"/>
              </w:rPr>
            </m:ctrlPr>
          </m:sSubPr>
          <m:e>
            <m:r>
              <w:rPr>
                <w:rFonts w:ascii="Cambria Math" w:hAnsi="Cambria Math"/>
              </w:rPr>
              <m:t>η</m:t>
            </m:r>
          </m:e>
          <m:sub>
            <m:r>
              <w:rPr>
                <w:rFonts w:ascii="Cambria Math" w:hAnsi="Cambria Math"/>
              </w:rPr>
              <m:t>θ</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e</m:t>
                </m:r>
              </m:sub>
              <m:sup>
                <m:r>
                  <w:rPr>
                    <w:rFonts w:ascii="Cambria Math" w:hAnsi="Cambria Math"/>
                  </w:rPr>
                  <m:t>2</m:t>
                </m:r>
              </m:sup>
            </m:sSubSup>
          </m:num>
          <m:den>
            <m:sSub>
              <m:sSubPr>
                <m:ctrlPr>
                  <w:rPr>
                    <w:rFonts w:ascii="Cambria Math" w:hAnsi="Cambria Math"/>
                  </w:rPr>
                </m:ctrlPr>
              </m:sSubPr>
              <m:e>
                <m:r>
                  <w:rPr>
                    <w:rFonts w:ascii="Cambria Math" w:hAnsi="Cambria Math"/>
                  </w:rPr>
                  <m:t>k</m:t>
                </m:r>
              </m:e>
              <m:sub>
                <m:r>
                  <w:rPr>
                    <w:rFonts w:ascii="Cambria Math" w:hAnsi="Cambria Math"/>
                  </w:rPr>
                  <m:t>θ</m:t>
                </m:r>
              </m:sub>
            </m:sSub>
          </m:den>
        </m:f>
      </m:oMath>
      <w:r w:rsidR="00755DF9">
        <w:t xml:space="preserve">    (5)</w:t>
      </w:r>
    </w:p>
    <w:p w:rsidR="00755DF9" w:rsidRPr="001625B9" w:rsidRDefault="00755DF9" w:rsidP="001625B9">
      <w:pPr>
        <w:spacing w:after="120"/>
        <w:jc w:val="both"/>
      </w:pPr>
      <w:r w:rsidRPr="001625B9">
        <w:t>When the translational and rotational flexibility ratios tend to zero, the support approaches a fixed-base condition. As they increase, SSI becomes progressively more relevant.</w:t>
      </w:r>
    </w:p>
    <w:p w:rsidR="00755DF9" w:rsidRPr="001625B9" w:rsidRDefault="00755DF9" w:rsidP="002A1247">
      <w:pPr>
        <w:pStyle w:val="Heading2"/>
      </w:pPr>
      <w:r w:rsidRPr="001625B9">
        <w:t>3.3 Effective period with flexible foundation</w:t>
      </w:r>
    </w:p>
    <w:p w:rsidR="00755DF9" w:rsidRPr="001625B9" w:rsidRDefault="00755DF9" w:rsidP="001625B9">
      <w:pPr>
        <w:spacing w:after="120"/>
        <w:jc w:val="both"/>
      </w:pPr>
      <w:r w:rsidRPr="001625B9">
        <w:t xml:space="preserve">The equivalent lateral stiffness </w:t>
      </w:r>
      <w:proofErr w:type="gramStart"/>
      <w:r w:rsidRPr="001625B9">
        <w:t>is obtained</w:t>
      </w:r>
      <w:proofErr w:type="gramEnd"/>
      <w:r w:rsidRPr="001625B9">
        <w:t xml:space="preserve"> by adding structural and foundation flexibilities in series:</w:t>
      </w:r>
    </w:p>
    <w:p w:rsidR="00755DF9" w:rsidRPr="001625B9" w:rsidRDefault="00EC2BC6" w:rsidP="001625B9">
      <w:pPr>
        <w:jc w:val="both"/>
      </w:pPr>
      <m:oMath>
        <m:r>
          <w:rPr>
            <w:rFonts w:ascii="Cambria Math" w:hAnsi="Cambria Math"/>
          </w:rPr>
          <m:t>η</m:t>
        </m:r>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θ</m:t>
            </m:r>
          </m:sub>
        </m:sSub>
      </m:oMath>
      <w:r>
        <w:t xml:space="preserve">    (6)</w:t>
      </w:r>
    </w:p>
    <w:p w:rsidR="00755DF9" w:rsidRPr="001625B9" w:rsidRDefault="00D3410C" w:rsidP="001625B9">
      <w:pPr>
        <w:jc w:val="both"/>
      </w:pPr>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eff</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w:rPr>
                    <w:rFonts w:ascii="Cambria Math" w:hAnsi="Cambria Math"/>
                  </w:rPr>
                  <m:t>s</m:t>
                </m:r>
              </m:sub>
            </m:sSub>
          </m:den>
        </m:f>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sub>
        </m:sSub>
      </m:oMath>
      <w:r w:rsidR="00EC2BC6">
        <w:t xml:space="preserve">    (7)</w:t>
      </w:r>
    </w:p>
    <w:p w:rsidR="00755DF9" w:rsidRPr="001625B9" w:rsidRDefault="00755DF9" w:rsidP="001625B9">
      <w:pPr>
        <w:spacing w:after="120"/>
        <w:jc w:val="both"/>
      </w:pPr>
      <w:r w:rsidRPr="001625B9">
        <w:lastRenderedPageBreak/>
        <w:t>Consequently, frequency decreases and the effective period increases:</w:t>
      </w:r>
    </w:p>
    <w:p w:rsidR="00755DF9" w:rsidRPr="001625B9" w:rsidRDefault="00D3410C" w:rsidP="001625B9">
      <w:pPr>
        <w:jc w:val="both"/>
      </w:pPr>
      <m:oMath>
        <m:sSub>
          <m:sSubPr>
            <m:ctrlPr>
              <w:rPr>
                <w:rFonts w:ascii="Cambria Math" w:hAnsi="Cambria Math"/>
              </w:rPr>
            </m:ctrlPr>
          </m:sSubPr>
          <m:e>
            <m:r>
              <w:rPr>
                <w:rFonts w:ascii="Cambria Math" w:hAnsi="Cambria Math"/>
              </w:rPr>
              <m:t>k</m:t>
            </m:r>
          </m:e>
          <m:sub>
            <m:r>
              <w:rPr>
                <w:rFonts w:ascii="Cambria Math" w:hAnsi="Cambria Math"/>
              </w:rPr>
              <m:t>eff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s</m:t>
                </m:r>
              </m:sub>
            </m:sSub>
          </m:num>
          <m:den>
            <m:r>
              <w:rPr>
                <w:rFonts w:ascii="Cambria Math" w:hAnsi="Cambria Math"/>
              </w:rPr>
              <m:t>1</m:t>
            </m:r>
            <m:r>
              <m:rPr>
                <m:sty m:val="p"/>
              </m:rPr>
              <w:rPr>
                <w:rFonts w:ascii="Cambria Math" w:hAnsi="Cambria Math"/>
              </w:rPr>
              <m:t>+</m:t>
            </m:r>
            <m:r>
              <w:rPr>
                <w:rFonts w:ascii="Cambria Math" w:hAnsi="Cambria Math"/>
              </w:rPr>
              <m:t>η</m:t>
            </m:r>
          </m:den>
        </m:f>
      </m:oMath>
      <w:r w:rsidR="00EC2BC6">
        <w:t xml:space="preserve">    (8)</w:t>
      </w:r>
    </w:p>
    <w:p w:rsidR="00755DF9" w:rsidRPr="001625B9" w:rsidRDefault="00D3410C" w:rsidP="001625B9">
      <w:pPr>
        <w:jc w:val="both"/>
      </w:pPr>
      <m:oMath>
        <m:sSub>
          <m:sSubPr>
            <m:ctrlPr>
              <w:rPr>
                <w:rFonts w:ascii="Cambria Math" w:hAnsi="Cambria Math"/>
              </w:rPr>
            </m:ctrlPr>
          </m:sSubPr>
          <m:e>
            <m:r>
              <w:rPr>
                <w:rFonts w:ascii="Cambria Math" w:hAnsi="Cambria Math"/>
              </w:rPr>
              <m:t>ω</m:t>
            </m:r>
          </m:e>
          <m:sub>
            <m:r>
              <w:rPr>
                <w:rFonts w:ascii="Cambria Math" w:hAnsi="Cambria Math"/>
              </w:rPr>
              <m:t>SSI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s</m:t>
                </m:r>
              </m:sub>
            </m:sSub>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η</m:t>
                </m:r>
              </m:e>
            </m:rad>
          </m:den>
        </m:f>
      </m:oMath>
      <w:r w:rsidR="00EC2BC6">
        <w:t xml:space="preserve">    (9)</w:t>
      </w:r>
    </w:p>
    <w:p w:rsidR="00755DF9" w:rsidRPr="001625B9" w:rsidRDefault="00755DF9" w:rsidP="001625B9">
      <w:pPr>
        <w:spacing w:after="120"/>
        <w:jc w:val="both"/>
      </w:pPr>
      <w:r w:rsidRPr="001625B9">
        <w:t>In this linear screening model, foundation flexibility always elongates the fundamental period. Whether this elongation is beneficial depends on the spectral region and the additional damping and kinematic filtering provided by the soil-foundation system.</w:t>
      </w:r>
    </w:p>
    <w:p w:rsidR="00755DF9" w:rsidRPr="001625B9" w:rsidRDefault="00755DF9" w:rsidP="002A1247">
      <w:pPr>
        <w:pStyle w:val="Heading2"/>
      </w:pPr>
      <w:r w:rsidRPr="001625B9">
        <w:t>3.4 Soil and foundation dimensionless parameters</w:t>
      </w:r>
    </w:p>
    <w:p w:rsidR="00755DF9" w:rsidRPr="001625B9" w:rsidRDefault="00755DF9" w:rsidP="001625B9">
      <w:pPr>
        <w:spacing w:after="120"/>
        <w:jc w:val="both"/>
      </w:pPr>
      <w:r w:rsidRPr="001625B9">
        <w:t>For an equivalent foundation radius, soil shear modulus, density and shear-wave velocity:</w:t>
      </w:r>
    </w:p>
    <w:p w:rsidR="00755DF9" w:rsidRPr="001625B9" w:rsidRDefault="00D3410C" w:rsidP="001625B9">
      <w:pPr>
        <w:jc w:val="both"/>
      </w:pPr>
      <m:oMath>
        <m:sSub>
          <m:sSubPr>
            <m:ctrlPr>
              <w:rPr>
                <w:rFonts w:ascii="Cambria Math" w:hAnsi="Cambria Math"/>
              </w:rPr>
            </m:ctrlPr>
          </m:sSubPr>
          <m:e>
            <m:r>
              <w:rPr>
                <w:rFonts w:ascii="Cambria Math" w:hAnsi="Cambria Math"/>
              </w:rPr>
              <m:t>T</m:t>
            </m:r>
          </m:e>
          <m:sub>
            <m:r>
              <w:rPr>
                <w:rFonts w:ascii="Cambria Math" w:hAnsi="Cambria Math"/>
              </w:rPr>
              <m:t>SSI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η</m:t>
            </m:r>
          </m:e>
        </m:rad>
      </m:oMath>
      <w:r w:rsidR="00EC2BC6">
        <w:t xml:space="preserve">    (10)</w:t>
      </w:r>
    </w:p>
    <w:p w:rsidR="00755DF9" w:rsidRPr="001625B9" w:rsidRDefault="00755DF9" w:rsidP="001625B9">
      <w:pPr>
        <w:spacing w:after="120"/>
        <w:jc w:val="both"/>
      </w:pPr>
      <w:r w:rsidRPr="001625B9">
        <w:t>The most relevant groups are dimensionless frequency, mass ratio and relative slenderness:</w:t>
      </w:r>
    </w:p>
    <w:p w:rsidR="00755DF9" w:rsidRPr="001625B9" w:rsidRDefault="00EC2BC6" w:rsidP="001625B9">
      <w:pPr>
        <w:jc w:val="both"/>
      </w:pPr>
      <m:oMath>
        <m:r>
          <w:rPr>
            <w:rFonts w:ascii="Cambria Math" w:hAnsi="Cambria Math"/>
          </w:rPr>
          <m:t>G</m:t>
        </m:r>
        <m:r>
          <m:rPr>
            <m:sty m:val="p"/>
          </m:rPr>
          <w:rPr>
            <w:rFonts w:ascii="Cambria Math" w:hAnsi="Cambria Math"/>
          </w:rPr>
          <m:t>=</m:t>
        </m:r>
        <m:r>
          <w:rPr>
            <w:rFonts w:ascii="Cambria Math" w:hAnsi="Cambria Math"/>
          </w:rPr>
          <m:t>ρ</m:t>
        </m:r>
        <m:sSubSup>
          <m:sSubSupPr>
            <m:ctrlPr>
              <w:rPr>
                <w:rFonts w:ascii="Cambria Math" w:hAnsi="Cambria Math"/>
              </w:rPr>
            </m:ctrlPr>
          </m:sSubSupPr>
          <m:e>
            <m:r>
              <w:rPr>
                <w:rFonts w:ascii="Cambria Math" w:hAnsi="Cambria Math"/>
              </w:rPr>
              <m:t>V</m:t>
            </m:r>
          </m:e>
          <m:sub>
            <m:r>
              <w:rPr>
                <w:rFonts w:ascii="Cambria Math" w:hAnsi="Cambria Math"/>
              </w:rPr>
              <m:t>s</m:t>
            </m:r>
          </m:sub>
          <m:sup>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r>
              <m:rPr>
                <m:sty m:val="p"/>
              </m:rPr>
              <w:rPr>
                <w:rFonts w:ascii="Cambria Math" w:hAnsi="Cambria Math"/>
              </w:rPr>
              <m:t>/</m:t>
            </m:r>
            <m:r>
              <w:rPr>
                <w:rFonts w:ascii="Cambria Math" w:hAnsi="Cambria Math"/>
              </w:rPr>
              <m:t>π</m:t>
            </m:r>
          </m:e>
        </m:rad>
      </m:oMath>
      <w:r>
        <w:t xml:space="preserve">    (11)</w:t>
      </w:r>
    </w:p>
    <w:p w:rsidR="00755DF9" w:rsidRPr="001625B9" w:rsidRDefault="00D3410C" w:rsidP="001625B9">
      <w:pPr>
        <w:jc w:val="both"/>
      </w:pPr>
      <m:oMath>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s</m:t>
                </m:r>
              </m:sub>
            </m:sSub>
            <m:sSub>
              <m:sSubPr>
                <m:ctrlPr>
                  <w:rPr>
                    <w:rFonts w:ascii="Cambria Math" w:hAnsi="Cambria Math"/>
                  </w:rPr>
                </m:ctrlPr>
              </m:sSubPr>
              <m:e>
                <m:r>
                  <w:rPr>
                    <w:rFonts w:ascii="Cambria Math" w:hAnsi="Cambria Math"/>
                  </w:rPr>
                  <m:t>r</m:t>
                </m:r>
              </m:e>
              <m:sub>
                <m:r>
                  <w:rPr>
                    <w:rFonts w:ascii="Cambria Math" w:hAnsi="Cambria Math"/>
                  </w:rPr>
                  <m:t>0</m:t>
                </m:r>
              </m:sub>
            </m:sSub>
          </m:num>
          <m:den>
            <m:sSub>
              <m:sSubPr>
                <m:ctrlPr>
                  <w:rPr>
                    <w:rFonts w:ascii="Cambria Math" w:hAnsi="Cambria Math"/>
                  </w:rPr>
                </m:ctrlPr>
              </m:sSubPr>
              <m:e>
                <m:r>
                  <w:rPr>
                    <w:rFonts w:ascii="Cambria Math" w:hAnsi="Cambria Math"/>
                  </w:rPr>
                  <m:t>V</m:t>
                </m:r>
              </m:e>
              <m:sub>
                <m:r>
                  <w:rPr>
                    <w:rFonts w:ascii="Cambria Math" w:hAnsi="Cambria Math"/>
                  </w:rPr>
                  <m:t>s</m:t>
                </m:r>
              </m:sub>
            </m:sSub>
          </m:den>
        </m:f>
        <m:r>
          <m:rPr>
            <m:sty m:val="p"/>
          </m:rPr>
          <w:rPr>
            <w:rFonts w:ascii="Cambria Math" w:hAnsi="Cambria Math"/>
          </w:rPr>
          <m:t>,</m:t>
        </m:r>
        <m:r>
          <w:rPr>
            <w:rFonts w:ascii="Cambria Math" w:hAnsi="Cambria Math"/>
          </w:rPr>
          <m:t> μ</m:t>
        </m:r>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ρ</m:t>
            </m:r>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3</m:t>
                </m:r>
              </m:sup>
            </m:sSubSup>
          </m:den>
        </m:f>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h</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e</m:t>
                </m:r>
              </m:sub>
            </m:sSub>
          </m:num>
          <m:den>
            <m:sSub>
              <m:sSubPr>
                <m:ctrlPr>
                  <w:rPr>
                    <w:rFonts w:ascii="Cambria Math" w:hAnsi="Cambria Math"/>
                  </w:rPr>
                </m:ctrlPr>
              </m:sSubPr>
              <m:e>
                <m:r>
                  <w:rPr>
                    <w:rFonts w:ascii="Cambria Math" w:hAnsi="Cambria Math"/>
                  </w:rPr>
                  <m:t>r</m:t>
                </m:r>
              </m:e>
              <m:sub>
                <m:r>
                  <w:rPr>
                    <w:rFonts w:ascii="Cambria Math" w:hAnsi="Cambria Math"/>
                  </w:rPr>
                  <m:t>0</m:t>
                </m:r>
              </m:sub>
            </m:sSub>
          </m:den>
        </m:f>
      </m:oMath>
      <w:r w:rsidR="00755DF9">
        <w:t xml:space="preserve">    (12)</w:t>
      </w:r>
    </w:p>
    <w:p w:rsidR="00755DF9" w:rsidRPr="001625B9" w:rsidRDefault="00755DF9" w:rsidP="001625B9">
      <w:pPr>
        <w:spacing w:after="120"/>
        <w:jc w:val="both"/>
      </w:pPr>
      <w:r w:rsidRPr="001625B9">
        <w:t xml:space="preserve">If impedance </w:t>
      </w:r>
      <w:proofErr w:type="spellStart"/>
      <w:r w:rsidRPr="001625B9">
        <w:t>stiffnesses</w:t>
      </w:r>
      <w:proofErr w:type="spellEnd"/>
      <w:r w:rsidRPr="001625B9">
        <w:t xml:space="preserve"> </w:t>
      </w:r>
      <w:proofErr w:type="gramStart"/>
      <w:r w:rsidRPr="001625B9">
        <w:t>are expressed</w:t>
      </w:r>
      <w:proofErr w:type="gramEnd"/>
      <w:r w:rsidRPr="001625B9">
        <w:t xml:space="preserve"> in normalized form:</w:t>
      </w:r>
    </w:p>
    <w:p w:rsidR="00755DF9" w:rsidRPr="001625B9" w:rsidRDefault="00D3410C" w:rsidP="001625B9">
      <w:pPr>
        <w:jc w:val="both"/>
      </w:pPr>
      <m:oMath>
        <m:sSub>
          <m:sSubPr>
            <m:ctrlPr>
              <w:rPr>
                <w:rFonts w:ascii="Cambria Math" w:hAnsi="Cambria Math"/>
              </w:rPr>
            </m:ctrlPr>
          </m:sSubPr>
          <m:e>
            <m:r>
              <w:rPr>
                <w:rFonts w:ascii="Cambria Math" w:hAnsi="Cambria Math"/>
              </w:rPr>
              <m:t>k</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G</m:t>
        </m:r>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θ</m:t>
            </m:r>
          </m:sub>
        </m:sSub>
        <m:r>
          <w:rPr>
            <w:rFonts w:ascii="Cambria Math" w:hAnsi="Cambria Math"/>
          </w:rPr>
          <m:t>G</m:t>
        </m:r>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3</m:t>
            </m:r>
          </m:sup>
        </m:sSubSup>
      </m:oMath>
      <w:r w:rsidR="00EC2BC6">
        <w:t xml:space="preserve">    (13)</w:t>
      </w:r>
    </w:p>
    <w:p w:rsidR="00755DF9" w:rsidRPr="001625B9" w:rsidRDefault="00755DF9" w:rsidP="001625B9">
      <w:pPr>
        <w:spacing w:after="120"/>
        <w:jc w:val="both"/>
      </w:pPr>
      <w:proofErr w:type="gramStart"/>
      <w:r w:rsidRPr="001625B9">
        <w:t>the</w:t>
      </w:r>
      <w:proofErr w:type="gramEnd"/>
      <w:r w:rsidRPr="001625B9">
        <w:t xml:space="preserve"> relative flexibilities can be written as:</w:t>
      </w:r>
    </w:p>
    <w:p w:rsidR="00755DF9" w:rsidRPr="001625B9" w:rsidRDefault="00D3410C" w:rsidP="001625B9">
      <w:pPr>
        <w:jc w:val="both"/>
      </w:pPr>
      <m:oMath>
        <m:sSub>
          <m:sSubPr>
            <m:ctrlPr>
              <w:rPr>
                <w:rFonts w:ascii="Cambria Math" w:hAnsi="Cambria Math"/>
              </w:rPr>
            </m:ctrlPr>
          </m:sSubPr>
          <m:e>
            <m:r>
              <w:rPr>
                <w:rFonts w:ascii="Cambria Math" w:hAnsi="Cambria Math"/>
              </w:rPr>
              <m:t>η</m:t>
            </m:r>
          </m:e>
          <m:sub>
            <m:r>
              <w:rPr>
                <w:rFonts w:ascii="Cambria Math" w:hAnsi="Cambria Math"/>
              </w:rPr>
              <m:t>x</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s</m:t>
                </m:r>
              </m:sub>
            </m:sSub>
          </m:num>
          <m:den>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G</m:t>
            </m:r>
            <m:sSub>
              <m:sSubPr>
                <m:ctrlPr>
                  <w:rPr>
                    <w:rFonts w:ascii="Cambria Math" w:hAnsi="Cambria Math"/>
                  </w:rPr>
                </m:ctrlPr>
              </m:sSubPr>
              <m:e>
                <m:r>
                  <w:rPr>
                    <w:rFonts w:ascii="Cambria Math" w:hAnsi="Cambria Math"/>
                  </w:rPr>
                  <m:t>r</m:t>
                </m:r>
              </m:e>
              <m:sub>
                <m:r>
                  <w:rPr>
                    <w:rFonts w:ascii="Cambria Math" w:hAnsi="Cambria Math"/>
                  </w:rPr>
                  <m:t>0</m:t>
                </m:r>
              </m:sub>
            </m:sSub>
          </m:den>
        </m:f>
      </m:oMath>
      <w:r w:rsidR="00EC2BC6">
        <w:t xml:space="preserve">    (14)</w:t>
      </w:r>
    </w:p>
    <w:p w:rsidR="00755DF9" w:rsidRPr="001625B9" w:rsidRDefault="00D3410C" w:rsidP="001625B9">
      <w:pPr>
        <w:jc w:val="both"/>
      </w:pPr>
      <m:oMath>
        <m:sSub>
          <m:sSubPr>
            <m:ctrlPr>
              <w:rPr>
                <w:rFonts w:ascii="Cambria Math" w:hAnsi="Cambria Math"/>
              </w:rPr>
            </m:ctrlPr>
          </m:sSubPr>
          <m:e>
            <m:r>
              <w:rPr>
                <w:rFonts w:ascii="Cambria Math" w:hAnsi="Cambria Math"/>
              </w:rPr>
              <m:t>η</m:t>
            </m:r>
          </m:e>
          <m:sub>
            <m:r>
              <w:rPr>
                <w:rFonts w:ascii="Cambria Math" w:hAnsi="Cambria Math"/>
              </w:rPr>
              <m:t>θ</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e</m:t>
                </m:r>
              </m:sub>
              <m:sup>
                <m:r>
                  <w:rPr>
                    <w:rFonts w:ascii="Cambria Math" w:hAnsi="Cambria Math"/>
                  </w:rPr>
                  <m:t>2</m:t>
                </m:r>
              </m:sup>
            </m:sSubSup>
          </m:num>
          <m:den>
            <m:sSub>
              <m:sSubPr>
                <m:ctrlPr>
                  <w:rPr>
                    <w:rFonts w:ascii="Cambria Math" w:hAnsi="Cambria Math"/>
                  </w:rPr>
                </m:ctrlPr>
              </m:sSubPr>
              <m:e>
                <m:r>
                  <w:rPr>
                    <w:rFonts w:ascii="Cambria Math" w:hAnsi="Cambria Math"/>
                  </w:rPr>
                  <m:t>K</m:t>
                </m:r>
              </m:e>
              <m:sub>
                <m:r>
                  <w:rPr>
                    <w:rFonts w:ascii="Cambria Math" w:hAnsi="Cambria Math"/>
                  </w:rPr>
                  <m:t>θ</m:t>
                </m:r>
              </m:sub>
            </m:sSub>
            <m:r>
              <w:rPr>
                <w:rFonts w:ascii="Cambria Math" w:hAnsi="Cambria Math"/>
              </w:rPr>
              <m:t>G</m:t>
            </m:r>
            <m:sSubSup>
              <m:sSubSupPr>
                <m:ctrlPr>
                  <w:rPr>
                    <w:rFonts w:ascii="Cambria Math" w:hAnsi="Cambria Math"/>
                  </w:rPr>
                </m:ctrlPr>
              </m:sSubSupPr>
              <m:e>
                <m:r>
                  <w:rPr>
                    <w:rFonts w:ascii="Cambria Math" w:hAnsi="Cambria Math"/>
                  </w:rPr>
                  <m:t>r</m:t>
                </m:r>
              </m:e>
              <m:sub>
                <m:r>
                  <w:rPr>
                    <w:rFonts w:ascii="Cambria Math" w:hAnsi="Cambria Math"/>
                  </w:rPr>
                  <m:t>0</m:t>
                </m:r>
              </m:sub>
              <m:sup>
                <m:r>
                  <w:rPr>
                    <w:rFonts w:ascii="Cambria Math" w:hAnsi="Cambria Math"/>
                  </w:rPr>
                  <m:t>3</m:t>
                </m:r>
              </m:sup>
            </m:sSubSup>
          </m:den>
        </m:f>
      </m:oMath>
      <w:r w:rsidR="00EC2BC6">
        <w:t xml:space="preserve">    (15)</w:t>
      </w:r>
    </w:p>
    <w:p w:rsidR="00755DF9" w:rsidRPr="001625B9" w:rsidRDefault="00755DF9" w:rsidP="001625B9">
      <w:pPr>
        <w:spacing w:after="120"/>
        <w:jc w:val="both"/>
      </w:pPr>
      <w:r w:rsidRPr="001625B9">
        <w:t>Interaction increases for heavier structures, softer soils, smaller foundations or more slender structural configurations.</w:t>
      </w:r>
    </w:p>
    <w:p w:rsidR="00755DF9" w:rsidRPr="001625B9" w:rsidRDefault="00755DF9" w:rsidP="002A1247">
      <w:pPr>
        <w:pStyle w:val="Heading2"/>
      </w:pPr>
      <w:r w:rsidRPr="001625B9">
        <w:lastRenderedPageBreak/>
        <w:t>3.5 Effective damping</w:t>
      </w:r>
    </w:p>
    <w:p w:rsidR="00755DF9" w:rsidRPr="001625B9" w:rsidRDefault="00755DF9" w:rsidP="001625B9">
      <w:pPr>
        <w:spacing w:after="120"/>
        <w:jc w:val="both"/>
      </w:pPr>
      <w:r w:rsidRPr="001625B9">
        <w:t xml:space="preserve">The flexible foundation may add material and radiation damping. These contributions are sensitive to soil strain level, wave radiation and foundation embedment, so the present formulation treats damping as a screening variable rather than as a fixed benefit (Seed and </w:t>
      </w:r>
      <w:proofErr w:type="spellStart"/>
      <w:r w:rsidRPr="001625B9">
        <w:t>Idriss</w:t>
      </w:r>
      <w:proofErr w:type="spellEnd"/>
      <w:r w:rsidRPr="001625B9">
        <w:t>, 1970; Kramer, 1996; Stewart et al., 1999). A useful screening approximation is:</w:t>
      </w:r>
    </w:p>
    <w:p w:rsidR="00B530E8" w:rsidRDefault="00E6320B">
      <w:pPr>
        <w:pStyle w:val="Heading2"/>
      </w:pPr>
      <w:r>
        <w:t>3.6 Mathematical formulation and admissibility</w:t>
      </w:r>
    </w:p>
    <w:p w:rsidR="009C1914" w:rsidRDefault="001D6813">
      <w:pPr>
        <w:jc w:val="both"/>
      </w:pPr>
      <w:r>
        <w:t xml:space="preserve">The reduced theory </w:t>
      </w:r>
      <w:proofErr w:type="gramStart"/>
      <w:r>
        <w:t>is defined</w:t>
      </w:r>
      <w:proofErr w:type="gramEnd"/>
      <w:r>
        <w:t xml:space="preserve"> by the fixed-base period, the flexible-foundation period, the period-lengthening factor λ, the flexibility index η, and the positive combined demand modifier χ. The admissible domain requires positive periods, λ ≥ 1, η ≥ 0, χ &gt; 0, </w:t>
      </w:r>
      <w:proofErr w:type="gramStart"/>
      <w:r>
        <w:t>positive</w:t>
      </w:r>
      <w:proofErr w:type="gramEnd"/>
      <w:r>
        <w:t xml:space="preserve"> spectral ordinates over the interval of interest, and a symmetric positive-semidefinite foundation compliance matrix. Negative foundation flexibility, non-positive spectral ordinates or non-positive damping/kinematic modifiers are inadmissible.</w:t>
      </w:r>
    </w:p>
    <w:p w:rsidR="009C1914" w:rsidRDefault="001D6813">
      <w:pPr>
        <w:jc w:val="both"/>
      </w:pPr>
      <w:r>
        <w:t xml:space="preserve">Foundation flexibility </w:t>
      </w:r>
      <w:proofErr w:type="gramStart"/>
      <w:r>
        <w:t>is connected</w:t>
      </w:r>
      <w:proofErr w:type="gramEnd"/>
      <w:r>
        <w:t xml:space="preserve"> to continuum or impedance models through a foundation compliance matrix. For a generalized lateral force and rocking moment, the matrix maps applied actions into foundation translation and rotation. The equivalent generalized foundation displacement at the effective height combines translation and rocking, and the resulting generalized compliance defines η through the structural stiffness. This bridge includes translation, rocking and translation-rocking coupling.</w:t>
      </w:r>
    </w:p>
    <w:p w:rsidR="009C1914" w:rsidRDefault="001D6813">
      <w:pPr>
        <w:jc w:val="both"/>
      </w:pPr>
      <w:r>
        <w:t xml:space="preserve">Damping and kinematic interaction are not hardwired into the theorem. They enter through a positive combined modifier χ. A damping model </w:t>
      </w:r>
      <w:proofErr w:type="gramStart"/>
      <w:r>
        <w:t>may be introduced</w:t>
      </w:r>
      <w:proofErr w:type="gramEnd"/>
      <w:r>
        <w:t xml:space="preserve"> through an effective damping reduction function, and kinematic filtering may be represented through a positive foundation-input interaction factor. Different empirical or code-based choices shift the spectral-slope boundaries through χ, but do not change the topology of the demand-polarity map.</w:t>
      </w:r>
    </w:p>
    <w:p w:rsidR="009C1914" w:rsidRDefault="001D6813">
      <w:pPr>
        <w:jc w:val="both"/>
      </w:pPr>
      <w:r>
        <w:t xml:space="preserve">Within the linear SDOF-equivalent spectral framework, spectral displacement is proportional to the square of period </w:t>
      </w:r>
      <w:proofErr w:type="gramStart"/>
      <w:r>
        <w:t>times</w:t>
      </w:r>
      <w:proofErr w:type="gramEnd"/>
      <w:r>
        <w:t xml:space="preserve"> spectral acceleration. Therefore, period elongation introduces the factor λ² in the total-displacement demand ratio. When the force-demand ratio </w:t>
      </w:r>
      <w:proofErr w:type="gramStart"/>
      <w:r>
        <w:t>is defined</w:t>
      </w:r>
      <w:proofErr w:type="gramEnd"/>
      <w:r>
        <w:t xml:space="preserve"> with the same spectral interval and </w:t>
      </w:r>
      <w:r>
        <w:lastRenderedPageBreak/>
        <w:t xml:space="preserve">demand modifier, the total-displacement ratio becomes λ² times the force-demand ratio. This relation holds for the same effective generalized coordinate; it is not a direct prediction of MDOF </w:t>
      </w:r>
      <w:proofErr w:type="spellStart"/>
      <w:r>
        <w:t>interstory</w:t>
      </w:r>
      <w:proofErr w:type="spellEnd"/>
      <w:r>
        <w:t xml:space="preserve"> drift.</w:t>
      </w:r>
    </w:p>
    <w:p w:rsidR="009C1914" w:rsidRDefault="001D6813">
      <w:pPr>
        <w:jc w:val="both"/>
      </w:pPr>
      <w:r>
        <w:t>Theorem 1, SSI demand-polarity theorem. For an admissible flexible-foundation SDOF system with positive period lengthening, the mixed force-beneficial/displacement-detrimental regime occurs exactly when the force-demand ratio lies between the displacement-neutral boundary and unity. Equivalently, in the unmodified secant-slope case, the mixed regime occupies the spectral-slope window −2 &lt; nₛ &lt; 0.</w:t>
      </w:r>
    </w:p>
    <w:p w:rsidR="009C1914" w:rsidRDefault="001D6813">
      <w:pPr>
        <w:jc w:val="both"/>
      </w:pPr>
      <w:r>
        <w:t>Proof. Force reduction requires the force-demand ratio to be below unity. Displacement penalty requires the total-displacement ratio to be above unity. Combining these two inequalities gives the mixed-regime boundary. Substitution of the period-lengthening relation converts the condition into the flexibility-based boundary; substitution of the secant spectral-slope expression gives the slope-window form.</w:t>
      </w:r>
    </w:p>
    <w:p w:rsidR="009C1914" w:rsidRDefault="001D6813">
      <w:pPr>
        <w:jc w:val="both"/>
      </w:pPr>
      <w:r>
        <w:t xml:space="preserve">Corollary </w:t>
      </w:r>
      <w:proofErr w:type="gramStart"/>
      <w:r>
        <w:t>1</w:t>
      </w:r>
      <w:proofErr w:type="gramEnd"/>
      <w:r>
        <w:t xml:space="preserve">, asymmetry of demand polarity. For positive period lengthening, the total-displacement ratio is always larger than the force-demand ratio by the period-elongation factor. Therefore, a force-detrimental but total-displacement-beneficial case is impossible within the reduced model. The rocking fraction changes the partition of foundation translation and rocking </w:t>
      </w:r>
      <w:proofErr w:type="gramStart"/>
      <w:r>
        <w:t>but,</w:t>
      </w:r>
      <w:proofErr w:type="gramEnd"/>
      <w:r>
        <w:t xml:space="preserve"> for fixed total flexibility, does not change the force-total-displacement polarity class.</w:t>
      </w:r>
    </w:p>
    <w:p w:rsidR="009C1914" w:rsidRDefault="001D6813">
      <w:pPr>
        <w:jc w:val="both"/>
      </w:pPr>
      <w:r>
        <w:t xml:space="preserve">The secant slope is the logarithmic average of the spectral slope over the interval traversed by period elongation. It therefore captures the actual spectral change between the fixed-base and flexible-foundation periods. The local slope </w:t>
      </w:r>
      <w:proofErr w:type="gramStart"/>
      <w:r>
        <w:t>is retained</w:t>
      </w:r>
      <w:proofErr w:type="gramEnd"/>
      <w:r>
        <w:t xml:space="preserve"> only as a Level 1 approximation when the full interval is not available.</w:t>
      </w:r>
    </w:p>
    <w:p w:rsidR="009C1914" w:rsidRDefault="001D6813">
      <w:pPr>
        <w:jc w:val="both"/>
      </w:pPr>
      <w:r>
        <w:t xml:space="preserve">The local-slope error </w:t>
      </w:r>
      <w:proofErr w:type="gramStart"/>
      <w:r>
        <w:t>is controlled</w:t>
      </w:r>
      <w:proofErr w:type="gramEnd"/>
      <w:r>
        <w:t xml:space="preserve"> by spectral curvature over the period-elongation interval. Robust classification </w:t>
      </w:r>
      <w:proofErr w:type="gramStart"/>
      <w:r>
        <w:t>is reported</w:t>
      </w:r>
      <w:proofErr w:type="gramEnd"/>
      <w:r>
        <w:t xml:space="preserve"> by comparing the distance to the nearest polarity boundary against an uncertainty allowance that combines demand-modifier uncertainty, slope uncertainty and period-elongation uncertainty.</w:t>
      </w:r>
    </w:p>
    <w:p w:rsidR="00AF2D23" w:rsidRDefault="00AF2D23">
      <w:pPr>
        <w:jc w:val="both"/>
      </w:pPr>
      <w:r>
        <w:t>Table 3 lists the admissibility requirements, limiting cases and robustness checks used to keep the closed-form map within its valid domain.</w:t>
      </w:r>
    </w:p>
    <w:p w:rsidR="00B530E8" w:rsidRPr="00AF2D23" w:rsidRDefault="00E6320B">
      <w:pPr>
        <w:keepNext/>
        <w:jc w:val="center"/>
        <w:rPr>
          <w:sz w:val="20"/>
        </w:rPr>
      </w:pPr>
      <w:r w:rsidRPr="00AF2D23">
        <w:lastRenderedPageBreak/>
        <w:t>Table 3. Mathematical admissibility, limiting cases and robustness checks.</w:t>
      </w:r>
    </w:p>
    <w:tbl>
      <w:tblPr>
        <w:tblStyle w:val="PlainTable2"/>
        <w:tblW w:w="0" w:type="auto"/>
        <w:jc w:val="center"/>
        <w:tblLook w:val="0420" w:firstRow="1" w:lastRow="0" w:firstColumn="0" w:lastColumn="0" w:noHBand="0" w:noVBand="1"/>
      </w:tblPr>
      <w:tblGrid>
        <w:gridCol w:w="2400"/>
        <w:gridCol w:w="2400"/>
        <w:gridCol w:w="2400"/>
      </w:tblGrid>
      <w:tr w:rsidR="00B530E8" w:rsidRPr="00EC2BC6" w:rsidTr="00EC2BC6">
        <w:trPr>
          <w:cnfStyle w:val="100000000000" w:firstRow="1" w:lastRow="0" w:firstColumn="0" w:lastColumn="0" w:oddVBand="0" w:evenVBand="0" w:oddHBand="0" w:evenHBand="0" w:firstRowFirstColumn="0" w:firstRowLastColumn="0" w:lastRowFirstColumn="0" w:lastRowLastColumn="0"/>
          <w:tblHeader/>
          <w:jc w:val="center"/>
        </w:trPr>
        <w:tc>
          <w:tcPr>
            <w:tcW w:w="2400" w:type="dxa"/>
            <w:vAlign w:val="center"/>
          </w:tcPr>
          <w:p w:rsidR="00B530E8" w:rsidRPr="00EC2BC6" w:rsidRDefault="00E6320B">
            <w:pPr>
              <w:rPr>
                <w:sz w:val="20"/>
              </w:rPr>
            </w:pPr>
            <w:r w:rsidRPr="00EC2BC6">
              <w:rPr>
                <w:sz w:val="20"/>
              </w:rPr>
              <w:t>Case or condition</w:t>
            </w:r>
          </w:p>
        </w:tc>
        <w:tc>
          <w:tcPr>
            <w:tcW w:w="2400" w:type="dxa"/>
            <w:vAlign w:val="center"/>
          </w:tcPr>
          <w:p w:rsidR="00B530E8" w:rsidRPr="00EC2BC6" w:rsidRDefault="00E6320B">
            <w:pPr>
              <w:rPr>
                <w:sz w:val="20"/>
              </w:rPr>
            </w:pPr>
            <w:r w:rsidRPr="00EC2BC6">
              <w:rPr>
                <w:sz w:val="20"/>
              </w:rPr>
              <w:t>Result</w:t>
            </w:r>
          </w:p>
        </w:tc>
        <w:tc>
          <w:tcPr>
            <w:tcW w:w="2400" w:type="dxa"/>
            <w:vAlign w:val="center"/>
          </w:tcPr>
          <w:p w:rsidR="00B530E8" w:rsidRPr="00EC2BC6" w:rsidRDefault="00E6320B">
            <w:pPr>
              <w:rPr>
                <w:sz w:val="20"/>
              </w:rPr>
            </w:pPr>
            <w:r w:rsidRPr="00EC2BC6">
              <w:rPr>
                <w:sz w:val="20"/>
              </w:rPr>
              <w:t>Interpretation</w:t>
            </w:r>
          </w:p>
        </w:tc>
      </w:tr>
      <w:tr w:rsidR="00B530E8"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2400" w:type="dxa"/>
            <w:vAlign w:val="center"/>
          </w:tcPr>
          <w:p w:rsidR="00B530E8" w:rsidRPr="00EC2BC6" w:rsidRDefault="00E6320B">
            <w:pPr>
              <w:rPr>
                <w:sz w:val="20"/>
              </w:rPr>
            </w:pPr>
            <w:r>
              <w:rPr>
                <w:sz w:val="20"/>
              </w:rPr>
              <w:t>η = 0</w:t>
            </w:r>
          </w:p>
        </w:tc>
        <w:tc>
          <w:tcPr>
            <w:tcW w:w="2400" w:type="dxa"/>
            <w:vAlign w:val="center"/>
          </w:tcPr>
          <w:p w:rsidR="00B530E8" w:rsidRPr="00EC2BC6" w:rsidRDefault="00E6320B">
            <w:pPr>
              <w:rPr>
                <w:sz w:val="20"/>
              </w:rPr>
            </w:pPr>
            <w:r>
              <w:rPr>
                <w:sz w:val="20"/>
              </w:rPr>
              <w:t>λ = 1</w:t>
            </w:r>
          </w:p>
        </w:tc>
        <w:tc>
          <w:tcPr>
            <w:tcW w:w="2400" w:type="dxa"/>
            <w:vAlign w:val="center"/>
          </w:tcPr>
          <w:p w:rsidR="00B530E8" w:rsidRPr="00EC2BC6" w:rsidRDefault="00E6320B">
            <w:pPr>
              <w:rPr>
                <w:sz w:val="20"/>
              </w:rPr>
            </w:pPr>
            <w:r w:rsidRPr="00EC2BC6">
              <w:rPr>
                <w:sz w:val="20"/>
              </w:rPr>
              <w:t xml:space="preserve">Fixed-base limit </w:t>
            </w:r>
            <w:proofErr w:type="gramStart"/>
            <w:r w:rsidRPr="00EC2BC6">
              <w:rPr>
                <w:sz w:val="20"/>
              </w:rPr>
              <w:t>is recovered</w:t>
            </w:r>
            <w:proofErr w:type="gramEnd"/>
            <w:r w:rsidRPr="00EC2BC6">
              <w:rPr>
                <w:sz w:val="20"/>
              </w:rPr>
              <w:t>.</w:t>
            </w:r>
          </w:p>
        </w:tc>
      </w:tr>
      <w:tr w:rsidR="00B530E8" w:rsidRPr="00EC2BC6" w:rsidTr="00EC2BC6">
        <w:trPr>
          <w:jc w:val="center"/>
        </w:trPr>
        <w:tc>
          <w:tcPr>
            <w:tcW w:w="2400" w:type="dxa"/>
            <w:vAlign w:val="center"/>
          </w:tcPr>
          <w:p w:rsidR="00B530E8" w:rsidRPr="00EC2BC6" w:rsidRDefault="00E6320B">
            <w:pPr>
              <w:rPr>
                <w:sz w:val="20"/>
              </w:rPr>
            </w:pPr>
            <w:r>
              <w:rPr>
                <w:sz w:val="20"/>
              </w:rPr>
              <w:t>χ = 1, nₛ = 0</w:t>
            </w:r>
          </w:p>
        </w:tc>
        <w:tc>
          <w:tcPr>
            <w:tcW w:w="2400" w:type="dxa"/>
            <w:vAlign w:val="center"/>
          </w:tcPr>
          <w:p w:rsidR="00B530E8" w:rsidRPr="00EC2BC6" w:rsidRDefault="00AF2D23">
            <w:r>
              <w:rPr>
                <w:sz w:val="20"/>
              </w:rPr>
              <w:t>Rᵥ = 1 and total-displacement ratio = λ²</w:t>
            </w:r>
          </w:p>
        </w:tc>
        <w:tc>
          <w:tcPr>
            <w:tcW w:w="2400" w:type="dxa"/>
            <w:vAlign w:val="center"/>
          </w:tcPr>
          <w:p w:rsidR="00B530E8" w:rsidRPr="00EC2BC6" w:rsidRDefault="00E6320B">
            <w:pPr>
              <w:rPr>
                <w:sz w:val="20"/>
              </w:rPr>
            </w:pPr>
            <w:r w:rsidRPr="00EC2BC6">
              <w:rPr>
                <w:sz w:val="20"/>
              </w:rPr>
              <w:t>Acceleration plateau: force neutral, displacement increases.</w:t>
            </w:r>
          </w:p>
        </w:tc>
      </w:tr>
      <w:tr w:rsidR="00B530E8"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2400" w:type="dxa"/>
            <w:vAlign w:val="center"/>
          </w:tcPr>
          <w:p w:rsidR="00B530E8" w:rsidRPr="00EC2BC6" w:rsidRDefault="00E6320B">
            <w:pPr>
              <w:rPr>
                <w:sz w:val="20"/>
              </w:rPr>
            </w:pPr>
            <w:r>
              <w:rPr>
                <w:sz w:val="20"/>
              </w:rPr>
              <w:t>χ = 1, nₛ = -1</w:t>
            </w:r>
          </w:p>
        </w:tc>
        <w:tc>
          <w:tcPr>
            <w:tcW w:w="2400" w:type="dxa"/>
            <w:vAlign w:val="center"/>
          </w:tcPr>
          <w:p w:rsidR="00B530E8" w:rsidRPr="00EC2BC6" w:rsidRDefault="00AF2D23">
            <w:r>
              <w:rPr>
                <w:sz w:val="20"/>
              </w:rPr>
              <w:t>Rᵥ = 1/λ and total-displacement ratio = λ</w:t>
            </w:r>
          </w:p>
        </w:tc>
        <w:tc>
          <w:tcPr>
            <w:tcW w:w="2400" w:type="dxa"/>
            <w:vAlign w:val="center"/>
          </w:tcPr>
          <w:p w:rsidR="00B530E8" w:rsidRPr="00EC2BC6" w:rsidRDefault="00E6320B">
            <w:pPr>
              <w:rPr>
                <w:sz w:val="20"/>
              </w:rPr>
            </w:pPr>
            <w:r w:rsidRPr="00EC2BC6">
              <w:rPr>
                <w:sz w:val="20"/>
              </w:rPr>
              <w:t>Velocity-sensitive branch: force decreases, displacement increases.</w:t>
            </w:r>
          </w:p>
        </w:tc>
      </w:tr>
      <w:tr w:rsidR="00B530E8" w:rsidRPr="00EC2BC6" w:rsidTr="00EC2BC6">
        <w:trPr>
          <w:jc w:val="center"/>
        </w:trPr>
        <w:tc>
          <w:tcPr>
            <w:tcW w:w="2400" w:type="dxa"/>
            <w:vAlign w:val="center"/>
          </w:tcPr>
          <w:p w:rsidR="00B530E8" w:rsidRPr="00EC2BC6" w:rsidRDefault="00E6320B">
            <w:pPr>
              <w:rPr>
                <w:sz w:val="20"/>
              </w:rPr>
            </w:pPr>
            <w:r>
              <w:rPr>
                <w:sz w:val="20"/>
              </w:rPr>
              <w:t>χ = 1, nₛ = -2</w:t>
            </w:r>
          </w:p>
        </w:tc>
        <w:tc>
          <w:tcPr>
            <w:tcW w:w="2400" w:type="dxa"/>
            <w:vAlign w:val="center"/>
          </w:tcPr>
          <w:p w:rsidR="00B530E8" w:rsidRPr="00EC2BC6" w:rsidRDefault="00AF2D23">
            <w:r>
              <w:rPr>
                <w:sz w:val="20"/>
              </w:rPr>
              <w:t>Rᵥ = 1/λ² and total-displacement ratio = 1</w:t>
            </w:r>
          </w:p>
        </w:tc>
        <w:tc>
          <w:tcPr>
            <w:tcW w:w="2400" w:type="dxa"/>
            <w:vAlign w:val="center"/>
          </w:tcPr>
          <w:p w:rsidR="00B530E8" w:rsidRPr="00EC2BC6" w:rsidRDefault="00E6320B">
            <w:pPr>
              <w:rPr>
                <w:sz w:val="20"/>
              </w:rPr>
            </w:pPr>
            <w:r w:rsidRPr="00EC2BC6">
              <w:rPr>
                <w:sz w:val="20"/>
              </w:rPr>
              <w:t>Constant-displacement boundary.</w:t>
            </w:r>
          </w:p>
        </w:tc>
      </w:tr>
      <w:tr w:rsidR="00B530E8"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2400" w:type="dxa"/>
            <w:vAlign w:val="center"/>
          </w:tcPr>
          <w:p w:rsidR="00B530E8" w:rsidRPr="00EC2BC6" w:rsidRDefault="00E6320B">
            <w:pPr>
              <w:rPr>
                <w:sz w:val="20"/>
              </w:rPr>
            </w:pPr>
            <w:r>
              <w:rPr>
                <w:sz w:val="20"/>
              </w:rPr>
              <w:t>χ = 1, nₛ &lt; -2</w:t>
            </w:r>
          </w:p>
        </w:tc>
        <w:tc>
          <w:tcPr>
            <w:tcW w:w="2400" w:type="dxa"/>
            <w:vAlign w:val="center"/>
          </w:tcPr>
          <w:p w:rsidR="00B530E8" w:rsidRPr="00EC2BC6" w:rsidRDefault="00AF2D23">
            <w:pPr>
              <w:rPr>
                <w:sz w:val="20"/>
              </w:rPr>
            </w:pPr>
            <w:r>
              <w:rPr>
                <w:sz w:val="20"/>
              </w:rPr>
              <w:t>Rᵥ &lt; 1/λ²</w:t>
            </w:r>
          </w:p>
        </w:tc>
        <w:tc>
          <w:tcPr>
            <w:tcW w:w="2400" w:type="dxa"/>
            <w:vAlign w:val="center"/>
          </w:tcPr>
          <w:p w:rsidR="00B530E8" w:rsidRPr="00EC2BC6" w:rsidRDefault="00E6320B">
            <w:pPr>
              <w:rPr>
                <w:sz w:val="20"/>
              </w:rPr>
            </w:pPr>
            <w:r w:rsidRPr="00EC2BC6">
              <w:rPr>
                <w:sz w:val="20"/>
              </w:rPr>
              <w:t>Force and total displacement both decrease.</w:t>
            </w:r>
          </w:p>
        </w:tc>
      </w:tr>
      <w:tr w:rsidR="00B530E8" w:rsidRPr="00EC2BC6" w:rsidTr="00EC2BC6">
        <w:trPr>
          <w:jc w:val="center"/>
        </w:trPr>
        <w:tc>
          <w:tcPr>
            <w:tcW w:w="2400" w:type="dxa"/>
            <w:vAlign w:val="center"/>
          </w:tcPr>
          <w:p w:rsidR="00B530E8" w:rsidRPr="00EC2BC6" w:rsidRDefault="00AF2D23">
            <w:pPr>
              <w:rPr>
                <w:sz w:val="20"/>
              </w:rPr>
            </w:pPr>
            <w:r>
              <w:rPr>
                <w:sz w:val="20"/>
              </w:rPr>
              <w:t>Rᵥ &gt; 1</w:t>
            </w:r>
          </w:p>
        </w:tc>
        <w:tc>
          <w:tcPr>
            <w:tcW w:w="2400" w:type="dxa"/>
            <w:vAlign w:val="center"/>
          </w:tcPr>
          <w:p w:rsidR="00B530E8" w:rsidRPr="00EC2BC6" w:rsidRDefault="00AF2D23">
            <w:r>
              <w:rPr>
                <w:sz w:val="20"/>
              </w:rPr>
              <w:t>total-displacement ratio &gt; 1</w:t>
            </w:r>
          </w:p>
        </w:tc>
        <w:tc>
          <w:tcPr>
            <w:tcW w:w="2400" w:type="dxa"/>
            <w:vAlign w:val="center"/>
          </w:tcPr>
          <w:p w:rsidR="00B530E8" w:rsidRPr="00EC2BC6" w:rsidRDefault="00E6320B">
            <w:pPr>
              <w:rPr>
                <w:sz w:val="20"/>
              </w:rPr>
            </w:pPr>
            <w:r w:rsidRPr="00EC2BC6">
              <w:rPr>
                <w:sz w:val="20"/>
              </w:rPr>
              <w:t>Both force and total displacement are detrimental.</w:t>
            </w:r>
          </w:p>
        </w:tc>
      </w:tr>
    </w:tbl>
    <w:p w:rsidR="00755DF9" w:rsidRPr="001625B9" w:rsidRDefault="00EC2BC6" w:rsidP="001625B9">
      <w:pPr>
        <w:jc w:val="both"/>
      </w:pPr>
      <m:oMath>
        <m:r>
          <w:rPr>
            <w:rFonts w:ascii="Cambria Math" w:hAnsi="Cambria Math"/>
          </w:rPr>
          <m:t>η</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 λ</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 χ</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r>
              <w:rPr>
                <w:rFonts w:ascii="Cambria Math" w:hAnsi="Cambria Math"/>
              </w:rPr>
              <m:t>T</m:t>
            </m:r>
          </m:e>
        </m:d>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C</m:t>
            </m:r>
          </m:e>
          <m:sub>
            <m:r>
              <w:rPr>
                <w:rFonts w:ascii="Cambria Math" w:hAnsi="Cambria Math"/>
              </w:rPr>
              <m:t>f</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C</m:t>
            </m:r>
          </m:e>
          <m:sub>
            <m:r>
              <w:rPr>
                <w:rFonts w:ascii="Cambria Math" w:hAnsi="Cambria Math"/>
              </w:rPr>
              <m:t>f</m:t>
            </m:r>
          </m:sub>
          <m:sup>
            <m:r>
              <w:rPr>
                <w:rFonts w:ascii="Cambria Math" w:hAnsi="Cambria Math"/>
              </w:rPr>
              <m:t>T</m:t>
            </m:r>
          </m:sup>
        </m:sSubSup>
        <m:r>
          <m:rPr>
            <m:sty m:val="p"/>
          </m:rPr>
          <w:rPr>
            <w:rFonts w:ascii="Cambria Math" w:hAnsi="Cambria Math"/>
          </w:rPr>
          <m:t>≽</m:t>
        </m:r>
        <m:r>
          <w:rPr>
            <w:rFonts w:ascii="Cambria Math" w:hAnsi="Cambria Math"/>
          </w:rPr>
          <m:t>0</m:t>
        </m:r>
      </m:oMath>
      <w:r>
        <w:t xml:space="preserve">    (16)</w:t>
      </w:r>
    </w:p>
    <w:p w:rsidR="00755DF9" w:rsidRPr="001625B9" w:rsidRDefault="00755DF9" w:rsidP="001625B9">
      <w:pPr>
        <w:spacing w:after="120"/>
        <w:jc w:val="both"/>
      </w:pPr>
      <w:r w:rsidRPr="001625B9">
        <w:t>Additional damping can reduce demand, but flexibility without meaningful dissipation may eliminate the apparent benefit of SSI.</w:t>
      </w:r>
    </w:p>
    <w:p w:rsidR="00755DF9" w:rsidRPr="001625B9" w:rsidRDefault="00755DF9" w:rsidP="002A1247">
      <w:pPr>
        <w:pStyle w:val="Heading1"/>
      </w:pPr>
      <w:r w:rsidRPr="001625B9">
        <w:t>4 Response Criteria</w:t>
      </w:r>
    </w:p>
    <w:p w:rsidR="00755DF9" w:rsidRPr="001625B9" w:rsidRDefault="00755DF9" w:rsidP="002A1247">
      <w:pPr>
        <w:pStyle w:val="Heading2"/>
      </w:pPr>
      <w:r w:rsidRPr="001625B9">
        <w:t>4.1 Force-demand criterion</w:t>
      </w:r>
    </w:p>
    <w:p w:rsidR="00755DF9" w:rsidRPr="001625B9" w:rsidRDefault="00755DF9" w:rsidP="001625B9">
      <w:pPr>
        <w:spacing w:after="120"/>
        <w:jc w:val="both"/>
      </w:pPr>
      <w:r w:rsidRPr="001625B9">
        <w:t>For the fixed-base case, the base shear demand is:</w:t>
      </w:r>
    </w:p>
    <w:p w:rsidR="00755DF9" w:rsidRPr="001625B9" w:rsidRDefault="00D3410C" w:rsidP="001625B9">
      <w:pPr>
        <w:jc w:val="both"/>
      </w:pPr>
      <m:oMath>
        <m:sSub>
          <m:sSubPr>
            <m:ctrlPr>
              <w:rPr>
                <w:rFonts w:ascii="Cambria Math" w:hAnsi="Cambria Math"/>
              </w:rPr>
            </m:ctrlPr>
          </m:sSubPr>
          <m:e>
            <m:r>
              <w:rPr>
                <w:rFonts w:ascii="Cambria Math" w:hAnsi="Cambria Math"/>
              </w:rPr>
              <m:t>V</m:t>
            </m:r>
          </m:e>
          <m:sub>
            <m:r>
              <w:rPr>
                <w:rFonts w:ascii="Cambria Math" w:hAnsi="Cambria Math"/>
              </w:rPr>
              <m:t>fix</m:t>
            </m:r>
          </m:sub>
        </m:sSub>
        <m:r>
          <m:rPr>
            <m:sty m:val="p"/>
          </m:rPr>
          <w:rPr>
            <w:rFonts w:ascii="Cambria Math" w:hAnsi="Cambria Math"/>
          </w:rPr>
          <m:t>=</m:t>
        </m:r>
        <m:r>
          <w:rPr>
            <w:rFonts w:ascii="Cambria Math" w:hAnsi="Cambria Math"/>
          </w:rPr>
          <m:t>m</m:t>
        </m:r>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e>
        </m:d>
      </m:oMath>
      <w:r w:rsidR="00EC2BC6">
        <w:t xml:space="preserve">    (17)</w:t>
      </w:r>
    </w:p>
    <w:p w:rsidR="00755DF9" w:rsidRPr="001625B9" w:rsidRDefault="00755DF9" w:rsidP="001625B9">
      <w:pPr>
        <w:spacing w:after="120"/>
        <w:jc w:val="both"/>
      </w:pPr>
      <w:r w:rsidRPr="001625B9">
        <w:t>For the flexible-base case, the corresponding demand is:</w:t>
      </w:r>
    </w:p>
    <w:p w:rsidR="00755DF9" w:rsidRPr="001625B9" w:rsidRDefault="00D3410C" w:rsidP="001625B9">
      <w:pPr>
        <w:jc w:val="both"/>
      </w:pPr>
      <m:oMath>
        <m:sSub>
          <m:sSubPr>
            <m:ctrlPr>
              <w:rPr>
                <w:rFonts w:ascii="Cambria Math" w:hAnsi="Cambria Math"/>
              </w:rPr>
            </m:ctrlPr>
          </m:sSubPr>
          <m:e>
            <m:r>
              <w:rPr>
                <w:rFonts w:ascii="Cambria Math" w:hAnsi="Cambria Math"/>
              </w:rPr>
              <m:t>V</m:t>
            </m:r>
          </m:e>
          <m:sub>
            <m:r>
              <w:rPr>
                <w:rFonts w:ascii="Cambria Math" w:hAnsi="Cambria Math"/>
              </w:rPr>
              <m:t>flex</m:t>
            </m:r>
          </m:sub>
        </m:sSub>
        <m:r>
          <m:rPr>
            <m:sty m:val="p"/>
          </m:rPr>
          <w:rPr>
            <w:rFonts w:ascii="Cambria Math" w:hAnsi="Cambria Math"/>
          </w:rPr>
          <m:t>=</m:t>
        </m:r>
        <m:r>
          <w:rPr>
            <w:rFonts w:ascii="Cambria Math" w:hAnsi="Cambria Math"/>
          </w:rPr>
          <m:t>mχ</m:t>
        </m:r>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SSI</m:t>
                </m:r>
              </m:sub>
            </m:sSub>
          </m:e>
        </m:d>
      </m:oMath>
      <w:r w:rsidR="00EC2BC6">
        <w:t xml:space="preserve">    (18)</w:t>
      </w:r>
    </w:p>
    <w:p w:rsidR="00755DF9" w:rsidRPr="001625B9" w:rsidRDefault="00755DF9" w:rsidP="001625B9">
      <w:pPr>
        <w:spacing w:after="120"/>
        <w:jc w:val="both"/>
      </w:pPr>
      <w:r w:rsidRPr="001625B9">
        <w:t>The dimensionless demand ratio is therefore:</w:t>
      </w:r>
    </w:p>
    <w:p w:rsidR="00755DF9" w:rsidRPr="001625B9" w:rsidRDefault="00D3410C" w:rsidP="001625B9">
      <w:pPr>
        <w:jc w:val="both"/>
      </w:pP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flex</m:t>
                </m:r>
              </m:sub>
            </m:sSub>
          </m:num>
          <m:den>
            <m:sSub>
              <m:sSubPr>
                <m:ctrlPr>
                  <w:rPr>
                    <w:rFonts w:ascii="Cambria Math" w:hAnsi="Cambria Math"/>
                  </w:rPr>
                </m:ctrlPr>
              </m:sSubPr>
              <m:e>
                <m:r>
                  <w:rPr>
                    <w:rFonts w:ascii="Cambria Math" w:hAnsi="Cambria Math"/>
                  </w:rPr>
                  <m:t>V</m:t>
                </m:r>
              </m:e>
              <m:sub>
                <m:r>
                  <w:rPr>
                    <w:rFonts w:ascii="Cambria Math" w:hAnsi="Cambria Math"/>
                  </w:rPr>
                  <m:t>fix</m:t>
                </m:r>
              </m:sub>
            </m:sSub>
          </m:den>
        </m:f>
      </m:oMath>
      <w:r w:rsidR="00EC2BC6">
        <w:t xml:space="preserve">    (19)</w:t>
      </w:r>
    </w:p>
    <w:p w:rsidR="00755DF9" w:rsidRPr="001625B9" w:rsidRDefault="00755DF9" w:rsidP="001625B9">
      <w:pPr>
        <w:spacing w:after="120"/>
        <w:jc w:val="both"/>
      </w:pPr>
      <w:r w:rsidRPr="001625B9">
        <w:t>A value below unity indicates improvement in force demand, whereas a value above unity indicates deterioration. Substitution of the effective period gives:</w:t>
      </w:r>
    </w:p>
    <w:p w:rsidR="00755DF9" w:rsidRPr="001625B9" w:rsidRDefault="00D3410C" w:rsidP="001625B9">
      <w:pPr>
        <w:jc w:val="both"/>
      </w:pP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r>
          <w:rPr>
            <w:rFonts w:ascii="Cambria Math" w:hAnsi="Cambria Math"/>
          </w:rPr>
          <m:t>χ</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SSI</m:t>
                    </m:r>
                  </m:sub>
                </m:sSub>
              </m:e>
            </m:d>
          </m:num>
          <m:den>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e>
            </m:d>
          </m:den>
        </m:f>
      </m:oMath>
      <w:r w:rsidR="00EC2BC6">
        <w:t xml:space="preserve">    (20)</w:t>
      </w:r>
    </w:p>
    <w:p w:rsidR="00755DF9" w:rsidRPr="001625B9" w:rsidRDefault="00755DF9" w:rsidP="002A1247">
      <w:pPr>
        <w:pStyle w:val="Heading2"/>
      </w:pPr>
      <w:r w:rsidRPr="001625B9">
        <w:t>4.2 Total-displacement criterion</w:t>
      </w:r>
    </w:p>
    <w:p w:rsidR="00755DF9" w:rsidRPr="001625B9" w:rsidRDefault="00755DF9" w:rsidP="001625B9">
      <w:pPr>
        <w:spacing w:after="120"/>
        <w:jc w:val="both"/>
      </w:pPr>
      <w:r w:rsidRPr="001625B9">
        <w:t xml:space="preserve">Structural displacement and total displacement </w:t>
      </w:r>
      <w:proofErr w:type="gramStart"/>
      <w:r w:rsidRPr="001625B9">
        <w:t>must be distinguished</w:t>
      </w:r>
      <w:proofErr w:type="gramEnd"/>
      <w:r w:rsidRPr="001625B9">
        <w:t>. Foundation translation and rocking add to the structural deformation:</w:t>
      </w:r>
    </w:p>
    <w:p w:rsidR="00755DF9" w:rsidRPr="001625B9" w:rsidRDefault="00D3410C" w:rsidP="001625B9">
      <w:pPr>
        <w:jc w:val="both"/>
      </w:pPr>
      <m:oMath>
        <m:sSub>
          <m:sSubPr>
            <m:ctrlPr>
              <w:rPr>
                <w:rFonts w:ascii="Cambria Math" w:hAnsi="Cambria Math"/>
              </w:rPr>
            </m:ctrlPr>
          </m:sSubPr>
          <m:e>
            <m:r>
              <w:rPr>
                <w:rFonts w:ascii="Cambria Math" w:hAnsi="Cambria Math"/>
              </w:rPr>
              <m:t>Δ</m:t>
            </m:r>
          </m:e>
          <m:sub>
            <m:r>
              <w:rPr>
                <w:rFonts w:ascii="Cambria Math" w:hAnsi="Cambria Math"/>
              </w:rPr>
              <m:t>total</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f</m:t>
            </m:r>
          </m:sub>
        </m:sSub>
      </m:oMath>
      <w:r w:rsidR="00EC2BC6">
        <w:t xml:space="preserve">    (21)</w:t>
      </w:r>
    </w:p>
    <w:p w:rsidR="00755DF9" w:rsidRPr="001625B9" w:rsidRDefault="00D3410C" w:rsidP="001625B9">
      <w:pPr>
        <w:jc w:val="both"/>
      </w:pPr>
      <m:oMath>
        <m:sSub>
          <m:sSubPr>
            <m:ctrlPr>
              <w:rPr>
                <w:rFonts w:ascii="Cambria Math" w:hAnsi="Cambria Math"/>
              </w:rPr>
            </m:ctrlPr>
          </m:sSubPr>
          <m:e>
            <m:r>
              <w:rPr>
                <w:rFonts w:ascii="Cambria Math" w:hAnsi="Cambria Math"/>
              </w:rPr>
              <m:t>Δ</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e</m:t>
            </m:r>
          </m:sub>
        </m:sSub>
        <m:sSub>
          <m:sSubPr>
            <m:ctrlPr>
              <w:rPr>
                <w:rFonts w:ascii="Cambria Math" w:hAnsi="Cambria Math"/>
              </w:rPr>
            </m:ctrlPr>
          </m:sSubPr>
          <m:e>
            <m:r>
              <w:rPr>
                <w:rFonts w:ascii="Cambria Math" w:hAnsi="Cambria Math"/>
              </w:rPr>
              <m:t>θ</m:t>
            </m:r>
          </m:e>
          <m:sub>
            <m:r>
              <w:rPr>
                <w:rFonts w:ascii="Cambria Math" w:hAnsi="Cambria Math"/>
              </w:rPr>
              <m:t>f</m:t>
            </m:r>
          </m:sub>
        </m:sSub>
      </m:oMath>
      <w:r w:rsidR="00EC2BC6">
        <w:t xml:space="preserve">    (22)</w:t>
      </w:r>
    </w:p>
    <w:p w:rsidR="00755DF9" w:rsidRPr="001625B9" w:rsidRDefault="00755DF9" w:rsidP="001625B9">
      <w:pPr>
        <w:spacing w:after="120"/>
        <w:jc w:val="both"/>
      </w:pPr>
      <w:r w:rsidRPr="001625B9">
        <w:t>The normalized total-displacement ratio is:</w:t>
      </w:r>
    </w:p>
    <w:p w:rsidR="00755DF9" w:rsidRPr="001625B9" w:rsidRDefault="00D3410C" w:rsidP="001625B9">
      <w:pPr>
        <w:jc w:val="both"/>
      </w:pPr>
      <m:oMath>
        <m:sSub>
          <m:sSubPr>
            <m:ctrlPr>
              <w:rPr>
                <w:rFonts w:ascii="Cambria Math" w:hAnsi="Cambria Math"/>
              </w:rPr>
            </m:ctrlPr>
          </m:sSubPr>
          <m:e>
            <m:r>
              <w:rPr>
                <w:rFonts w:ascii="Cambria Math" w:hAnsi="Cambria Math"/>
              </w:rPr>
              <m:t>R</m:t>
            </m:r>
          </m:e>
          <m:sub>
            <m:r>
              <w:rPr>
                <w:rFonts w:ascii="Cambria Math" w:hAnsi="Cambria Math"/>
              </w:rPr>
              <m:t>δ</m:t>
            </m:r>
            <m:r>
              <m:rPr>
                <m:sty m:val="p"/>
              </m:rPr>
              <w:rPr>
                <w:rFonts w:ascii="Cambria Math" w:hAnsi="Cambria Math"/>
              </w:rPr>
              <m:t>,</m:t>
            </m:r>
            <m:r>
              <w:rPr>
                <w:rFonts w:ascii="Cambria Math" w:hAnsi="Cambria Math"/>
              </w:rPr>
              <m:t>total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SSI</m:t>
                    </m:r>
                  </m:sub>
                </m:sSub>
              </m:e>
            </m:d>
          </m:num>
          <m:den>
            <m:sSub>
              <m:sSubPr>
                <m:ctrlPr>
                  <w:rPr>
                    <w:rFonts w:ascii="Cambria Math" w:hAnsi="Cambria Math"/>
                  </w:rPr>
                </m:ctrlPr>
              </m:sSubPr>
              <m:e>
                <m:r>
                  <w:rPr>
                    <w:rFonts w:ascii="Cambria Math" w:hAnsi="Cambria Math"/>
                  </w:rPr>
                  <m:t>S</m:t>
                </m:r>
              </m:e>
              <m:sub>
                <m:r>
                  <w:rPr>
                    <w:rFonts w:ascii="Cambria Math" w:hAnsi="Cambria Math"/>
                  </w:rPr>
                  <m:t>d</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e>
            </m:d>
          </m:den>
        </m:f>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η</m:t>
            </m:r>
          </m:e>
        </m:d>
        <m:sSub>
          <m:sSubPr>
            <m:ctrlPr>
              <w:rPr>
                <w:rFonts w:ascii="Cambria Math" w:hAnsi="Cambria Math"/>
              </w:rPr>
            </m:ctrlPr>
          </m:sSubPr>
          <m:e>
            <m:r>
              <w:rPr>
                <w:rFonts w:ascii="Cambria Math" w:hAnsi="Cambria Math"/>
              </w:rPr>
              <m:t>R</m:t>
            </m:r>
          </m:e>
          <m:sub>
            <m:r>
              <w:rPr>
                <w:rFonts w:ascii="Cambria Math" w:hAnsi="Cambria Math"/>
              </w:rPr>
              <m:t>V</m:t>
            </m:r>
          </m:sub>
        </m:sSub>
      </m:oMath>
      <w:r w:rsidR="00EC2BC6">
        <w:t xml:space="preserve">    (23)</w:t>
      </w:r>
    </w:p>
    <w:p w:rsidR="00755DF9" w:rsidRPr="001625B9" w:rsidRDefault="00755DF9" w:rsidP="001625B9">
      <w:pPr>
        <w:spacing w:after="120"/>
        <w:jc w:val="both"/>
      </w:pPr>
      <w:r w:rsidRPr="001625B9">
        <w:t>The total-displacement condition is stricter than the force-demand condition because the flexibility term adds a positive contribution. Foundation translation and rocking contributions are:</w:t>
      </w:r>
    </w:p>
    <w:p w:rsidR="00755DF9" w:rsidRPr="001625B9" w:rsidRDefault="00D3410C" w:rsidP="001625B9">
      <w:pPr>
        <w:jc w:val="both"/>
      </w:pPr>
      <m:oMath>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V</m:t>
        </m:r>
      </m:oMath>
      <w:r w:rsidR="00EC2BC6">
        <w:t xml:space="preserve">    (24)</w:t>
      </w:r>
    </w:p>
    <w:p w:rsidR="00755DF9" w:rsidRPr="001625B9" w:rsidRDefault="00D3410C" w:rsidP="001625B9">
      <w:pPr>
        <w:jc w:val="both"/>
      </w:pPr>
      <m:oMath>
        <m:sSub>
          <m:sSubPr>
            <m:ctrlPr>
              <w:rPr>
                <w:rFonts w:ascii="Cambria Math" w:hAnsi="Cambria Math"/>
              </w:rPr>
            </m:ctrlPr>
          </m:sSubPr>
          <m:e>
            <m:r>
              <w:rPr>
                <w:rFonts w:ascii="Cambria Math" w:hAnsi="Cambria Math"/>
              </w:rPr>
              <m:t>h</m:t>
            </m:r>
          </m:e>
          <m:sub>
            <m:r>
              <w:rPr>
                <w:rFonts w:ascii="Cambria Math" w:hAnsi="Cambria Math"/>
              </w:rPr>
              <m:t>e</m:t>
            </m:r>
          </m:sub>
        </m:sSub>
        <m:sSub>
          <m:sSubPr>
            <m:ctrlPr>
              <w:rPr>
                <w:rFonts w:ascii="Cambria Math" w:hAnsi="Cambria Math"/>
              </w:rPr>
            </m:ctrlPr>
          </m:sSubPr>
          <m:e>
            <m:r>
              <w:rPr>
                <w:rFonts w:ascii="Cambria Math" w:hAnsi="Cambria Math"/>
              </w:rPr>
              <m:t>θ</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θ</m:t>
            </m:r>
          </m:sub>
        </m:sSub>
        <m:sSubSup>
          <m:sSubSupPr>
            <m:ctrlPr>
              <w:rPr>
                <w:rFonts w:ascii="Cambria Math" w:hAnsi="Cambria Math"/>
              </w:rPr>
            </m:ctrlPr>
          </m:sSubSupPr>
          <m:e>
            <m:r>
              <w:rPr>
                <w:rFonts w:ascii="Cambria Math" w:hAnsi="Cambria Math"/>
              </w:rPr>
              <m:t>h</m:t>
            </m:r>
          </m:e>
          <m:sub>
            <m:r>
              <w:rPr>
                <w:rFonts w:ascii="Cambria Math" w:hAnsi="Cambria Math"/>
              </w:rPr>
              <m:t>e</m:t>
            </m:r>
          </m:sub>
          <m:sup>
            <m:r>
              <w:rPr>
                <w:rFonts w:ascii="Cambria Math" w:hAnsi="Cambria Math"/>
              </w:rPr>
              <m:t>2</m:t>
            </m:r>
          </m:sup>
        </m:sSubSup>
        <m:r>
          <w:rPr>
            <w:rFonts w:ascii="Cambria Math" w:hAnsi="Cambria Math"/>
          </w:rPr>
          <m:t>V</m:t>
        </m:r>
      </m:oMath>
      <w:r w:rsidR="00EC2BC6">
        <w:t xml:space="preserve">    (25)</w:t>
      </w:r>
    </w:p>
    <w:p w:rsidR="00755DF9" w:rsidRPr="001625B9" w:rsidRDefault="00755DF9" w:rsidP="001625B9">
      <w:pPr>
        <w:spacing w:after="120"/>
        <w:jc w:val="both"/>
      </w:pPr>
      <w:r w:rsidRPr="001625B9">
        <w:t>This explains the mixed response often observed in SSI: base shear may decrease while total displacement and rocking demand increase.</w:t>
      </w:r>
    </w:p>
    <w:p w:rsidR="00755DF9" w:rsidRPr="001625B9" w:rsidRDefault="00755DF9" w:rsidP="002A1247">
      <w:pPr>
        <w:pStyle w:val="Heading2"/>
        <w:rPr>
          <w:rFonts w:cs="Times New Roman"/>
        </w:rPr>
      </w:pPr>
      <w:r>
        <w:t>4.3 Local and secant spectral-slope formulations</w:t>
      </w:r>
    </w:p>
    <w:p w:rsidR="00755DF9" w:rsidRPr="001625B9" w:rsidRDefault="00755DF9" w:rsidP="001625B9">
      <w:pPr>
        <w:spacing w:after="120"/>
        <w:jc w:val="both"/>
      </w:pPr>
      <w:r>
        <w:t xml:space="preserve">The effect of period elongation depends on the logarithmic slope of the acceleration spectrum over the period interval that the SSI shift actually traverses. A local slope around the fixed-base period is a useful </w:t>
      </w:r>
      <w:r>
        <w:lastRenderedPageBreak/>
        <w:t>first-level approximation when only limited spectral information is available. When the design or record spectrum is known between the fixed-base and elongated periods, a secant slope over that interval is the recommended second-level estimate because it captures spectral curvature and branch changes more directly (CEN, 2004; ASCE/SEI, 2022):</w:t>
      </w:r>
    </w:p>
    <w:p w:rsidR="00755DF9" w:rsidRPr="001625B9" w:rsidRDefault="00D3410C" w:rsidP="001625B9">
      <w:pPr>
        <w:jc w:val="both"/>
      </w:pPr>
      <m:oMath>
        <m:sSub>
          <m:sSubPr>
            <m:ctrlPr>
              <w:rPr>
                <w:rFonts w:ascii="Cambria Math" w:hAnsi="Cambria Math"/>
              </w:rPr>
            </m:ctrlPr>
          </m:sSubPr>
          <m:e>
            <m:r>
              <w:rPr>
                <w:rFonts w:ascii="Cambria Math" w:hAnsi="Cambria Math"/>
              </w:rPr>
              <m:t>n</m:t>
            </m:r>
          </m:e>
          <m:sub>
            <m:r>
              <w:rPr>
                <w:rFonts w:ascii="Cambria Math" w:hAnsi="Cambria Math"/>
              </w:rPr>
              <m:t>loc</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d</m:t>
                    </m:r>
                    <m:r>
                      <m:rPr>
                        <m:sty m:val="p"/>
                      </m:rPr>
                      <w:rPr>
                        <w:rFonts w:ascii="Cambria Math" w:hAnsi="Cambria Math"/>
                      </w:rPr>
                      <m:t>ln</m:t>
                    </m:r>
                    <m:sSub>
                      <m:sSubPr>
                        <m:ctrlPr>
                          <w:rPr>
                            <w:rFonts w:ascii="Cambria Math" w:hAnsi="Cambria Math"/>
                          </w:rPr>
                        </m:ctrlPr>
                      </m:sSubPr>
                      <m:e>
                        <m:r>
                          <w:rPr>
                            <w:rFonts w:ascii="Cambria Math" w:hAnsi="Cambria Math"/>
                          </w:rPr>
                          <m:t>S</m:t>
                        </m:r>
                      </m:e>
                      <m:sub>
                        <m:r>
                          <w:rPr>
                            <w:rFonts w:ascii="Cambria Math" w:hAnsi="Cambria Math"/>
                          </w:rPr>
                          <m:t>a</m:t>
                        </m:r>
                      </m:sub>
                    </m:sSub>
                  </m:num>
                  <m:den>
                    <m:r>
                      <w:rPr>
                        <w:rFonts w:ascii="Cambria Math" w:hAnsi="Cambria Math"/>
                      </w:rPr>
                      <m:t>d</m:t>
                    </m:r>
                    <m:r>
                      <m:rPr>
                        <m:sty m:val="p"/>
                      </m:rPr>
                      <w:rPr>
                        <w:rFonts w:ascii="Cambria Math" w:hAnsi="Cambria Math"/>
                      </w:rPr>
                      <m:t>ln</m:t>
                    </m:r>
                    <m:r>
                      <w:rPr>
                        <w:rFonts w:ascii="Cambria Math" w:hAnsi="Cambria Math"/>
                      </w:rPr>
                      <m:t>T</m:t>
                    </m:r>
                  </m:den>
                </m:f>
              </m:e>
            </m:d>
          </m:e>
          <m:sub>
            <m:sSub>
              <m:sSubPr>
                <m:ctrlPr>
                  <w:rPr>
                    <w:rFonts w:ascii="Cambria Math" w:hAnsi="Cambria Math"/>
                  </w:rPr>
                </m:ctrlPr>
              </m:sSubPr>
              <m:e>
                <m:r>
                  <w:rPr>
                    <w:rFonts w:ascii="Cambria Math" w:hAnsi="Cambria Math"/>
                  </w:rPr>
                  <m:t>T</m:t>
                </m:r>
              </m:e>
              <m:sub>
                <m:r>
                  <w:rPr>
                    <w:rFonts w:ascii="Cambria Math" w:hAnsi="Cambria Math"/>
                  </w:rPr>
                  <m:t>s</m:t>
                </m:r>
              </m:sub>
            </m:sSub>
          </m:sub>
        </m:sSub>
      </m:oMath>
      <w:r w:rsidR="00755DF9">
        <w:t xml:space="preserve">    (26)</w:t>
      </w:r>
    </w:p>
    <w:p w:rsidR="00755DF9" w:rsidRPr="001625B9" w:rsidRDefault="00755DF9" w:rsidP="001625B9">
      <w:pPr>
        <w:spacing w:after="120"/>
        <w:jc w:val="both"/>
      </w:pPr>
      <w:r w:rsidRPr="001625B9">
        <w:t>If the spectrum is approximated locally by a power law,</w:t>
      </w:r>
    </w:p>
    <w:p w:rsidR="00755DF9" w:rsidRPr="001625B9" w:rsidRDefault="00D3410C" w:rsidP="001625B9">
      <w:pPr>
        <w:jc w:val="both"/>
      </w:pPr>
      <m:oMath>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SSI</m:t>
                    </m:r>
                  </m:sub>
                </m:sSub>
              </m:e>
            </m:d>
          </m:num>
          <m:den>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e>
            </m:d>
          </m:den>
        </m:f>
        <m:r>
          <m:rPr>
            <m:sty m:val="p"/>
          </m:rPr>
          <w:rPr>
            <w:rFonts w:ascii="Cambria Math" w:hAnsi="Cambria Math"/>
          </w:rPr>
          <m:t>≈</m:t>
        </m:r>
        <m:sSup>
          <m:sSupPr>
            <m:ctrlPr>
              <w:rPr>
                <w:rFonts w:ascii="Cambria Math" w:hAnsi="Cambria Math"/>
              </w:rPr>
            </m:ctrlPr>
          </m:sSupPr>
          <m:e>
            <m:r>
              <w:rPr>
                <w:rFonts w:ascii="Cambria Math" w:hAnsi="Cambria Math"/>
              </w:rPr>
              <m:t>λ</m:t>
            </m:r>
          </m:e>
          <m:sup>
            <m:sSub>
              <m:sSubPr>
                <m:ctrlPr>
                  <w:rPr>
                    <w:rFonts w:ascii="Cambria Math" w:hAnsi="Cambria Math"/>
                  </w:rPr>
                </m:ctrlPr>
              </m:sSubPr>
              <m:e>
                <m:r>
                  <w:rPr>
                    <w:rFonts w:ascii="Cambria Math" w:hAnsi="Cambria Math"/>
                  </w:rPr>
                  <m:t>n</m:t>
                </m:r>
              </m:e>
              <m:sub>
                <m:r>
                  <w:rPr>
                    <w:rFonts w:ascii="Cambria Math" w:hAnsi="Cambria Math"/>
                  </w:rPr>
                  <m:t>loc</m:t>
                </m:r>
              </m:sub>
            </m:sSub>
          </m:sup>
        </m:sSup>
      </m:oMath>
      <w:r w:rsidR="00EC2BC6">
        <w:t xml:space="preserve">    (27)</w:t>
      </w:r>
    </w:p>
    <w:p w:rsidR="00755DF9" w:rsidRPr="001625B9" w:rsidRDefault="00755DF9" w:rsidP="001625B9">
      <w:pPr>
        <w:spacing w:after="120"/>
        <w:jc w:val="both"/>
      </w:pPr>
      <w:proofErr w:type="gramStart"/>
      <w:r w:rsidRPr="001625B9">
        <w:t>then</w:t>
      </w:r>
      <w:proofErr w:type="gramEnd"/>
      <w:r w:rsidRPr="001625B9">
        <w:t xml:space="preserve"> the force and displacement ratios can be approximated as:</w:t>
      </w:r>
    </w:p>
    <w:p w:rsidR="00755DF9" w:rsidRPr="001625B9" w:rsidRDefault="00D3410C" w:rsidP="001625B9">
      <w:pPr>
        <w:jc w:val="both"/>
      </w:pPr>
      <m:oMath>
        <m:sSub>
          <m:sSubPr>
            <m:ctrlPr>
              <w:rPr>
                <w:rFonts w:ascii="Cambria Math" w:hAnsi="Cambria Math"/>
              </w:rPr>
            </m:ctrlPr>
          </m:sSubPr>
          <m:e>
            <m:r>
              <w:rPr>
                <w:rFonts w:ascii="Cambria Math" w:hAnsi="Cambria Math"/>
              </w:rPr>
              <m:t>R</m:t>
            </m:r>
          </m:e>
          <m:sub>
            <m:r>
              <w:rPr>
                <w:rFonts w:ascii="Cambria Math" w:hAnsi="Cambria Math"/>
              </w:rPr>
              <m:t>V</m:t>
            </m:r>
          </m:sub>
        </m:sSub>
        <m:r>
          <m:rPr>
            <m:sty m:val="p"/>
          </m:rPr>
          <w:rPr>
            <w:rFonts w:ascii="Cambria Math" w:hAnsi="Cambria Math"/>
          </w:rPr>
          <m:t>≈</m:t>
        </m:r>
        <m:r>
          <w:rPr>
            <w:rFonts w:ascii="Cambria Math" w:hAnsi="Cambria Math"/>
          </w:rPr>
          <m:t>χ</m:t>
        </m:r>
        <m:sSup>
          <m:sSupPr>
            <m:ctrlPr>
              <w:rPr>
                <w:rFonts w:ascii="Cambria Math" w:hAnsi="Cambria Math"/>
              </w:rPr>
            </m:ctrlPr>
          </m:sSupPr>
          <m:e>
            <m:r>
              <w:rPr>
                <w:rFonts w:ascii="Cambria Math" w:hAnsi="Cambria Math"/>
              </w:rPr>
              <m:t>λ</m:t>
            </m:r>
          </m:e>
          <m:sup>
            <m:sSub>
              <m:sSubPr>
                <m:ctrlPr>
                  <w:rPr>
                    <w:rFonts w:ascii="Cambria Math" w:hAnsi="Cambria Math"/>
                  </w:rPr>
                </m:ctrlPr>
              </m:sSubPr>
              <m:e>
                <m:r>
                  <w:rPr>
                    <w:rFonts w:ascii="Cambria Math" w:hAnsi="Cambria Math"/>
                  </w:rPr>
                  <m:t>n</m:t>
                </m:r>
              </m:e>
              <m:sub>
                <m:r>
                  <w:rPr>
                    <w:rFonts w:ascii="Cambria Math" w:hAnsi="Cambria Math"/>
                  </w:rPr>
                  <m:t>loc</m:t>
                </m:r>
              </m:sub>
            </m:sSub>
          </m:sup>
        </m:sSup>
      </m:oMath>
      <w:r w:rsidR="00EC2BC6">
        <w:t xml:space="preserve">    (28)</w:t>
      </w:r>
    </w:p>
    <w:p w:rsidR="00755DF9" w:rsidRPr="001625B9" w:rsidRDefault="00D3410C" w:rsidP="001625B9">
      <w:pPr>
        <w:jc w:val="both"/>
      </w:pPr>
      <m:oMath>
        <m:sSub>
          <m:sSubPr>
            <m:ctrlPr>
              <w:rPr>
                <w:rFonts w:ascii="Cambria Math" w:hAnsi="Cambria Math"/>
              </w:rPr>
            </m:ctrlPr>
          </m:sSubPr>
          <m:e>
            <m:r>
              <w:rPr>
                <w:rFonts w:ascii="Cambria Math" w:hAnsi="Cambria Math"/>
              </w:rPr>
              <m:t>R</m:t>
            </m:r>
          </m:e>
          <m:sub>
            <m:r>
              <w:rPr>
                <w:rFonts w:ascii="Cambria Math" w:hAnsi="Cambria Math"/>
              </w:rPr>
              <m:t>δ</m:t>
            </m:r>
            <m:r>
              <m:rPr>
                <m:sty m:val="p"/>
              </m:rPr>
              <w:rPr>
                <w:rFonts w:ascii="Cambria Math" w:hAnsi="Cambria Math"/>
              </w:rPr>
              <m:t>,</m:t>
            </m:r>
            <m:r>
              <w:rPr>
                <w:rFonts w:ascii="Cambria Math" w:hAnsi="Cambria Math"/>
              </w:rPr>
              <m:t>total</m:t>
            </m:r>
          </m:sub>
        </m:sSub>
        <m:r>
          <m:rPr>
            <m:sty m:val="p"/>
          </m:rPr>
          <w:rPr>
            <w:rFonts w:ascii="Cambria Math" w:hAnsi="Cambria Math"/>
          </w:rPr>
          <m:t>≈</m:t>
        </m:r>
        <m:r>
          <w:rPr>
            <w:rFonts w:ascii="Cambria Math" w:hAnsi="Cambria Math"/>
          </w:rPr>
          <m:t>χ</m:t>
        </m:r>
        <m:sSup>
          <m:sSupPr>
            <m:ctrlPr>
              <w:rPr>
                <w:rFonts w:ascii="Cambria Math" w:hAnsi="Cambria Math"/>
              </w:rPr>
            </m:ctrlPr>
          </m:sSupPr>
          <m:e>
            <m:r>
              <w:rPr>
                <w:rFonts w:ascii="Cambria Math" w:hAnsi="Cambria Math"/>
              </w:rPr>
              <m:t>λ</m:t>
            </m:r>
          </m:e>
          <m:sup>
            <m:sSub>
              <m:sSubPr>
                <m:ctrlPr>
                  <w:rPr>
                    <w:rFonts w:ascii="Cambria Math" w:hAnsi="Cambria Math"/>
                  </w:rPr>
                </m:ctrlPr>
              </m:sSubPr>
              <m:e>
                <m:r>
                  <w:rPr>
                    <w:rFonts w:ascii="Cambria Math" w:hAnsi="Cambria Math"/>
                  </w:rPr>
                  <m:t>n</m:t>
                </m:r>
              </m:e>
              <m:sub>
                <m:r>
                  <w:rPr>
                    <w:rFonts w:ascii="Cambria Math" w:hAnsi="Cambria Math"/>
                  </w:rPr>
                  <m:t>loc</m:t>
                </m:r>
              </m:sub>
            </m:sSub>
            <m:r>
              <m:rPr>
                <m:sty m:val="p"/>
              </m:rPr>
              <w:rPr>
                <w:rFonts w:ascii="Cambria Math" w:hAnsi="Cambria Math"/>
              </w:rPr>
              <m:t>+</m:t>
            </m:r>
            <m:r>
              <w:rPr>
                <w:rFonts w:ascii="Cambria Math" w:hAnsi="Cambria Math"/>
              </w:rPr>
              <m:t>2</m:t>
            </m:r>
          </m:sup>
        </m:sSup>
      </m:oMath>
      <w:r w:rsidR="00EC2BC6">
        <w:t xml:space="preserve">    (29)</w:t>
      </w:r>
    </w:p>
    <w:p w:rsidR="009C1914" w:rsidRDefault="001D6813">
      <w:pPr>
        <w:jc w:val="both"/>
      </w:pPr>
      <w:r>
        <w:t xml:space="preserve">For Level 2 screening, the secant slope is computed </w:t>
      </w:r>
      <w:proofErr w:type="gramStart"/>
      <w:r>
        <w:t xml:space="preserve">as </w:t>
      </w:r>
      <w:proofErr w:type="gramEnd"/>
      <m:oMath>
        <m:sSub>
          <m:sSubPr>
            <m:ctrlPr>
              <w:rPr>
                <w:rFonts w:ascii="Cambria Math" w:hAnsi="Cambria Math"/>
              </w:rPr>
            </m:ctrlPr>
          </m:sSubPr>
          <m:e>
            <m:r>
              <w:rPr>
                <w:rFonts w:ascii="Cambria Math" w:hAnsi="Cambria Math"/>
              </w:rPr>
              <m:t>n</m:t>
            </m:r>
          </m:e>
          <m:sub>
            <m:r>
              <w:rPr>
                <w:rFonts w:ascii="Cambria Math" w:hAnsi="Cambria Math"/>
              </w:rPr>
              <m:t>sec</m:t>
            </m:r>
          </m:sub>
        </m:sSub>
        <m:r>
          <m:rPr>
            <m:sty m:val="p"/>
          </m:rPr>
          <w:rPr>
            <w:rFonts w:ascii="Cambria Math" w:hAnsi="Cambria Math"/>
          </w:rPr>
          <m:t>=ln</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SSI</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e>
            </m:d>
          </m:e>
        </m:d>
        <m:r>
          <m:rPr>
            <m:sty m:val="p"/>
          </m:rPr>
          <w:rPr>
            <w:rFonts w:ascii="Cambria Math" w:hAnsi="Cambria Math"/>
          </w:rPr>
          <m:t>/ln</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SSI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m:t>
                </m:r>
              </m:sub>
            </m:sSub>
          </m:e>
        </m:d>
      </m:oMath>
      <w:r>
        <w:t>. This expression uses the actual spectral change over the period-elongation interval and is therefore preferred when the spectrum is available.</w:t>
      </w:r>
    </w:p>
    <w:p w:rsidR="007F70F4" w:rsidRPr="001625B9" w:rsidRDefault="00DC0D23" w:rsidP="001625B9">
      <w:pPr>
        <w:spacing w:after="120"/>
        <w:jc w:val="both"/>
      </w:pPr>
      <w:r>
        <w:t>Table 4 lists the spectral regions used to interpret the expected force-demand and total-displacement response.</w:t>
      </w:r>
    </w:p>
    <w:p w:rsidR="005F2B6C" w:rsidRPr="00AF2D23" w:rsidRDefault="002066B3" w:rsidP="001625B9">
      <w:pPr>
        <w:keepNext/>
        <w:spacing w:before="80" w:after="120"/>
        <w:jc w:val="center"/>
        <w:rPr>
          <w:sz w:val="20"/>
        </w:rPr>
      </w:pPr>
      <w:r w:rsidRPr="00AF2D23">
        <w:t>Table 4. Spectral regions and expected response of force demand and total displacement.</w:t>
      </w:r>
    </w:p>
    <w:tbl>
      <w:tblPr>
        <w:tblStyle w:val="PlainTable2"/>
        <w:tblW w:w="5000" w:type="pct"/>
        <w:jc w:val="center"/>
        <w:tblLook w:val="0420" w:firstRow="1" w:lastRow="0" w:firstColumn="0" w:lastColumn="0" w:noHBand="0" w:noVBand="1"/>
      </w:tblPr>
      <w:tblGrid>
        <w:gridCol w:w="2869"/>
        <w:gridCol w:w="1363"/>
        <w:gridCol w:w="2346"/>
        <w:gridCol w:w="2782"/>
      </w:tblGrid>
      <w:tr w:rsidR="00D52E97" w:rsidRPr="00EC2BC6" w:rsidTr="00EC2BC6">
        <w:trPr>
          <w:cnfStyle w:val="100000000000" w:firstRow="1" w:lastRow="0" w:firstColumn="0" w:lastColumn="0" w:oddVBand="0" w:evenVBand="0" w:oddHBand="0" w:evenHBand="0" w:firstRowFirstColumn="0" w:firstRowLastColumn="0" w:lastRowFirstColumn="0" w:lastRowLastColumn="0"/>
          <w:tblHeader/>
          <w:jc w:val="center"/>
        </w:trPr>
        <w:tc>
          <w:tcPr>
            <w:tcW w:w="1533" w:type="pct"/>
            <w:vAlign w:val="center"/>
          </w:tcPr>
          <w:p w:rsidR="00755DF9" w:rsidRPr="00EC2BC6" w:rsidRDefault="00755DF9" w:rsidP="001625B9">
            <w:pPr>
              <w:spacing w:after="120"/>
              <w:rPr>
                <w:sz w:val="20"/>
              </w:rPr>
            </w:pPr>
            <w:r w:rsidRPr="00EC2BC6">
              <w:rPr>
                <w:sz w:val="20"/>
              </w:rPr>
              <w:t>Spectral region</w:t>
            </w:r>
          </w:p>
        </w:tc>
        <w:tc>
          <w:tcPr>
            <w:tcW w:w="728" w:type="pct"/>
            <w:vAlign w:val="center"/>
          </w:tcPr>
          <w:p w:rsidR="00755DF9" w:rsidRPr="00EC2BC6" w:rsidRDefault="00755DF9" w:rsidP="001625B9">
            <w:pPr>
              <w:spacing w:after="120"/>
              <w:rPr>
                <w:sz w:val="20"/>
              </w:rPr>
            </w:pPr>
            <w:r w:rsidRPr="00EC2BC6">
              <w:rPr>
                <w:sz w:val="20"/>
              </w:rPr>
              <w:t>Slope</w:t>
            </w:r>
          </w:p>
        </w:tc>
        <w:tc>
          <w:tcPr>
            <w:tcW w:w="1253" w:type="pct"/>
            <w:vAlign w:val="center"/>
          </w:tcPr>
          <w:p w:rsidR="00755DF9" w:rsidRPr="00EC2BC6" w:rsidRDefault="00755DF9" w:rsidP="001625B9">
            <w:pPr>
              <w:spacing w:after="120"/>
              <w:rPr>
                <w:sz w:val="20"/>
              </w:rPr>
            </w:pPr>
            <w:r w:rsidRPr="00EC2BC6">
              <w:rPr>
                <w:sz w:val="20"/>
              </w:rPr>
              <w:t>Force response</w:t>
            </w:r>
          </w:p>
        </w:tc>
        <w:tc>
          <w:tcPr>
            <w:tcW w:w="1486" w:type="pct"/>
            <w:vAlign w:val="center"/>
          </w:tcPr>
          <w:p w:rsidR="00755DF9" w:rsidRPr="00EC2BC6" w:rsidRDefault="00755DF9" w:rsidP="001625B9">
            <w:pPr>
              <w:spacing w:after="120"/>
              <w:rPr>
                <w:sz w:val="20"/>
              </w:rPr>
            </w:pPr>
            <w:r w:rsidRPr="00EC2BC6">
              <w:rPr>
                <w:sz w:val="20"/>
              </w:rPr>
              <w:t>Total displacement</w:t>
            </w:r>
          </w:p>
        </w:tc>
      </w:tr>
      <w:tr w:rsidR="00755DF9"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1533" w:type="pct"/>
            <w:vAlign w:val="center"/>
          </w:tcPr>
          <w:p w:rsidR="00755DF9" w:rsidRPr="00EC2BC6" w:rsidRDefault="00755DF9" w:rsidP="001625B9">
            <w:pPr>
              <w:spacing w:after="120"/>
              <w:rPr>
                <w:sz w:val="20"/>
              </w:rPr>
            </w:pPr>
            <w:r w:rsidRPr="00EC2BC6">
              <w:rPr>
                <w:sz w:val="20"/>
              </w:rPr>
              <w:t>Ascending branch</w:t>
            </w:r>
          </w:p>
        </w:tc>
        <w:tc>
          <w:tcPr>
            <w:tcW w:w="728" w:type="pct"/>
            <w:vAlign w:val="center"/>
          </w:tcPr>
          <w:p w:rsidR="00755DF9" w:rsidRPr="00EC2BC6" w:rsidRDefault="00755DF9" w:rsidP="001625B9">
            <w:pPr>
              <w:spacing w:after="120"/>
              <w:rPr>
                <w:sz w:val="20"/>
              </w:rPr>
            </w:pPr>
            <w:r w:rsidRPr="00EC2BC6">
              <w:rPr>
                <w:sz w:val="20"/>
              </w:rPr>
              <w:t>n &gt; 0</w:t>
            </w:r>
          </w:p>
        </w:tc>
        <w:tc>
          <w:tcPr>
            <w:tcW w:w="1253" w:type="pct"/>
            <w:vAlign w:val="center"/>
          </w:tcPr>
          <w:p w:rsidR="00755DF9" w:rsidRPr="00EC2BC6" w:rsidRDefault="00755DF9" w:rsidP="001625B9">
            <w:pPr>
              <w:spacing w:after="120"/>
              <w:rPr>
                <w:sz w:val="20"/>
              </w:rPr>
            </w:pPr>
            <w:r w:rsidRPr="00EC2BC6">
              <w:rPr>
                <w:sz w:val="20"/>
              </w:rPr>
              <w:t>Force demand worsens</w:t>
            </w:r>
          </w:p>
        </w:tc>
        <w:tc>
          <w:tcPr>
            <w:tcW w:w="1486" w:type="pct"/>
            <w:vAlign w:val="center"/>
          </w:tcPr>
          <w:p w:rsidR="00755DF9" w:rsidRPr="00EC2BC6" w:rsidRDefault="00755DF9" w:rsidP="001625B9">
            <w:pPr>
              <w:spacing w:after="120"/>
              <w:rPr>
                <w:sz w:val="20"/>
              </w:rPr>
            </w:pPr>
            <w:r w:rsidRPr="00EC2BC6">
              <w:rPr>
                <w:sz w:val="20"/>
              </w:rPr>
              <w:t>Total displacement worsens</w:t>
            </w:r>
          </w:p>
        </w:tc>
      </w:tr>
      <w:tr w:rsidR="00755DF9" w:rsidRPr="00EC2BC6" w:rsidTr="00EC2BC6">
        <w:trPr>
          <w:jc w:val="center"/>
        </w:trPr>
        <w:tc>
          <w:tcPr>
            <w:tcW w:w="1533" w:type="pct"/>
            <w:vAlign w:val="center"/>
          </w:tcPr>
          <w:p w:rsidR="00755DF9" w:rsidRPr="00EC2BC6" w:rsidRDefault="00755DF9" w:rsidP="001625B9">
            <w:pPr>
              <w:spacing w:after="120"/>
              <w:rPr>
                <w:sz w:val="20"/>
              </w:rPr>
            </w:pPr>
            <w:r w:rsidRPr="00EC2BC6">
              <w:rPr>
                <w:sz w:val="20"/>
              </w:rPr>
              <w:t>Acceleration plateau</w:t>
            </w:r>
          </w:p>
        </w:tc>
        <w:tc>
          <w:tcPr>
            <w:tcW w:w="728" w:type="pct"/>
            <w:vAlign w:val="center"/>
          </w:tcPr>
          <w:p w:rsidR="00755DF9" w:rsidRPr="00EC2BC6" w:rsidRDefault="00755DF9" w:rsidP="001625B9">
            <w:pPr>
              <w:spacing w:after="120"/>
              <w:rPr>
                <w:sz w:val="20"/>
              </w:rPr>
            </w:pPr>
            <w:r w:rsidRPr="00EC2BC6">
              <w:rPr>
                <w:sz w:val="20"/>
              </w:rPr>
              <w:t>n approx. 0</w:t>
            </w:r>
          </w:p>
        </w:tc>
        <w:tc>
          <w:tcPr>
            <w:tcW w:w="1253" w:type="pct"/>
            <w:vAlign w:val="center"/>
          </w:tcPr>
          <w:p w:rsidR="00755DF9" w:rsidRPr="00EC2BC6" w:rsidRDefault="00755DF9" w:rsidP="001625B9">
            <w:pPr>
              <w:spacing w:after="120"/>
              <w:rPr>
                <w:sz w:val="20"/>
              </w:rPr>
            </w:pPr>
            <w:r w:rsidRPr="00EC2BC6">
              <w:rPr>
                <w:sz w:val="20"/>
              </w:rPr>
              <w:t>Nearly unchanged</w:t>
            </w:r>
          </w:p>
        </w:tc>
        <w:tc>
          <w:tcPr>
            <w:tcW w:w="1486" w:type="pct"/>
            <w:vAlign w:val="center"/>
          </w:tcPr>
          <w:p w:rsidR="00755DF9" w:rsidRPr="00EC2BC6" w:rsidRDefault="00755DF9" w:rsidP="001625B9">
            <w:pPr>
              <w:spacing w:after="120"/>
              <w:rPr>
                <w:sz w:val="20"/>
              </w:rPr>
            </w:pPr>
            <w:r w:rsidRPr="00EC2BC6">
              <w:rPr>
                <w:sz w:val="20"/>
              </w:rPr>
              <w:t>Worsens</w:t>
            </w:r>
          </w:p>
        </w:tc>
      </w:tr>
      <w:tr w:rsidR="00755DF9"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1533" w:type="pct"/>
            <w:vAlign w:val="center"/>
          </w:tcPr>
          <w:p w:rsidR="00755DF9" w:rsidRPr="00EC2BC6" w:rsidRDefault="00755DF9" w:rsidP="001625B9">
            <w:pPr>
              <w:spacing w:after="120"/>
              <w:rPr>
                <w:sz w:val="20"/>
              </w:rPr>
            </w:pPr>
            <w:r w:rsidRPr="00EC2BC6">
              <w:rPr>
                <w:sz w:val="20"/>
              </w:rPr>
              <w:t>Constant velocity range</w:t>
            </w:r>
          </w:p>
        </w:tc>
        <w:tc>
          <w:tcPr>
            <w:tcW w:w="728" w:type="pct"/>
            <w:vAlign w:val="center"/>
          </w:tcPr>
          <w:p w:rsidR="00755DF9" w:rsidRPr="00EC2BC6" w:rsidRDefault="00755DF9" w:rsidP="001625B9">
            <w:pPr>
              <w:spacing w:after="120"/>
              <w:rPr>
                <w:sz w:val="20"/>
              </w:rPr>
            </w:pPr>
            <w:r w:rsidRPr="00EC2BC6">
              <w:rPr>
                <w:sz w:val="20"/>
              </w:rPr>
              <w:t>n approx. -1</w:t>
            </w:r>
          </w:p>
        </w:tc>
        <w:tc>
          <w:tcPr>
            <w:tcW w:w="1253" w:type="pct"/>
            <w:vAlign w:val="center"/>
          </w:tcPr>
          <w:p w:rsidR="00755DF9" w:rsidRPr="00EC2BC6" w:rsidRDefault="00755DF9" w:rsidP="001625B9">
            <w:pPr>
              <w:spacing w:after="120"/>
              <w:rPr>
                <w:sz w:val="20"/>
              </w:rPr>
            </w:pPr>
            <w:r w:rsidRPr="00EC2BC6">
              <w:rPr>
                <w:sz w:val="20"/>
              </w:rPr>
              <w:t>Improves</w:t>
            </w:r>
          </w:p>
        </w:tc>
        <w:tc>
          <w:tcPr>
            <w:tcW w:w="1486" w:type="pct"/>
            <w:vAlign w:val="center"/>
          </w:tcPr>
          <w:p w:rsidR="00755DF9" w:rsidRPr="00EC2BC6" w:rsidRDefault="00755DF9" w:rsidP="001625B9">
            <w:pPr>
              <w:spacing w:after="120"/>
              <w:rPr>
                <w:sz w:val="20"/>
              </w:rPr>
            </w:pPr>
            <w:r w:rsidRPr="00EC2BC6">
              <w:rPr>
                <w:sz w:val="20"/>
              </w:rPr>
              <w:t>Usually worsens</w:t>
            </w:r>
          </w:p>
        </w:tc>
      </w:tr>
      <w:tr w:rsidR="00755DF9" w:rsidRPr="00EC2BC6" w:rsidTr="00EC2BC6">
        <w:trPr>
          <w:jc w:val="center"/>
        </w:trPr>
        <w:tc>
          <w:tcPr>
            <w:tcW w:w="1533" w:type="pct"/>
            <w:vAlign w:val="center"/>
          </w:tcPr>
          <w:p w:rsidR="00755DF9" w:rsidRPr="00EC2BC6" w:rsidRDefault="00755DF9" w:rsidP="001625B9">
            <w:pPr>
              <w:spacing w:after="120"/>
              <w:rPr>
                <w:sz w:val="20"/>
              </w:rPr>
            </w:pPr>
            <w:r w:rsidRPr="00EC2BC6">
              <w:rPr>
                <w:sz w:val="20"/>
              </w:rPr>
              <w:t>Constant displacement range</w:t>
            </w:r>
          </w:p>
        </w:tc>
        <w:tc>
          <w:tcPr>
            <w:tcW w:w="728" w:type="pct"/>
            <w:vAlign w:val="center"/>
          </w:tcPr>
          <w:p w:rsidR="00755DF9" w:rsidRPr="00EC2BC6" w:rsidRDefault="00755DF9" w:rsidP="001625B9">
            <w:pPr>
              <w:spacing w:after="120"/>
              <w:rPr>
                <w:sz w:val="20"/>
              </w:rPr>
            </w:pPr>
            <w:r w:rsidRPr="00EC2BC6">
              <w:rPr>
                <w:sz w:val="20"/>
              </w:rPr>
              <w:t>n approx. -2</w:t>
            </w:r>
          </w:p>
        </w:tc>
        <w:tc>
          <w:tcPr>
            <w:tcW w:w="1253" w:type="pct"/>
            <w:vAlign w:val="center"/>
          </w:tcPr>
          <w:p w:rsidR="00755DF9" w:rsidRPr="00EC2BC6" w:rsidRDefault="00755DF9" w:rsidP="001625B9">
            <w:pPr>
              <w:spacing w:after="120"/>
              <w:rPr>
                <w:sz w:val="20"/>
              </w:rPr>
            </w:pPr>
            <w:r w:rsidRPr="00EC2BC6">
              <w:rPr>
                <w:sz w:val="20"/>
              </w:rPr>
              <w:t>Improves strongly</w:t>
            </w:r>
          </w:p>
        </w:tc>
        <w:tc>
          <w:tcPr>
            <w:tcW w:w="1486" w:type="pct"/>
            <w:vAlign w:val="center"/>
          </w:tcPr>
          <w:p w:rsidR="00755DF9" w:rsidRPr="00EC2BC6" w:rsidRDefault="00755DF9" w:rsidP="001625B9">
            <w:pPr>
              <w:spacing w:after="120"/>
              <w:rPr>
                <w:sz w:val="20"/>
              </w:rPr>
            </w:pPr>
            <w:r w:rsidRPr="00EC2BC6">
              <w:rPr>
                <w:sz w:val="20"/>
              </w:rPr>
              <w:t>Nearly unchanged</w:t>
            </w:r>
          </w:p>
        </w:tc>
      </w:tr>
      <w:tr w:rsidR="00755DF9"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1533" w:type="pct"/>
            <w:vAlign w:val="center"/>
          </w:tcPr>
          <w:p w:rsidR="00755DF9" w:rsidRPr="00EC2BC6" w:rsidRDefault="00755DF9" w:rsidP="001625B9">
            <w:pPr>
              <w:spacing w:after="120"/>
              <w:rPr>
                <w:sz w:val="20"/>
              </w:rPr>
            </w:pPr>
            <w:r w:rsidRPr="00EC2BC6">
              <w:rPr>
                <w:sz w:val="20"/>
              </w:rPr>
              <w:t>Steeper descending branch</w:t>
            </w:r>
          </w:p>
        </w:tc>
        <w:tc>
          <w:tcPr>
            <w:tcW w:w="728" w:type="pct"/>
            <w:vAlign w:val="center"/>
          </w:tcPr>
          <w:p w:rsidR="00755DF9" w:rsidRPr="00EC2BC6" w:rsidRDefault="00755DF9" w:rsidP="001625B9">
            <w:pPr>
              <w:spacing w:after="120"/>
              <w:rPr>
                <w:sz w:val="20"/>
              </w:rPr>
            </w:pPr>
            <w:r w:rsidRPr="00EC2BC6">
              <w:rPr>
                <w:sz w:val="20"/>
              </w:rPr>
              <w:t>n &lt; -2</w:t>
            </w:r>
          </w:p>
        </w:tc>
        <w:tc>
          <w:tcPr>
            <w:tcW w:w="1253" w:type="pct"/>
            <w:vAlign w:val="center"/>
          </w:tcPr>
          <w:p w:rsidR="00755DF9" w:rsidRPr="00EC2BC6" w:rsidRDefault="00755DF9" w:rsidP="001625B9">
            <w:pPr>
              <w:spacing w:after="120"/>
              <w:rPr>
                <w:sz w:val="20"/>
              </w:rPr>
            </w:pPr>
            <w:r w:rsidRPr="00EC2BC6">
              <w:rPr>
                <w:sz w:val="20"/>
              </w:rPr>
              <w:t>Improves</w:t>
            </w:r>
          </w:p>
        </w:tc>
        <w:tc>
          <w:tcPr>
            <w:tcW w:w="1486" w:type="pct"/>
            <w:vAlign w:val="center"/>
          </w:tcPr>
          <w:p w:rsidR="00755DF9" w:rsidRPr="00EC2BC6" w:rsidRDefault="00755DF9" w:rsidP="001625B9">
            <w:pPr>
              <w:spacing w:after="120"/>
              <w:rPr>
                <w:sz w:val="20"/>
              </w:rPr>
            </w:pPr>
            <w:r w:rsidRPr="00EC2BC6">
              <w:rPr>
                <w:sz w:val="20"/>
              </w:rPr>
              <w:t>May improve</w:t>
            </w:r>
          </w:p>
        </w:tc>
      </w:tr>
    </w:tbl>
    <w:p w:rsidR="00B530E8" w:rsidRDefault="00E6320B">
      <w:pPr>
        <w:pStyle w:val="Heading2"/>
      </w:pPr>
      <w:r>
        <w:lastRenderedPageBreak/>
        <w:t>4.4 SSI Demand-Polarity Map and divergence margin</w:t>
      </w:r>
    </w:p>
    <w:p w:rsidR="00B530E8" w:rsidRDefault="00E6320B">
      <w:pPr>
        <w:jc w:val="both"/>
      </w:pPr>
      <w:r>
        <w:t xml:space="preserve">The proposed map converts the force/displacement criterion into a closed-form demand-polarity statement. Let λ = Tₛₛᵢ/Tₛ = </w:t>
      </w:r>
      <w:proofErr w:type="gramStart"/>
      <w:r>
        <w:t>√(</w:t>
      </w:r>
      <w:proofErr w:type="gramEnd"/>
      <w:r>
        <w:t xml:space="preserve">1 + η), where η is the dimensionless flexibility contribution. With the reduced-order displacement relation </w:t>
      </w:r>
      <w:proofErr w:type="spellStart"/>
      <w:r>
        <w:t>Rδ</w:t>
      </w:r>
      <w:proofErr w:type="gramStart"/>
      <w:r>
        <w:t>,total</w:t>
      </w:r>
      <w:proofErr w:type="spellEnd"/>
      <w:proofErr w:type="gramEnd"/>
      <w:r>
        <w:t xml:space="preserve"> = λ² Rᵥ = (1 + η) Rᵥ, the mixed SSI regime is bounded by 1/(1 + η) &lt; Rᵥ &lt; 1. In this regime, seismic force demand decreases while total displacement demand increases.</w:t>
      </w:r>
    </w:p>
    <w:p w:rsidR="00B530E8" w:rsidRDefault="00E6320B">
      <w:pPr>
        <w:jc w:val="both"/>
      </w:pPr>
      <w:r>
        <w:t>This result gives four demand-polarity regimes. If Rᵥ &lt; 1</w:t>
      </w:r>
      <w:proofErr w:type="gramStart"/>
      <w:r>
        <w:t>/(</w:t>
      </w:r>
      <w:proofErr w:type="gramEnd"/>
      <w:r>
        <w:t>1 + η), force and total displacement both decrease. If 1</w:t>
      </w:r>
      <w:proofErr w:type="gramStart"/>
      <w:r>
        <w:t>/(</w:t>
      </w:r>
      <w:proofErr w:type="gramEnd"/>
      <w:r>
        <w:t xml:space="preserve">1 + η) &lt; Rᵥ &lt; 1, force decreases but total displacement increases. If Rᵥ &gt; 1, force and total displacement both increase. Under positive period lengthening, η &gt; 0, the opposite mixed case, force-detrimental but total-displacement-beneficial SSI, is impossible within the reduced-order model because </w:t>
      </w:r>
      <w:proofErr w:type="spellStart"/>
      <w:r>
        <w:t>Rδ</w:t>
      </w:r>
      <w:proofErr w:type="gramStart"/>
      <w:r>
        <w:t>,total</w:t>
      </w:r>
      <w:proofErr w:type="spellEnd"/>
      <w:proofErr w:type="gramEnd"/>
      <w:r>
        <w:t xml:space="preserve"> = (1 + η) Rᵥ.</w:t>
      </w:r>
    </w:p>
    <w:p w:rsidR="00B530E8" w:rsidRDefault="00E6320B">
      <w:pPr>
        <w:jc w:val="both"/>
      </w:pPr>
      <w:r>
        <w:t xml:space="preserve">Writing the force ratio as Rᵥ = χ λⁿˢ links the same result to spectral shape, damping and kinematic filtering. The mixed-regime window becomes -2 - </w:t>
      </w:r>
      <w:proofErr w:type="gramStart"/>
      <w:r>
        <w:t>ln(</w:t>
      </w:r>
      <w:proofErr w:type="gramEnd"/>
      <w:r>
        <w:t xml:space="preserve">χ)/ln(λ) &lt; nₛ &lt; -ln(χ)/ln(λ). For the unmodified case χ = </w:t>
      </w:r>
      <w:proofErr w:type="gramStart"/>
      <w:r>
        <w:t>1</w:t>
      </w:r>
      <w:proofErr w:type="gramEnd"/>
      <w:r>
        <w:t>, this reduces to -2 &lt; nₛ &lt; 0. Thus, the mixed SSI regime is not an arbitrary numerical outcome; it is the spectral-slope interval between constant total displacement and constant force.</w:t>
      </w:r>
    </w:p>
    <w:p w:rsidR="00B530E8" w:rsidRDefault="00E6320B">
      <w:pPr>
        <w:jc w:val="both"/>
      </w:pPr>
      <w:r>
        <w:t xml:space="preserve">Beyond binary classification, the force-displacement divergence margin is defined as MF = -ln Rᵥ, MD = ln </w:t>
      </w:r>
      <w:proofErr w:type="spellStart"/>
      <w:r>
        <w:t>Rδ</w:t>
      </w:r>
      <w:proofErr w:type="gramStart"/>
      <w:r>
        <w:t>,total</w:t>
      </w:r>
      <w:proofErr w:type="spellEnd"/>
      <w:proofErr w:type="gramEnd"/>
      <w:r>
        <w:t xml:space="preserve">, and </w:t>
      </w:r>
      <w:proofErr w:type="spellStart"/>
      <w:r>
        <w:t>Mmix</w:t>
      </w:r>
      <w:proofErr w:type="spellEnd"/>
      <w:r>
        <w:t xml:space="preserve"> = min(MF, MD). Positive </w:t>
      </w:r>
      <w:proofErr w:type="spellStart"/>
      <w:r>
        <w:t>Mmix</w:t>
      </w:r>
      <w:proofErr w:type="spellEnd"/>
      <w:r>
        <w:t xml:space="preserve"> flags the mixed regime with positive margin. The curvature indicator Cn = |nₛₑc - nₗₒc| is used to decide whether the Level 1 local approximation is adequate or whether the Level 2 secant formulation should control the screening decision.</w:t>
      </w:r>
    </w:p>
    <w:p w:rsidR="00AF2D23" w:rsidRDefault="00AF2D23">
      <w:pPr>
        <w:jc w:val="both"/>
      </w:pPr>
      <w:r>
        <w:t xml:space="preserve">Table 5 summarizes the novelty audit against existing SSI approaches before the reproducibility protocol </w:t>
      </w:r>
      <w:proofErr w:type="gramStart"/>
      <w:r>
        <w:t>is introduced</w:t>
      </w:r>
      <w:proofErr w:type="gramEnd"/>
      <w:r>
        <w:t>.</w:t>
      </w:r>
    </w:p>
    <w:p w:rsidR="00B530E8" w:rsidRPr="00AF2D23" w:rsidRDefault="00E6320B">
      <w:pPr>
        <w:keepNext/>
        <w:jc w:val="center"/>
        <w:rPr>
          <w:sz w:val="20"/>
        </w:rPr>
      </w:pPr>
      <w:r w:rsidRPr="00AF2D23">
        <w:t>Table 5. Novelty audit against existing SSI approaches.</w:t>
      </w:r>
    </w:p>
    <w:tbl>
      <w:tblPr>
        <w:tblStyle w:val="PlainTable2"/>
        <w:tblW w:w="0" w:type="auto"/>
        <w:jc w:val="center"/>
        <w:tblLook w:val="0420" w:firstRow="1" w:lastRow="0" w:firstColumn="0" w:lastColumn="0" w:noHBand="0" w:noVBand="1"/>
      </w:tblPr>
      <w:tblGrid>
        <w:gridCol w:w="2373"/>
        <w:gridCol w:w="2342"/>
        <w:gridCol w:w="2320"/>
        <w:gridCol w:w="2325"/>
      </w:tblGrid>
      <w:tr w:rsidR="00B530E8" w:rsidRPr="00EC2BC6" w:rsidTr="00EC2BC6">
        <w:trPr>
          <w:cnfStyle w:val="100000000000" w:firstRow="1" w:lastRow="0" w:firstColumn="0" w:lastColumn="0" w:oddVBand="0" w:evenVBand="0" w:oddHBand="0" w:evenHBand="0" w:firstRowFirstColumn="0" w:firstRowLastColumn="0" w:lastRowFirstColumn="0" w:lastRowLastColumn="0"/>
          <w:tblHeader/>
          <w:jc w:val="center"/>
        </w:trPr>
        <w:tc>
          <w:tcPr>
            <w:tcW w:w="2400" w:type="dxa"/>
            <w:vAlign w:val="center"/>
          </w:tcPr>
          <w:p w:rsidR="00B530E8" w:rsidRPr="00EC2BC6" w:rsidRDefault="00E6320B">
            <w:pPr>
              <w:rPr>
                <w:sz w:val="20"/>
              </w:rPr>
            </w:pPr>
            <w:r w:rsidRPr="00EC2BC6">
              <w:rPr>
                <w:sz w:val="20"/>
              </w:rPr>
              <w:t>Approach</w:t>
            </w:r>
          </w:p>
        </w:tc>
        <w:tc>
          <w:tcPr>
            <w:tcW w:w="2400" w:type="dxa"/>
            <w:vAlign w:val="center"/>
          </w:tcPr>
          <w:p w:rsidR="00B530E8" w:rsidRPr="00EC2BC6" w:rsidRDefault="00E6320B">
            <w:pPr>
              <w:rPr>
                <w:sz w:val="20"/>
              </w:rPr>
            </w:pPr>
            <w:r w:rsidRPr="00EC2BC6">
              <w:rPr>
                <w:sz w:val="20"/>
              </w:rPr>
              <w:t>What it provides</w:t>
            </w:r>
          </w:p>
        </w:tc>
        <w:tc>
          <w:tcPr>
            <w:tcW w:w="2400" w:type="dxa"/>
            <w:vAlign w:val="center"/>
          </w:tcPr>
          <w:p w:rsidR="00B530E8" w:rsidRPr="00EC2BC6" w:rsidRDefault="00E6320B">
            <w:pPr>
              <w:rPr>
                <w:sz w:val="20"/>
              </w:rPr>
            </w:pPr>
            <w:r w:rsidRPr="00EC2BC6">
              <w:rPr>
                <w:sz w:val="20"/>
              </w:rPr>
              <w:t>What remains missing</w:t>
            </w:r>
          </w:p>
        </w:tc>
        <w:tc>
          <w:tcPr>
            <w:tcW w:w="2400" w:type="dxa"/>
            <w:vAlign w:val="center"/>
          </w:tcPr>
          <w:p w:rsidR="00B530E8" w:rsidRPr="00EC2BC6" w:rsidRDefault="00E6320B">
            <w:pPr>
              <w:rPr>
                <w:sz w:val="20"/>
              </w:rPr>
            </w:pPr>
            <w:r w:rsidRPr="00EC2BC6">
              <w:rPr>
                <w:sz w:val="20"/>
              </w:rPr>
              <w:t>Contribution of this paper</w:t>
            </w:r>
          </w:p>
        </w:tc>
      </w:tr>
      <w:tr w:rsidR="00B530E8"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2400" w:type="dxa"/>
            <w:vAlign w:val="center"/>
          </w:tcPr>
          <w:p w:rsidR="00B530E8" w:rsidRPr="00EC2BC6" w:rsidRDefault="00E6320B">
            <w:pPr>
              <w:rPr>
                <w:sz w:val="20"/>
              </w:rPr>
            </w:pPr>
            <w:r w:rsidRPr="00EC2BC6">
              <w:rPr>
                <w:sz w:val="20"/>
              </w:rPr>
              <w:t>FEMA/NIST/ASCE SSI guidance</w:t>
            </w:r>
          </w:p>
        </w:tc>
        <w:tc>
          <w:tcPr>
            <w:tcW w:w="2400" w:type="dxa"/>
            <w:vAlign w:val="center"/>
          </w:tcPr>
          <w:p w:rsidR="00B530E8" w:rsidRPr="00EC2BC6" w:rsidRDefault="00E6320B">
            <w:pPr>
              <w:rPr>
                <w:sz w:val="20"/>
              </w:rPr>
            </w:pPr>
            <w:r w:rsidRPr="00EC2BC6">
              <w:rPr>
                <w:sz w:val="20"/>
              </w:rPr>
              <w:t>Period lengthening, damping and modelling guidance</w:t>
            </w:r>
          </w:p>
        </w:tc>
        <w:tc>
          <w:tcPr>
            <w:tcW w:w="2400" w:type="dxa"/>
            <w:vAlign w:val="center"/>
          </w:tcPr>
          <w:p w:rsidR="00B530E8" w:rsidRPr="00EC2BC6" w:rsidRDefault="00E6320B">
            <w:pPr>
              <w:rPr>
                <w:sz w:val="20"/>
              </w:rPr>
            </w:pPr>
            <w:r w:rsidRPr="00EC2BC6">
              <w:rPr>
                <w:sz w:val="20"/>
              </w:rPr>
              <w:t>No closed force-displacement polarity map by spectral slope</w:t>
            </w:r>
          </w:p>
        </w:tc>
        <w:tc>
          <w:tcPr>
            <w:tcW w:w="2400" w:type="dxa"/>
            <w:vAlign w:val="center"/>
          </w:tcPr>
          <w:p w:rsidR="00B530E8" w:rsidRPr="00EC2BC6" w:rsidRDefault="00E6320B">
            <w:pPr>
              <w:rPr>
                <w:sz w:val="20"/>
              </w:rPr>
            </w:pPr>
            <w:r w:rsidRPr="00EC2BC6">
              <w:rPr>
                <w:sz w:val="20"/>
              </w:rPr>
              <w:t>SSI Demand-Polarity Map as a pre-analysis diagnostic.</w:t>
            </w:r>
          </w:p>
        </w:tc>
      </w:tr>
      <w:tr w:rsidR="00B530E8" w:rsidRPr="00EC2BC6" w:rsidTr="00EC2BC6">
        <w:trPr>
          <w:jc w:val="center"/>
        </w:trPr>
        <w:tc>
          <w:tcPr>
            <w:tcW w:w="2400" w:type="dxa"/>
            <w:vAlign w:val="center"/>
          </w:tcPr>
          <w:p w:rsidR="00B530E8" w:rsidRPr="00EC2BC6" w:rsidRDefault="00E6320B">
            <w:pPr>
              <w:rPr>
                <w:sz w:val="20"/>
              </w:rPr>
            </w:pPr>
            <w:r w:rsidRPr="00EC2BC6">
              <w:rPr>
                <w:sz w:val="20"/>
              </w:rPr>
              <w:lastRenderedPageBreak/>
              <w:t>Nonlinear FE SSI studies</w:t>
            </w:r>
          </w:p>
        </w:tc>
        <w:tc>
          <w:tcPr>
            <w:tcW w:w="2400" w:type="dxa"/>
            <w:vAlign w:val="center"/>
          </w:tcPr>
          <w:p w:rsidR="00B530E8" w:rsidRPr="00EC2BC6" w:rsidRDefault="00E6320B">
            <w:pPr>
              <w:rPr>
                <w:sz w:val="20"/>
              </w:rPr>
            </w:pPr>
            <w:r w:rsidRPr="00EC2BC6">
              <w:rPr>
                <w:sz w:val="20"/>
              </w:rPr>
              <w:t>High-fidelity case-specific response</w:t>
            </w:r>
          </w:p>
        </w:tc>
        <w:tc>
          <w:tcPr>
            <w:tcW w:w="2400" w:type="dxa"/>
            <w:vAlign w:val="center"/>
          </w:tcPr>
          <w:p w:rsidR="00B530E8" w:rsidRPr="00EC2BC6" w:rsidRDefault="00E6320B">
            <w:pPr>
              <w:rPr>
                <w:sz w:val="20"/>
              </w:rPr>
            </w:pPr>
            <w:r w:rsidRPr="00EC2BC6">
              <w:rPr>
                <w:sz w:val="20"/>
              </w:rPr>
              <w:t>No compact closed boundary for screening</w:t>
            </w:r>
          </w:p>
        </w:tc>
        <w:tc>
          <w:tcPr>
            <w:tcW w:w="2400" w:type="dxa"/>
            <w:vAlign w:val="center"/>
          </w:tcPr>
          <w:p w:rsidR="00B530E8" w:rsidRPr="00EC2BC6" w:rsidRDefault="00E6320B">
            <w:pPr>
              <w:rPr>
                <w:sz w:val="20"/>
              </w:rPr>
            </w:pPr>
            <w:r>
              <w:rPr>
                <w:sz w:val="20"/>
              </w:rPr>
              <w:t>Reduced-order theorem 1</w:t>
            </w:r>
            <w:proofErr w:type="gramStart"/>
            <w:r>
              <w:rPr>
                <w:sz w:val="20"/>
              </w:rPr>
              <w:t>/(</w:t>
            </w:r>
            <w:proofErr w:type="gramEnd"/>
            <w:r>
              <w:rPr>
                <w:sz w:val="20"/>
              </w:rPr>
              <w:t>1 + η) &lt; Rᵥ &lt; 1.</w:t>
            </w:r>
          </w:p>
        </w:tc>
      </w:tr>
      <w:tr w:rsidR="00B530E8"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2400" w:type="dxa"/>
            <w:vAlign w:val="center"/>
          </w:tcPr>
          <w:p w:rsidR="00B530E8" w:rsidRPr="00EC2BC6" w:rsidRDefault="00E6320B">
            <w:pPr>
              <w:rPr>
                <w:sz w:val="20"/>
              </w:rPr>
            </w:pPr>
            <w:r w:rsidRPr="00EC2BC6">
              <w:rPr>
                <w:sz w:val="20"/>
              </w:rPr>
              <w:t>Beneficial/detrimental SSI literature</w:t>
            </w:r>
          </w:p>
        </w:tc>
        <w:tc>
          <w:tcPr>
            <w:tcW w:w="2400" w:type="dxa"/>
            <w:vAlign w:val="center"/>
          </w:tcPr>
          <w:p w:rsidR="00B530E8" w:rsidRPr="00EC2BC6" w:rsidRDefault="00E6320B">
            <w:pPr>
              <w:rPr>
                <w:sz w:val="20"/>
              </w:rPr>
            </w:pPr>
            <w:r w:rsidRPr="00EC2BC6">
              <w:rPr>
                <w:sz w:val="20"/>
              </w:rPr>
              <w:t>Evidence that SSI can help or hurt</w:t>
            </w:r>
          </w:p>
        </w:tc>
        <w:tc>
          <w:tcPr>
            <w:tcW w:w="2400" w:type="dxa"/>
            <w:vAlign w:val="center"/>
          </w:tcPr>
          <w:p w:rsidR="00B530E8" w:rsidRPr="00EC2BC6" w:rsidRDefault="00E6320B">
            <w:pPr>
              <w:rPr>
                <w:sz w:val="20"/>
              </w:rPr>
            </w:pPr>
            <w:r w:rsidRPr="00EC2BC6">
              <w:rPr>
                <w:sz w:val="20"/>
              </w:rPr>
              <w:t>Limited operational separation of force and total displacement</w:t>
            </w:r>
          </w:p>
        </w:tc>
        <w:tc>
          <w:tcPr>
            <w:tcW w:w="2400" w:type="dxa"/>
            <w:vAlign w:val="center"/>
          </w:tcPr>
          <w:p w:rsidR="00B530E8" w:rsidRPr="00EC2BC6" w:rsidRDefault="00E6320B">
            <w:pPr>
              <w:rPr>
                <w:sz w:val="20"/>
              </w:rPr>
            </w:pPr>
            <w:r>
              <w:rPr>
                <w:sz w:val="20"/>
              </w:rPr>
              <w:t>Closed secant-slope window -2 &lt; nₛ &lt; 0 for the unmodified mixed regime.</w:t>
            </w:r>
          </w:p>
        </w:tc>
      </w:tr>
      <w:tr w:rsidR="00B530E8" w:rsidRPr="00EC2BC6" w:rsidTr="00EC2BC6">
        <w:trPr>
          <w:jc w:val="center"/>
        </w:trPr>
        <w:tc>
          <w:tcPr>
            <w:tcW w:w="2400" w:type="dxa"/>
            <w:vAlign w:val="center"/>
          </w:tcPr>
          <w:p w:rsidR="00B530E8" w:rsidRPr="00EC2BC6" w:rsidRDefault="00E6320B">
            <w:pPr>
              <w:rPr>
                <w:sz w:val="20"/>
              </w:rPr>
            </w:pPr>
            <w:r w:rsidRPr="00EC2BC6">
              <w:rPr>
                <w:sz w:val="20"/>
              </w:rPr>
              <w:t>Frequency-shift studies</w:t>
            </w:r>
          </w:p>
        </w:tc>
        <w:tc>
          <w:tcPr>
            <w:tcW w:w="2400" w:type="dxa"/>
            <w:vAlign w:val="center"/>
          </w:tcPr>
          <w:p w:rsidR="00B530E8" w:rsidRPr="00EC2BC6" w:rsidRDefault="00E6320B">
            <w:pPr>
              <w:rPr>
                <w:sz w:val="20"/>
              </w:rPr>
            </w:pPr>
            <w:r w:rsidRPr="00EC2BC6">
              <w:rPr>
                <w:sz w:val="20"/>
              </w:rPr>
              <w:t>Warning that period/frequency shift can change response</w:t>
            </w:r>
          </w:p>
        </w:tc>
        <w:tc>
          <w:tcPr>
            <w:tcW w:w="2400" w:type="dxa"/>
            <w:vAlign w:val="center"/>
          </w:tcPr>
          <w:p w:rsidR="00B530E8" w:rsidRPr="00EC2BC6" w:rsidRDefault="00E6320B">
            <w:pPr>
              <w:rPr>
                <w:sz w:val="20"/>
              </w:rPr>
            </w:pPr>
            <w:r w:rsidRPr="00EC2BC6">
              <w:rPr>
                <w:sz w:val="20"/>
              </w:rPr>
              <w:t>No direct force-displacement polarity metric</w:t>
            </w:r>
          </w:p>
        </w:tc>
        <w:tc>
          <w:tcPr>
            <w:tcW w:w="2400" w:type="dxa"/>
            <w:vAlign w:val="center"/>
          </w:tcPr>
          <w:p w:rsidR="00B530E8" w:rsidRPr="00EC2BC6" w:rsidRDefault="00E6320B">
            <w:pPr>
              <w:rPr>
                <w:sz w:val="20"/>
              </w:rPr>
            </w:pPr>
            <w:r w:rsidRPr="00EC2BC6">
              <w:rPr>
                <w:sz w:val="20"/>
              </w:rPr>
              <w:t>Divergence margin and curvature-aware local/secant workflow.</w:t>
            </w:r>
          </w:p>
        </w:tc>
      </w:tr>
      <w:tr w:rsidR="00B530E8"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2400" w:type="dxa"/>
            <w:vAlign w:val="center"/>
          </w:tcPr>
          <w:p w:rsidR="00B530E8" w:rsidRPr="00EC2BC6" w:rsidRDefault="00E6320B">
            <w:pPr>
              <w:rPr>
                <w:sz w:val="20"/>
              </w:rPr>
            </w:pPr>
            <w:r w:rsidRPr="00EC2BC6">
              <w:rPr>
                <w:sz w:val="20"/>
              </w:rPr>
              <w:t>Field SFSI benchmarks</w:t>
            </w:r>
          </w:p>
        </w:tc>
        <w:tc>
          <w:tcPr>
            <w:tcW w:w="2400" w:type="dxa"/>
            <w:vAlign w:val="center"/>
          </w:tcPr>
          <w:p w:rsidR="00B530E8" w:rsidRPr="00EC2BC6" w:rsidRDefault="00E6320B">
            <w:pPr>
              <w:rPr>
                <w:sz w:val="20"/>
              </w:rPr>
            </w:pPr>
            <w:r w:rsidRPr="00EC2BC6">
              <w:rPr>
                <w:sz w:val="20"/>
              </w:rPr>
              <w:t>Experimental and field-scale validation pathways</w:t>
            </w:r>
          </w:p>
        </w:tc>
        <w:tc>
          <w:tcPr>
            <w:tcW w:w="2400" w:type="dxa"/>
            <w:vAlign w:val="center"/>
          </w:tcPr>
          <w:p w:rsidR="00B530E8" w:rsidRPr="00EC2BC6" w:rsidRDefault="00E6320B">
            <w:pPr>
              <w:rPr>
                <w:sz w:val="20"/>
              </w:rPr>
            </w:pPr>
            <w:r w:rsidRPr="00EC2BC6">
              <w:rPr>
                <w:sz w:val="20"/>
              </w:rPr>
              <w:t>Not a universal screening criterion by themselves</w:t>
            </w:r>
          </w:p>
        </w:tc>
        <w:tc>
          <w:tcPr>
            <w:tcW w:w="2400" w:type="dxa"/>
            <w:vAlign w:val="center"/>
          </w:tcPr>
          <w:p w:rsidR="00B530E8" w:rsidRPr="00EC2BC6" w:rsidRDefault="00E6320B">
            <w:r>
              <w:rPr>
                <w:sz w:val="20"/>
              </w:rPr>
              <w:t xml:space="preserve">Target variables λ, nₛ, </w:t>
            </w:r>
            <w:proofErr w:type="gramStart"/>
            <w:r>
              <w:rPr>
                <w:sz w:val="20"/>
              </w:rPr>
              <w:t>R</w:t>
            </w:r>
            <w:proofErr w:type="gramEnd"/>
            <w:r>
              <w:rPr>
                <w:sz w:val="20"/>
              </w:rPr>
              <w:t>ᵥ and total-displacement ratio for future benchmark extraction.</w:t>
            </w:r>
          </w:p>
        </w:tc>
      </w:tr>
    </w:tbl>
    <w:p w:rsidR="00755DF9" w:rsidRPr="001625B9" w:rsidRDefault="00755DF9" w:rsidP="001625B9">
      <w:pPr>
        <w:spacing w:after="120"/>
      </w:pPr>
    </w:p>
    <w:p w:rsidR="009C1914" w:rsidRDefault="001D6813">
      <w:pPr>
        <w:pStyle w:val="Heading1"/>
      </w:pPr>
      <w:r>
        <w:t>5 Methodological framework</w:t>
      </w:r>
    </w:p>
    <w:p w:rsidR="009C1914" w:rsidRDefault="001D6813">
      <w:pPr>
        <w:jc w:val="both"/>
      </w:pPr>
      <w:r>
        <w:t xml:space="preserve">The study uses a claim-bounded evidence hierarchy rather than treating every check as validation. The core sequence </w:t>
      </w:r>
      <w:proofErr w:type="gramStart"/>
      <w:r>
        <w:t>is:</w:t>
      </w:r>
      <w:proofErr w:type="gramEnd"/>
      <w:r>
        <w:t xml:space="preserve"> mathematical verification, spectral consistency, controlled synthetic stress testing, external consistency mapping, solver-backed class prediction, experimental proxy-class validation, and field-benchmark falsification. The full evidence hierarchy, pass/fail gates, ablation controls, and claim-evidence traceability matrix </w:t>
      </w:r>
      <w:proofErr w:type="gramStart"/>
      <w:r>
        <w:t>are moved</w:t>
      </w:r>
      <w:proofErr w:type="gramEnd"/>
      <w:r>
        <w:t xml:space="preserve"> to Supplementary Material Section S4 to keep the main text focused.</w:t>
      </w:r>
    </w:p>
    <w:p w:rsidR="009C1914" w:rsidRDefault="001D6813">
      <w:pPr>
        <w:jc w:val="both"/>
      </w:pPr>
      <w:r>
        <w:t xml:space="preserve">The main manuscript reports only the gates that affect the article claims: the closed-form demand-polarity theorem must pass identity checks; the secant-slope formulation must outperform local-slope screening in curved spectra; experimental proxy validation must maintain a low false-safe rate; and field benchmarks </w:t>
      </w:r>
      <w:r>
        <w:lastRenderedPageBreak/>
        <w:t xml:space="preserve">that do not pass instrumental or predictive gates </w:t>
      </w:r>
      <w:proofErr w:type="gramStart"/>
      <w:r>
        <w:t>are reported</w:t>
      </w:r>
      <w:proofErr w:type="gramEnd"/>
      <w:r>
        <w:t xml:space="preserve"> as falsification, not as validation. This structure keeps the article reproducible while preventing </w:t>
      </w:r>
      <w:proofErr w:type="spellStart"/>
      <w:r>
        <w:t>overclaiming</w:t>
      </w:r>
      <w:proofErr w:type="spellEnd"/>
      <w:r>
        <w:t>.</w:t>
      </w:r>
    </w:p>
    <w:p w:rsidR="00755DF9" w:rsidRPr="001625B9" w:rsidRDefault="00755DF9" w:rsidP="002A1247">
      <w:pPr>
        <w:pStyle w:val="Heading1"/>
      </w:pPr>
      <w:r>
        <w:t>6 Sensitivity and Controlling Parameters</w:t>
      </w:r>
    </w:p>
    <w:p w:rsidR="00755DF9" w:rsidRPr="001625B9" w:rsidRDefault="00755DF9" w:rsidP="001625B9">
      <w:pPr>
        <w:spacing w:after="120"/>
        <w:jc w:val="both"/>
      </w:pPr>
      <w:r w:rsidRPr="001625B9">
        <w:t xml:space="preserve">The logarithmic sensitivity of force demand to each flexibility component </w:t>
      </w:r>
      <w:proofErr w:type="gramStart"/>
      <w:r w:rsidRPr="001625B9">
        <w:t>is obtained</w:t>
      </w:r>
      <w:proofErr w:type="gramEnd"/>
      <w:r w:rsidRPr="001625B9">
        <w:t xml:space="preserve"> by differentiating the response ratio. This sensitivity framing also supports the use of structured parametric sweeps and error diagnostics rather than isolated examples (</w:t>
      </w:r>
      <w:proofErr w:type="spellStart"/>
      <w:r w:rsidRPr="001625B9">
        <w:t>Ang</w:t>
      </w:r>
      <w:proofErr w:type="spellEnd"/>
      <w:r w:rsidRPr="001625B9">
        <w:t xml:space="preserve"> and Tang, 2007; Montgomery, 2017; </w:t>
      </w:r>
      <w:proofErr w:type="spellStart"/>
      <w:r w:rsidRPr="001625B9">
        <w:t>Saltelli</w:t>
      </w:r>
      <w:proofErr w:type="spellEnd"/>
      <w:r w:rsidRPr="001625B9">
        <w:t xml:space="preserve"> et al., 2008; Melchers and Beck, 2018):</w:t>
      </w:r>
    </w:p>
    <w:p w:rsidR="00755DF9" w:rsidRPr="001625B9" w:rsidRDefault="00D3410C" w:rsidP="001625B9">
      <w:pPr>
        <w:jc w:val="both"/>
      </w:pPr>
      <m:oMath>
        <m:f>
          <m:fPr>
            <m:ctrlPr>
              <w:rPr>
                <w:rFonts w:ascii="Cambria Math" w:hAnsi="Cambria Math"/>
              </w:rPr>
            </m:ctrlPr>
          </m:fPr>
          <m:num>
            <m:r>
              <m:rPr>
                <m:sty m:val="p"/>
              </m:rPr>
              <w:rPr>
                <w:rFonts w:ascii="Cambria Math" w:hAnsi="Cambria Math"/>
              </w:rPr>
              <m:t>∂ln</m:t>
            </m:r>
            <m:sSub>
              <m:sSubPr>
                <m:ctrlPr>
                  <w:rPr>
                    <w:rFonts w:ascii="Cambria Math" w:hAnsi="Cambria Math"/>
                  </w:rPr>
                </m:ctrlPr>
              </m:sSubPr>
              <m:e>
                <m:r>
                  <w:rPr>
                    <w:rFonts w:ascii="Cambria Math" w:hAnsi="Cambria Math"/>
                  </w:rPr>
                  <m:t>R</m:t>
                </m:r>
              </m:e>
              <m:sub>
                <m:r>
                  <w:rPr>
                    <w:rFonts w:ascii="Cambria Math" w:hAnsi="Cambria Math"/>
                  </w:rPr>
                  <m:t>V</m:t>
                </m:r>
              </m:sub>
            </m:sSub>
          </m:num>
          <m:den>
            <m:r>
              <m:rPr>
                <m:sty m:val="p"/>
              </m:rPr>
              <w:rPr>
                <w:rFonts w:ascii="Cambria Math" w:hAnsi="Cambria Math"/>
              </w:rPr>
              <m:t>∂</m:t>
            </m:r>
            <m:r>
              <w:rPr>
                <w:rFonts w:ascii="Cambria Math" w:hAnsi="Cambria Math"/>
              </w:rPr>
              <m:t>η</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η</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χ</m:t>
            </m:r>
          </m:num>
          <m:den>
            <m:r>
              <m:rPr>
                <m:sty m:val="p"/>
              </m:rPr>
              <w:rPr>
                <w:rFonts w:ascii="Cambria Math" w:hAnsi="Cambria Math"/>
              </w:rPr>
              <m:t>∂</m:t>
            </m:r>
            <m:r>
              <w:rPr>
                <w:rFonts w:ascii="Cambria Math" w:hAnsi="Cambria Math"/>
              </w:rPr>
              <m:t>η</m:t>
            </m:r>
          </m:den>
        </m:f>
      </m:oMath>
      <w:r w:rsidR="00EC2BC6">
        <w:t xml:space="preserve">    (30)</w:t>
      </w:r>
    </w:p>
    <w:p w:rsidR="00755DF9" w:rsidRPr="001625B9" w:rsidRDefault="00D3410C" w:rsidP="001625B9">
      <w:pPr>
        <w:jc w:val="both"/>
      </w:pPr>
      <m:oMath>
        <m:f>
          <m:fPr>
            <m:ctrlPr>
              <w:rPr>
                <w:rFonts w:ascii="Cambria Math" w:hAnsi="Cambria Math"/>
              </w:rPr>
            </m:ctrlPr>
          </m:fPr>
          <m:num>
            <m:r>
              <m:rPr>
                <m:sty m:val="p"/>
              </m:rPr>
              <w:rPr>
                <w:rFonts w:ascii="Cambria Math" w:hAnsi="Cambria Math"/>
              </w:rPr>
              <m:t>∂ln</m:t>
            </m:r>
            <m:sSub>
              <m:sSubPr>
                <m:ctrlPr>
                  <w:rPr>
                    <w:rFonts w:ascii="Cambria Math" w:hAnsi="Cambria Math"/>
                  </w:rPr>
                </m:ctrlPr>
              </m:sSubPr>
              <m:e>
                <m:r>
                  <w:rPr>
                    <w:rFonts w:ascii="Cambria Math" w:hAnsi="Cambria Math"/>
                  </w:rPr>
                  <m:t>R</m:t>
                </m:r>
              </m:e>
              <m:sub>
                <m:r>
                  <w:rPr>
                    <w:rFonts w:ascii="Cambria Math" w:hAnsi="Cambria Math"/>
                  </w:rPr>
                  <m:t>δ</m:t>
                </m:r>
                <m:r>
                  <m:rPr>
                    <m:sty m:val="p"/>
                  </m:rPr>
                  <w:rPr>
                    <w:rFonts w:ascii="Cambria Math" w:hAnsi="Cambria Math"/>
                  </w:rPr>
                  <m:t>,</m:t>
                </m:r>
                <m:r>
                  <w:rPr>
                    <w:rFonts w:ascii="Cambria Math" w:hAnsi="Cambria Math"/>
                  </w:rPr>
                  <m:t>total</m:t>
                </m:r>
              </m:sub>
            </m:sSub>
          </m:num>
          <m:den>
            <m:r>
              <m:rPr>
                <m:sty m:val="p"/>
              </m:rPr>
              <w:rPr>
                <w:rFonts w:ascii="Cambria Math" w:hAnsi="Cambria Math"/>
              </w:rPr>
              <m:t>∂</m:t>
            </m:r>
            <m:r>
              <w:rPr>
                <w:rFonts w:ascii="Cambria Math" w:hAnsi="Cambria Math"/>
              </w:rPr>
              <m:t>η</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2</m:t>
            </m:r>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η</m:t>
                </m:r>
              </m:e>
            </m:d>
          </m:den>
        </m:f>
        <m:r>
          <m:rPr>
            <m:sty m:val="p"/>
          </m:rPr>
          <w:rPr>
            <w:rFonts w:ascii="Cambria Math" w:hAnsi="Cambria Math"/>
          </w:rPr>
          <m:t>+</m:t>
        </m:r>
        <m:f>
          <m:fPr>
            <m:ctrlPr>
              <w:rPr>
                <w:rFonts w:ascii="Cambria Math" w:hAnsi="Cambria Math"/>
              </w:rPr>
            </m:ctrlPr>
          </m:fPr>
          <m:num>
            <m:r>
              <m:rPr>
                <m:sty m:val="p"/>
              </m:rPr>
              <w:rPr>
                <w:rFonts w:ascii="Cambria Math" w:hAnsi="Cambria Math"/>
              </w:rPr>
              <m:t>∂ln</m:t>
            </m:r>
            <m:r>
              <w:rPr>
                <w:rFonts w:ascii="Cambria Math" w:hAnsi="Cambria Math"/>
              </w:rPr>
              <m:t>χ</m:t>
            </m:r>
          </m:num>
          <m:den>
            <m:r>
              <m:rPr>
                <m:sty m:val="p"/>
              </m:rPr>
              <w:rPr>
                <w:rFonts w:ascii="Cambria Math" w:hAnsi="Cambria Math"/>
              </w:rPr>
              <m:t>∂</m:t>
            </m:r>
            <m:r>
              <w:rPr>
                <w:rFonts w:ascii="Cambria Math" w:hAnsi="Cambria Math"/>
              </w:rPr>
              <m:t>η</m:t>
            </m:r>
          </m:den>
        </m:f>
      </m:oMath>
      <w:r w:rsidR="00EC2BC6">
        <w:t xml:space="preserve">    (31)</w:t>
      </w:r>
    </w:p>
    <w:p w:rsidR="00755DF9" w:rsidRPr="001625B9" w:rsidRDefault="00755DF9" w:rsidP="001625B9">
      <w:pPr>
        <w:spacing w:after="120"/>
        <w:jc w:val="both"/>
      </w:pPr>
      <w:r w:rsidRPr="001625B9">
        <w:t>The three terms represent the spectral effect, the damping effect and the kinematic filtering effect. For total displacement an additional positive term appears:</w:t>
      </w:r>
    </w:p>
    <w:p w:rsidR="00755DF9" w:rsidRPr="001625B9" w:rsidRDefault="00D3410C" w:rsidP="001625B9">
      <w:pPr>
        <w:jc w:val="both"/>
      </w:pPr>
      <m:oMath>
        <m:f>
          <m:fPr>
            <m:ctrlPr>
              <w:rPr>
                <w:rFonts w:ascii="Cambria Math" w:hAnsi="Cambria Math"/>
              </w:rPr>
            </m:ctrlPr>
          </m:fPr>
          <m:num>
            <m:r>
              <m:rPr>
                <m:sty m:val="p"/>
              </m:rPr>
              <w:rPr>
                <w:rFonts w:ascii="Cambria Math" w:hAnsi="Cambria Math"/>
              </w:rPr>
              <m:t>∂ln</m:t>
            </m:r>
            <m:sSub>
              <m:sSubPr>
                <m:ctrlPr>
                  <w:rPr>
                    <w:rFonts w:ascii="Cambria Math" w:hAnsi="Cambria Math"/>
                  </w:rPr>
                </m:ctrlPr>
              </m:sSubPr>
              <m:e>
                <m:r>
                  <w:rPr>
                    <w:rFonts w:ascii="Cambria Math" w:hAnsi="Cambria Math"/>
                  </w:rPr>
                  <m:t>R</m:t>
                </m:r>
              </m:e>
              <m:sub>
                <m:r>
                  <w:rPr>
                    <w:rFonts w:ascii="Cambria Math" w:hAnsi="Cambria Math"/>
                  </w:rPr>
                  <m:t>δ</m:t>
                </m:r>
                <m:r>
                  <m:rPr>
                    <m:sty m:val="p"/>
                  </m:rPr>
                  <w:rPr>
                    <w:rFonts w:ascii="Cambria Math" w:hAnsi="Cambria Math"/>
                  </w:rPr>
                  <m:t>,</m:t>
                </m:r>
                <m:r>
                  <w:rPr>
                    <w:rFonts w:ascii="Cambria Math" w:hAnsi="Cambria Math"/>
                  </w:rPr>
                  <m:t>total</m:t>
                </m:r>
              </m:sub>
            </m:sSub>
          </m:num>
          <m:den>
            <m:r>
              <m:rPr>
                <m:sty m:val="p"/>
              </m:rPr>
              <w:rPr>
                <w:rFonts w:ascii="Cambria Math" w:hAnsi="Cambria Math"/>
              </w:rPr>
              <m:t>∂</m:t>
            </m:r>
            <m:r>
              <w:rPr>
                <w:rFonts w:ascii="Cambria Math" w:hAnsi="Cambria Math"/>
              </w:rPr>
              <m:t>η</m:t>
            </m:r>
          </m:den>
        </m:f>
        <m:r>
          <m:rPr>
            <m:sty m:val="p"/>
          </m:rPr>
          <w:rPr>
            <w:rFonts w:ascii="Cambria Math" w:hAnsi="Cambria Math"/>
          </w:rPr>
          <m:t>=</m:t>
        </m:r>
        <m:f>
          <m:fPr>
            <m:ctrlPr>
              <w:rPr>
                <w:rFonts w:ascii="Cambria Math" w:hAnsi="Cambria Math"/>
              </w:rPr>
            </m:ctrlPr>
          </m:fPr>
          <m:num>
            <m:r>
              <m:rPr>
                <m:sty m:val="p"/>
              </m:rPr>
              <w:rPr>
                <w:rFonts w:ascii="Cambria Math" w:hAnsi="Cambria Math"/>
              </w:rPr>
              <m:t>∂ln</m:t>
            </m:r>
            <m:sSub>
              <m:sSubPr>
                <m:ctrlPr>
                  <w:rPr>
                    <w:rFonts w:ascii="Cambria Math" w:hAnsi="Cambria Math"/>
                  </w:rPr>
                </m:ctrlPr>
              </m:sSubPr>
              <m:e>
                <m:r>
                  <w:rPr>
                    <w:rFonts w:ascii="Cambria Math" w:hAnsi="Cambria Math"/>
                  </w:rPr>
                  <m:t>R</m:t>
                </m:r>
              </m:e>
              <m:sub>
                <m:r>
                  <w:rPr>
                    <w:rFonts w:ascii="Cambria Math" w:hAnsi="Cambria Math"/>
                  </w:rPr>
                  <m:t>V</m:t>
                </m:r>
              </m:sub>
            </m:sSub>
          </m:num>
          <m:den>
            <m:r>
              <m:rPr>
                <m:sty m:val="p"/>
              </m:rPr>
              <w:rPr>
                <w:rFonts w:ascii="Cambria Math" w:hAnsi="Cambria Math"/>
              </w:rPr>
              <m:t>∂</m:t>
            </m:r>
            <m:r>
              <w:rPr>
                <w:rFonts w:ascii="Cambria Math" w:hAnsi="Cambria Math"/>
              </w:rPr>
              <m:t>η</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η</m:t>
            </m:r>
          </m:den>
        </m:f>
      </m:oMath>
      <w:r w:rsidR="00EC2BC6">
        <w:t xml:space="preserve">    (32)</w:t>
      </w:r>
    </w:p>
    <w:p w:rsidR="00755DF9" w:rsidRPr="001625B9" w:rsidRDefault="00755DF9" w:rsidP="001625B9">
      <w:pPr>
        <w:spacing w:after="120"/>
        <w:jc w:val="both"/>
      </w:pPr>
      <w:r w:rsidRPr="001625B9">
        <w:t xml:space="preserve">The controlling dimensionless variables </w:t>
      </w:r>
      <w:proofErr w:type="gramStart"/>
      <w:r w:rsidRPr="001625B9">
        <w:t>are summarized</w:t>
      </w:r>
      <w:proofErr w:type="gramEnd"/>
      <w:r w:rsidRPr="001625B9">
        <w:t xml:space="preserve"> as follows:</w:t>
      </w:r>
    </w:p>
    <w:p w:rsidR="00755DF9" w:rsidRPr="001625B9" w:rsidRDefault="00EC2BC6" w:rsidP="001625B9">
      <w:pPr>
        <w:jc w:val="both"/>
      </w:pPr>
      <m:oMath>
        <m:r>
          <m:rPr>
            <m:sty m:val="p"/>
          </m:rPr>
          <w:rPr>
            <w:rFonts w:ascii="Cambria Math" w:hAnsi="Cambria Math"/>
          </w:rPr>
          <m:t>{</m:t>
        </m:r>
        <m:r>
          <w:rPr>
            <w:rFonts w:ascii="Cambria Math" w:hAnsi="Cambria Math"/>
          </w:rPr>
          <m:t>η</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χ</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mix</m:t>
            </m:r>
          </m:sub>
        </m:sSub>
        <m:r>
          <m:rPr>
            <m:sty m:val="p"/>
          </m:rPr>
          <w:rPr>
            <w:rFonts w:ascii="Cambria Math" w:hAnsi="Cambria Math"/>
          </w:rPr>
          <m:t>}</m:t>
        </m:r>
      </m:oMath>
      <w:r>
        <w:t xml:space="preserve">    (33)</w:t>
      </w:r>
    </w:p>
    <w:p w:rsidR="00755DF9" w:rsidRPr="001625B9" w:rsidRDefault="00D3410C" w:rsidP="001625B9">
      <w:pPr>
        <w:jc w:val="both"/>
      </w:pPr>
      <m:oMath>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=-ln</m:t>
        </m:r>
        <m:sSub>
          <m:sSubPr>
            <m:ctrlPr>
              <w:rPr>
                <w:rFonts w:ascii="Cambria Math" w:hAnsi="Cambria Math"/>
              </w:rPr>
            </m:ctrlPr>
          </m:sSubPr>
          <m:e>
            <m:r>
              <w:rPr>
                <w:rFonts w:ascii="Cambria Math" w:hAnsi="Cambria Math"/>
              </w:rPr>
              <m:t>R</m:t>
            </m:r>
          </m:e>
          <m:sub>
            <m:r>
              <w:rPr>
                <w:rFonts w:ascii="Cambria Math" w:hAnsi="Cambria Math"/>
              </w:rPr>
              <m:t>V</m:t>
            </m:r>
          </m:sub>
        </m:sSub>
      </m:oMath>
      <w:r w:rsidR="00EC2BC6">
        <w:t xml:space="preserve">    (34)</w:t>
      </w:r>
    </w:p>
    <w:p w:rsidR="00755DF9" w:rsidRPr="001625B9" w:rsidRDefault="00D3410C" w:rsidP="001625B9">
      <w:pPr>
        <w:jc w:val="both"/>
      </w:pPr>
      <m:oMath>
        <m:sSub>
          <m:sSubPr>
            <m:ctrlPr>
              <w:rPr>
                <w:rFonts w:ascii="Cambria Math" w:hAnsi="Cambria Math"/>
              </w:rPr>
            </m:ctrlPr>
          </m:sSubPr>
          <m:e>
            <m:r>
              <w:rPr>
                <w:rFonts w:ascii="Cambria Math" w:hAnsi="Cambria Math"/>
              </w:rPr>
              <m:t>M</m:t>
            </m:r>
          </m:e>
          <m:sub>
            <m:r>
              <w:rPr>
                <w:rFonts w:ascii="Cambria Math" w:hAnsi="Cambria Math"/>
              </w:rPr>
              <m:t>D</m:t>
            </m:r>
          </m:sub>
        </m:sSub>
        <m:r>
          <m:rPr>
            <m:sty m:val="p"/>
          </m:rPr>
          <w:rPr>
            <w:rFonts w:ascii="Cambria Math" w:hAnsi="Cambria Math"/>
          </w:rPr>
          <m:t>=ln</m:t>
        </m:r>
        <m:sSub>
          <m:sSubPr>
            <m:ctrlPr>
              <w:rPr>
                <w:rFonts w:ascii="Cambria Math" w:hAnsi="Cambria Math"/>
              </w:rPr>
            </m:ctrlPr>
          </m:sSubPr>
          <m:e>
            <m:r>
              <w:rPr>
                <w:rFonts w:ascii="Cambria Math" w:hAnsi="Cambria Math"/>
              </w:rPr>
              <m:t>R</m:t>
            </m:r>
          </m:e>
          <m:sub>
            <m:r>
              <w:rPr>
                <w:rFonts w:ascii="Cambria Math" w:hAnsi="Cambria Math"/>
              </w:rPr>
              <m:t>δ</m:t>
            </m:r>
            <m:r>
              <m:rPr>
                <m:sty m:val="p"/>
              </m:rPr>
              <w:rPr>
                <w:rFonts w:ascii="Cambria Math" w:hAnsi="Cambria Math"/>
              </w:rPr>
              <m:t>,</m:t>
            </m:r>
            <m:r>
              <w:rPr>
                <w:rFonts w:ascii="Cambria Math" w:hAnsi="Cambria Math"/>
              </w:rPr>
              <m:t>total</m:t>
            </m:r>
          </m:sub>
        </m:sSub>
      </m:oMath>
      <w:r w:rsidR="00755DF9">
        <w:t xml:space="preserve">    (35)</w:t>
      </w:r>
    </w:p>
    <w:p w:rsidR="00755DF9" w:rsidRPr="001625B9" w:rsidRDefault="00D3410C" w:rsidP="001625B9">
      <w:pPr>
        <w:jc w:val="both"/>
      </w:pPr>
      <m:oMath>
        <m:sSub>
          <m:sSubPr>
            <m:ctrlPr>
              <w:rPr>
                <w:rFonts w:ascii="Cambria Math" w:hAnsi="Cambria Math"/>
              </w:rPr>
            </m:ctrlPr>
          </m:sSubPr>
          <m:e>
            <m:r>
              <w:rPr>
                <w:rFonts w:ascii="Cambria Math" w:hAnsi="Cambria Math"/>
              </w:rPr>
              <m:t>M</m:t>
            </m:r>
          </m:e>
          <m:sub>
            <m:r>
              <w:rPr>
                <w:rFonts w:ascii="Cambria Math" w:hAnsi="Cambria Math"/>
              </w:rPr>
              <m:t>mix</m:t>
            </m:r>
          </m:sub>
        </m:sSub>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m:t>
                </m:r>
              </m:sub>
            </m:sSub>
          </m:e>
        </m:d>
      </m:oMath>
      <w:r w:rsidR="00EC2BC6">
        <w:t xml:space="preserve">    (36)</w:t>
      </w:r>
    </w:p>
    <w:p w:rsidR="00755DF9" w:rsidRPr="001625B9" w:rsidRDefault="00D3410C" w:rsidP="001625B9">
      <w:pPr>
        <w:jc w:val="both"/>
      </w:pP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sec</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loc</m:t>
                </m:r>
              </m:sub>
            </m:sSub>
          </m:e>
        </m:d>
      </m:oMath>
      <w:r w:rsidR="00EC2BC6">
        <w:t xml:space="preserve">    (37)</w:t>
      </w:r>
    </w:p>
    <w:p w:rsidR="00755DF9" w:rsidRPr="001625B9" w:rsidRDefault="00755DF9" w:rsidP="001625B9">
      <w:pPr>
        <w:jc w:val="both"/>
      </w:pPr>
      <m:oMath>
        <m:r>
          <m:rPr>
            <m:sty m:val="p"/>
          </m:rPr>
          <w:rPr>
            <w:rFonts w:ascii="Cambria Math" w:hAnsi="Cambria Math"/>
          </w:rPr>
          <m:t>FalseSafe=</m:t>
        </m:r>
        <m:f>
          <m:fPr>
            <m:ctrlPr>
              <w:rPr>
                <w:rFonts w:ascii="Cambria Math" w:hAnsi="Cambria Math"/>
              </w:rPr>
            </m:ctrlPr>
          </m:fPr>
          <m:num>
            <m:r>
              <w:rPr>
                <w:rFonts w:ascii="Cambria Math" w:hAnsi="Cambria Math"/>
              </w:rPr>
              <m:t>N</m:t>
            </m:r>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=beneficial,</m:t>
                </m:r>
                <m:r>
                  <w:rPr>
                    <w:rFonts w:ascii="Cambria Math" w:hAnsi="Cambria Math"/>
                  </w:rPr>
                  <m:t> y</m:t>
                </m:r>
                <m:r>
                  <m:rPr>
                    <m:sty m:val="p"/>
                  </m:rPr>
                  <w:rPr>
                    <w:rFonts w:ascii="Cambria Math" w:hAnsi="Cambria Math"/>
                  </w:rPr>
                  <m:t>≠beneficial</m:t>
                </m:r>
              </m:e>
            </m:d>
          </m:num>
          <m:den>
            <m:r>
              <w:rPr>
                <w:rFonts w:ascii="Cambria Math" w:hAnsi="Cambria Math"/>
              </w:rPr>
              <m:t>N</m:t>
            </m:r>
          </m:den>
        </m:f>
      </m:oMath>
      <w:r>
        <w:t xml:space="preserve">    (38)</w:t>
      </w:r>
    </w:p>
    <w:p w:rsidR="00755DF9" w:rsidRPr="001625B9" w:rsidRDefault="00755DF9" w:rsidP="001625B9">
      <w:pPr>
        <w:jc w:val="both"/>
      </w:pPr>
      <m:oMath>
        <m:r>
          <m:rPr>
            <m:sty m:val="p"/>
          </m:rPr>
          <w:rPr>
            <w:rFonts w:ascii="Cambria Math" w:hAnsi="Cambria Math"/>
          </w:rPr>
          <m:t>MixedRecall=</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mixed</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mixed</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N</m:t>
                </m:r>
              </m:e>
              <m:sub>
                <m:r>
                  <w:rPr>
                    <w:rFonts w:ascii="Cambria Math" w:hAnsi="Cambria Math"/>
                  </w:rPr>
                  <m:t>mixed</m:t>
                </m:r>
              </m:sub>
            </m:sSub>
          </m:den>
        </m:f>
      </m:oMath>
      <w:r>
        <w:t xml:space="preserve">    (39)</w:t>
      </w:r>
    </w:p>
    <w:p w:rsidR="00755DF9" w:rsidRPr="001625B9" w:rsidRDefault="00755DF9" w:rsidP="001625B9">
      <w:pPr>
        <w:jc w:val="both"/>
      </w:pPr>
      <m:oMath>
        <m:r>
          <m:rPr>
            <m:sty m:val="p"/>
          </m:rPr>
          <w:rPr>
            <w:rFonts w:ascii="Cambria Math" w:hAnsi="Cambria Math"/>
          </w:rPr>
          <m:t>SafePrecision=</m:t>
        </m:r>
        <m:f>
          <m:fPr>
            <m:ctrlPr>
              <w:rPr>
                <w:rFonts w:ascii="Cambria Math" w:hAnsi="Cambria Math"/>
              </w:rPr>
            </m:ctrlPr>
          </m:fPr>
          <m:num>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beneficial</m:t>
                </m:r>
              </m:sub>
            </m:sSub>
          </m:num>
          <m:den>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beneficial</m:t>
                </m:r>
              </m:sub>
            </m:sSub>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P</m:t>
                </m:r>
              </m:e>
              <m:sub>
                <m:r>
                  <w:rPr>
                    <w:rFonts w:ascii="Cambria Math" w:hAnsi="Cambria Math"/>
                  </w:rPr>
                  <m:t>beneficial</m:t>
                </m:r>
              </m:sub>
            </m:sSub>
          </m:den>
        </m:f>
      </m:oMath>
      <w:r>
        <w:t xml:space="preserve">    (40)</w:t>
      </w:r>
    </w:p>
    <w:p w:rsidR="00755DF9" w:rsidRPr="001625B9" w:rsidRDefault="00755DF9" w:rsidP="001625B9">
      <w:pPr>
        <w:spacing w:after="120"/>
        <w:jc w:val="both"/>
      </w:pPr>
      <w:r w:rsidRPr="001625B9">
        <w:lastRenderedPageBreak/>
        <w:t xml:space="preserve">Poisson ratio, embedment ratio, effective damping and kinematic filtering may also influence the criterion and </w:t>
      </w:r>
      <w:proofErr w:type="gramStart"/>
      <w:r w:rsidRPr="001625B9">
        <w:t>should be reported</w:t>
      </w:r>
      <w:proofErr w:type="gramEnd"/>
      <w:r w:rsidRPr="001625B9">
        <w:t xml:space="preserve"> when the method is applied.</w:t>
      </w:r>
    </w:p>
    <w:p w:rsidR="00881253" w:rsidRDefault="006D48C7" w:rsidP="002A1247">
      <w:pPr>
        <w:pStyle w:val="Heading1"/>
      </w:pPr>
      <w:r>
        <w:t>7 Verification and consistency checks</w:t>
      </w:r>
    </w:p>
    <w:p w:rsidR="00C11273" w:rsidRDefault="00C11273" w:rsidP="001A58DF">
      <w:pPr>
        <w:jc w:val="both"/>
      </w:pPr>
      <w:r>
        <w:t xml:space="preserve">The submission presents the criterion with a reproducible numerical verification package. The minimum model is a normalized SDOF system with flexible translational and rocking foundation degrees of freedom, compared against fixed-base response under idealized and record-derived spectra. The workflow distinguishes internal verification, synthetic spectral stress testing, direct spectral consistency checks, external qualitative consistency checks and an external quantitative consistency mapping. This terminology is intentional: the numerical grids verify the reduced-order equations, whereas independent predictive validation of real SSI </w:t>
      </w:r>
      <w:proofErr w:type="spellStart"/>
      <w:r>
        <w:t>behavior</w:t>
      </w:r>
      <w:proofErr w:type="spellEnd"/>
      <w:r>
        <w:t xml:space="preserve"> requires broader finite-element, experimental or field evidence. The public repository version aligned with this submission </w:t>
      </w:r>
      <w:proofErr w:type="gramStart"/>
      <w:r>
        <w:t>is fixed</w:t>
      </w:r>
      <w:proofErr w:type="gramEnd"/>
      <w:r>
        <w:t xml:space="preserve"> at </w:t>
      </w:r>
      <w:hyperlink r:id="rId7">
        <w:r>
          <w:rPr>
            <w:color w:val="0563C1"/>
            <w:u w:val="single"/>
          </w:rPr>
          <w:t>https://github.com/gabrielmontufar/a-dimensionless-criterion-for-supplementary</w:t>
        </w:r>
      </w:hyperlink>
      <w:r>
        <w:t xml:space="preserve">, tag </w:t>
      </w:r>
      <w:r w:rsidR="00E01150">
        <w:t>demand-polarity-map-v40-submission-reproducible</w:t>
      </w:r>
      <w:r>
        <w:t xml:space="preserve">. The release package is </w:t>
      </w:r>
      <w:r w:rsidR="00E01150">
        <w:t>demand_polarity_map_v40_submission_reproducible</w:t>
      </w:r>
      <w:r>
        <w:t xml:space="preserve"> and its static files </w:t>
      </w:r>
      <w:proofErr w:type="gramStart"/>
      <w:r>
        <w:t>are indexed</w:t>
      </w:r>
      <w:proofErr w:type="gramEnd"/>
      <w:r>
        <w:t xml:space="preserve"> in MANIFEST_SHA256.csv.</w:t>
      </w:r>
    </w:p>
    <w:p w:rsidR="007F70F4" w:rsidRPr="001625B9" w:rsidRDefault="00DC0D23" w:rsidP="00C11273">
      <w:pPr>
        <w:jc w:val="both"/>
      </w:pPr>
      <w:r>
        <w:t>Table 6 defines the reproducible verification elements required to make the screening criterion auditable.</w:t>
      </w:r>
    </w:p>
    <w:p w:rsidR="005F2B6C" w:rsidRPr="00AF2D23" w:rsidRDefault="002066B3" w:rsidP="001625B9">
      <w:pPr>
        <w:keepNext/>
        <w:spacing w:before="80" w:after="120"/>
        <w:jc w:val="center"/>
        <w:rPr>
          <w:sz w:val="20"/>
        </w:rPr>
      </w:pPr>
      <w:r w:rsidRPr="00AF2D23">
        <w:t>Table 6. Reproducible verification and consistency-check elements reported for the screening criterion.</w:t>
      </w:r>
    </w:p>
    <w:tbl>
      <w:tblPr>
        <w:tblStyle w:val="PlainTable2"/>
        <w:tblW w:w="5000" w:type="pct"/>
        <w:jc w:val="center"/>
        <w:tblLook w:val="0420" w:firstRow="1" w:lastRow="0" w:firstColumn="0" w:lastColumn="0" w:noHBand="0" w:noVBand="1"/>
      </w:tblPr>
      <w:tblGrid>
        <w:gridCol w:w="1748"/>
        <w:gridCol w:w="7612"/>
      </w:tblGrid>
      <w:tr w:rsidR="00755DF9" w:rsidRPr="00EC2BC6" w:rsidTr="00EC2BC6">
        <w:trPr>
          <w:cnfStyle w:val="100000000000" w:firstRow="1" w:lastRow="0" w:firstColumn="0" w:lastColumn="0" w:oddVBand="0" w:evenVBand="0" w:oddHBand="0" w:evenHBand="0" w:firstRowFirstColumn="0" w:firstRowLastColumn="0" w:lastRowFirstColumn="0" w:lastRowLastColumn="0"/>
          <w:tblHeader/>
          <w:jc w:val="center"/>
        </w:trPr>
        <w:tc>
          <w:tcPr>
            <w:tcW w:w="934" w:type="pct"/>
            <w:vAlign w:val="center"/>
          </w:tcPr>
          <w:p w:rsidR="006C4118" w:rsidRPr="00EC2BC6" w:rsidRDefault="00D07F1C">
            <w:pPr>
              <w:rPr>
                <w:sz w:val="20"/>
              </w:rPr>
            </w:pPr>
            <w:r w:rsidRPr="00EC2BC6">
              <w:rPr>
                <w:sz w:val="20"/>
              </w:rPr>
              <w:t>Verification element</w:t>
            </w:r>
          </w:p>
        </w:tc>
        <w:tc>
          <w:tcPr>
            <w:tcW w:w="4066" w:type="pct"/>
            <w:vAlign w:val="center"/>
          </w:tcPr>
          <w:p w:rsidR="006C4118" w:rsidRPr="00EC2BC6" w:rsidRDefault="00D07F1C">
            <w:pPr>
              <w:rPr>
                <w:sz w:val="20"/>
              </w:rPr>
            </w:pPr>
            <w:r w:rsidRPr="00EC2BC6">
              <w:rPr>
                <w:sz w:val="20"/>
              </w:rPr>
              <w:t>Required reporting</w:t>
            </w:r>
          </w:p>
        </w:tc>
      </w:tr>
      <w:tr w:rsidR="00755DF9"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934" w:type="pct"/>
            <w:vAlign w:val="center"/>
          </w:tcPr>
          <w:p w:rsidR="006C4118" w:rsidRPr="00EC2BC6" w:rsidRDefault="00D07F1C">
            <w:pPr>
              <w:rPr>
                <w:sz w:val="20"/>
              </w:rPr>
            </w:pPr>
            <w:r w:rsidRPr="00EC2BC6">
              <w:rPr>
                <w:sz w:val="20"/>
              </w:rPr>
              <w:t>Model</w:t>
            </w:r>
          </w:p>
        </w:tc>
        <w:tc>
          <w:tcPr>
            <w:tcW w:w="4066" w:type="pct"/>
            <w:vAlign w:val="center"/>
          </w:tcPr>
          <w:p w:rsidR="006C4118" w:rsidRPr="00EC2BC6" w:rsidRDefault="00D07F1C">
            <w:pPr>
              <w:rPr>
                <w:sz w:val="20"/>
              </w:rPr>
            </w:pPr>
            <w:r w:rsidRPr="00EC2BC6">
              <w:rPr>
                <w:sz w:val="20"/>
              </w:rPr>
              <w:t xml:space="preserve">Linear SDOF superstructure with horizontal and rocking foundation flexibility; </w:t>
            </w:r>
            <w:proofErr w:type="gramStart"/>
            <w:r w:rsidRPr="00EC2BC6">
              <w:rPr>
                <w:sz w:val="20"/>
              </w:rPr>
              <w:t>not a nonlinear</w:t>
            </w:r>
            <w:proofErr w:type="gramEnd"/>
            <w:r w:rsidRPr="00EC2BC6">
              <w:rPr>
                <w:sz w:val="20"/>
              </w:rPr>
              <w:t xml:space="preserve"> SSI design model.</w:t>
            </w:r>
          </w:p>
        </w:tc>
      </w:tr>
      <w:tr w:rsidR="00755DF9" w:rsidRPr="00EC2BC6" w:rsidTr="00EC2BC6">
        <w:trPr>
          <w:jc w:val="center"/>
        </w:trPr>
        <w:tc>
          <w:tcPr>
            <w:tcW w:w="934" w:type="pct"/>
            <w:vAlign w:val="center"/>
          </w:tcPr>
          <w:p w:rsidR="00755DF9" w:rsidRPr="00EC2BC6" w:rsidRDefault="00755DF9" w:rsidP="001625B9">
            <w:pPr>
              <w:spacing w:after="120"/>
              <w:rPr>
                <w:sz w:val="20"/>
              </w:rPr>
            </w:pPr>
            <w:r w:rsidRPr="00EC2BC6">
              <w:rPr>
                <w:sz w:val="20"/>
              </w:rPr>
              <w:t>Parameters</w:t>
            </w:r>
          </w:p>
        </w:tc>
        <w:tc>
          <w:tcPr>
            <w:tcW w:w="4066" w:type="pct"/>
            <w:vAlign w:val="center"/>
          </w:tcPr>
          <w:p w:rsidR="00755DF9" w:rsidRPr="00EC2BC6" w:rsidRDefault="00755DF9" w:rsidP="001625B9">
            <w:pPr>
              <w:spacing w:after="120"/>
              <w:rPr>
                <w:sz w:val="20"/>
              </w:rPr>
            </w:pPr>
            <w:r w:rsidRPr="00EC2BC6">
              <w:rPr>
                <w:sz w:val="20"/>
              </w:rPr>
              <w:t>Translational flexibility, rotational flexibility, soil damping, mass ratio, slenderness and spectral slope.</w:t>
            </w:r>
          </w:p>
        </w:tc>
      </w:tr>
      <w:tr w:rsidR="00755DF9"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934" w:type="pct"/>
            <w:vAlign w:val="center"/>
          </w:tcPr>
          <w:p w:rsidR="00755DF9" w:rsidRPr="00EC2BC6" w:rsidRDefault="00755DF9" w:rsidP="001625B9">
            <w:pPr>
              <w:spacing w:after="120"/>
              <w:rPr>
                <w:sz w:val="20"/>
              </w:rPr>
            </w:pPr>
            <w:r w:rsidRPr="00EC2BC6">
              <w:rPr>
                <w:sz w:val="20"/>
              </w:rPr>
              <w:t>Outputs</w:t>
            </w:r>
          </w:p>
        </w:tc>
        <w:tc>
          <w:tcPr>
            <w:tcW w:w="4066" w:type="pct"/>
            <w:vAlign w:val="center"/>
          </w:tcPr>
          <w:p w:rsidR="00755DF9" w:rsidRPr="00EC2BC6" w:rsidRDefault="00755DF9" w:rsidP="001625B9">
            <w:pPr>
              <w:spacing w:after="120"/>
              <w:rPr>
                <w:sz w:val="20"/>
              </w:rPr>
            </w:pPr>
            <w:r w:rsidRPr="00EC2BC6">
              <w:rPr>
                <w:sz w:val="20"/>
              </w:rPr>
              <w:t>Base shear ratio, structural displacement ratio, total displacement ratio and rocking contribution.</w:t>
            </w:r>
          </w:p>
        </w:tc>
      </w:tr>
      <w:tr w:rsidR="00755DF9" w:rsidRPr="00EC2BC6" w:rsidTr="00EC2BC6">
        <w:trPr>
          <w:jc w:val="center"/>
        </w:trPr>
        <w:tc>
          <w:tcPr>
            <w:tcW w:w="934" w:type="pct"/>
            <w:vAlign w:val="center"/>
          </w:tcPr>
          <w:p w:rsidR="00755DF9" w:rsidRPr="00EC2BC6" w:rsidRDefault="00755DF9" w:rsidP="001625B9">
            <w:pPr>
              <w:spacing w:after="120"/>
              <w:rPr>
                <w:sz w:val="20"/>
              </w:rPr>
            </w:pPr>
            <w:r w:rsidRPr="00EC2BC6">
              <w:rPr>
                <w:sz w:val="20"/>
              </w:rPr>
              <w:lastRenderedPageBreak/>
              <w:t>Comparison</w:t>
            </w:r>
          </w:p>
        </w:tc>
        <w:tc>
          <w:tcPr>
            <w:tcW w:w="4066" w:type="pct"/>
            <w:vAlign w:val="center"/>
          </w:tcPr>
          <w:p w:rsidR="00755DF9" w:rsidRPr="00EC2BC6" w:rsidRDefault="00755DF9" w:rsidP="001625B9">
            <w:pPr>
              <w:spacing w:after="120"/>
              <w:rPr>
                <w:sz w:val="20"/>
              </w:rPr>
            </w:pPr>
            <w:r w:rsidRPr="00EC2BC6">
              <w:rPr>
                <w:sz w:val="20"/>
              </w:rPr>
              <w:t>Fixed-base response versus flexible-base response for each normalized parameter set.</w:t>
            </w:r>
          </w:p>
        </w:tc>
      </w:tr>
      <w:tr w:rsidR="00755DF9"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934" w:type="pct"/>
            <w:vAlign w:val="center"/>
          </w:tcPr>
          <w:p w:rsidR="00755DF9" w:rsidRPr="00EC2BC6" w:rsidRDefault="00755DF9" w:rsidP="001625B9">
            <w:pPr>
              <w:spacing w:after="120"/>
              <w:rPr>
                <w:sz w:val="20"/>
              </w:rPr>
            </w:pPr>
            <w:r w:rsidRPr="00EC2BC6">
              <w:rPr>
                <w:sz w:val="20"/>
              </w:rPr>
              <w:t>Reproducibility</w:t>
            </w:r>
          </w:p>
        </w:tc>
        <w:tc>
          <w:tcPr>
            <w:tcW w:w="4066" w:type="pct"/>
            <w:vAlign w:val="center"/>
          </w:tcPr>
          <w:p w:rsidR="00755DF9" w:rsidRPr="00EC2BC6" w:rsidRDefault="00755DF9" w:rsidP="001625B9">
            <w:pPr>
              <w:spacing w:after="120"/>
              <w:rPr>
                <w:sz w:val="20"/>
              </w:rPr>
            </w:pPr>
            <w:r w:rsidRPr="00EC2BC6">
              <w:rPr>
                <w:sz w:val="20"/>
              </w:rPr>
              <w:t>Report parameter ranges, equations, scripts or pseudocode and tabulated response maps.</w:t>
            </w:r>
          </w:p>
        </w:tc>
      </w:tr>
    </w:tbl>
    <w:p w:rsidR="00755DF9" w:rsidRPr="001625B9" w:rsidRDefault="00755DF9" w:rsidP="001625B9">
      <w:pPr>
        <w:spacing w:after="120"/>
      </w:pPr>
    </w:p>
    <w:p w:rsidR="00881253" w:rsidRDefault="006D48C7" w:rsidP="002A1247">
      <w:pPr>
        <w:pStyle w:val="Heading2"/>
      </w:pPr>
      <w:r>
        <w:t>7.1 Internal dimensionless verification</w:t>
      </w:r>
    </w:p>
    <w:p w:rsidR="00E62C7D" w:rsidRPr="001625B9" w:rsidRDefault="00E62C7D" w:rsidP="001625B9">
      <w:pPr>
        <w:spacing w:after="120"/>
        <w:jc w:val="both"/>
        <w:rPr>
          <w:rFonts w:eastAsiaTheme="minorHAnsi"/>
          <w:szCs w:val="22"/>
        </w:rPr>
      </w:pPr>
      <w:r>
        <w:t xml:space="preserve">The verification protocol </w:t>
      </w:r>
      <w:proofErr w:type="gramStart"/>
      <w:r>
        <w:t>was executed as a normalized benchmark rather than left as a future requirement</w:t>
      </w:r>
      <w:proofErr w:type="gramEnd"/>
      <w:r>
        <w:t xml:space="preserve">. The sweep used 21 values of total flexibility η from 0 to 2, 21 values of local spectral slope n from -3 to 1, and </w:t>
      </w:r>
      <w:proofErr w:type="gramStart"/>
      <w:r>
        <w:t>four</w:t>
      </w:r>
      <w:proofErr w:type="gramEnd"/>
      <w:r>
        <w:t xml:space="preserve"> damping-gain levels d from 0.00 to 0.15, producing 1,764 response cases. The response ratios were computed from the period-elongation factor, the spectral-slope approximation and the bounded damping-reduction factor </w:t>
      </w:r>
      <w:proofErr w:type="spellStart"/>
      <w:r>
        <w:t>C_d</w:t>
      </w:r>
      <w:proofErr w:type="spellEnd"/>
      <w:r>
        <w:t xml:space="preserve"> = </w:t>
      </w:r>
      <w:proofErr w:type="gramStart"/>
      <w:r>
        <w:t>max(</w:t>
      </w:r>
      <w:proofErr w:type="gramEnd"/>
      <w:r>
        <w:t xml:space="preserve">0.45, 1 - d*η/(1+η)); the total-displacement response additionally accounted for the added foundation displacement component. This benchmark is dimensionless and verifies the internal decision criterion; it </w:t>
      </w:r>
      <w:proofErr w:type="gramStart"/>
      <w:r>
        <w:t>does not by itself validate</w:t>
      </w:r>
      <w:proofErr w:type="gramEnd"/>
      <w:r>
        <w:t xml:space="preserve"> nonlinear soil-foundation-structure </w:t>
      </w:r>
      <w:proofErr w:type="spellStart"/>
      <w:r>
        <w:t>behavior</w:t>
      </w:r>
      <w:proofErr w:type="spellEnd"/>
      <w:r>
        <w:t>.</w:t>
      </w:r>
    </w:p>
    <w:p w:rsidR="00AF2D23" w:rsidRDefault="00AF2D23">
      <w:pPr>
        <w:jc w:val="both"/>
      </w:pPr>
      <w:r>
        <w:t xml:space="preserve">Figure </w:t>
      </w:r>
      <w:proofErr w:type="gramStart"/>
      <w:r>
        <w:t>2</w:t>
      </w:r>
      <w:proofErr w:type="gramEnd"/>
      <w:r>
        <w:t xml:space="preserve"> shows the resulting SSI Demand-Polarity Map used to separate force-side and displacement-side screening outcomes.</w:t>
      </w:r>
    </w:p>
    <w:p w:rsidR="00B530E8" w:rsidRPr="00AF2D23" w:rsidRDefault="00E6320B">
      <w:pPr>
        <w:keepNext/>
        <w:jc w:val="center"/>
        <w:rPr>
          <w:sz w:val="20"/>
        </w:rPr>
      </w:pPr>
      <w:r>
        <w:t xml:space="preserve">Figure 2. Seismic SSI Demand-Polarity Map. For the unmodified case χ = </w:t>
      </w:r>
      <w:proofErr w:type="gramStart"/>
      <w:r>
        <w:t>1</w:t>
      </w:r>
      <w:proofErr w:type="gramEnd"/>
      <w:r>
        <w:t xml:space="preserve">, the mixed force-beneficial/displacement-detrimental regime occupies the secant-slope window −2 &lt; nₛ &lt; 0, between the </w:t>
      </w:r>
      <w:r>
        <w:lastRenderedPageBreak/>
        <w:t xml:space="preserve">constant-displacement boundary nₛ = −2 and the constant-force boundary nₛ = 0. Overlaid markers show experimental proxy classes from </w:t>
      </w:r>
      <w:proofErr w:type="spellStart"/>
      <w:r>
        <w:t>FoRDy</w:t>
      </w:r>
      <w:proofErr w:type="spellEnd"/>
      <w:r>
        <w:t xml:space="preserve"> and </w:t>
      </w:r>
      <w:proofErr w:type="spellStart"/>
      <w:r>
        <w:t>FoRCy</w:t>
      </w:r>
      <w:proofErr w:type="spellEnd"/>
      <w:r>
        <w:t>.</w:t>
      </w:r>
    </w:p>
    <w:p w:rsidR="00B530E8" w:rsidRPr="00AF2D23" w:rsidRDefault="00E6320B">
      <w:pPr>
        <w:keepNext/>
        <w:jc w:val="center"/>
        <w:rPr>
          <w:sz w:val="20"/>
        </w:rPr>
      </w:pPr>
      <w:r>
        <w:rPr>
          <w:noProof/>
          <w:lang w:val="es-PA" w:eastAsia="es-PA"/>
        </w:rPr>
        <w:drawing>
          <wp:inline distT="0" distB="0" distL="0" distR="0">
            <wp:extent cx="5760720" cy="38657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60720" cy="3865746"/>
                    </a:xfrm>
                    <a:prstGeom prst="rect">
                      <a:avLst/>
                    </a:prstGeom>
                  </pic:spPr>
                </pic:pic>
              </a:graphicData>
            </a:graphic>
          </wp:inline>
        </w:drawing>
      </w:r>
    </w:p>
    <w:p w:rsidR="00E62C7D" w:rsidRPr="001625B9" w:rsidRDefault="00E62C7D" w:rsidP="001625B9">
      <w:pPr>
        <w:spacing w:after="120"/>
        <w:jc w:val="both"/>
      </w:pPr>
      <w:r>
        <w:t xml:space="preserve">Table 7 summarizes the benchmark. The key result is that force-demand improvement is common, but total-displacement improvement is much less common. For zero damping gain, 68.0% of the grid reduced force demand, whereas only 23.6% reduced total displacement. Across all damping levels, approximately 44-45% of all cases </w:t>
      </w:r>
      <w:proofErr w:type="gramStart"/>
      <w:r>
        <w:t>were mixed</w:t>
      </w:r>
      <w:proofErr w:type="gramEnd"/>
      <w:r>
        <w:t xml:space="preserve">: base shear improved while total displacement still deteriorated. This supports the central claim that flexible foundations </w:t>
      </w:r>
      <w:proofErr w:type="gramStart"/>
      <w:r>
        <w:t>cannot be judged</w:t>
      </w:r>
      <w:proofErr w:type="gramEnd"/>
      <w:r>
        <w:t xml:space="preserve"> beneficial from force reduction alone.</w:t>
      </w:r>
    </w:p>
    <w:p w:rsidR="005F2B6C" w:rsidRPr="00AF2D23" w:rsidRDefault="002066B3" w:rsidP="001625B9">
      <w:pPr>
        <w:keepNext/>
        <w:spacing w:before="80" w:after="120"/>
        <w:jc w:val="center"/>
        <w:rPr>
          <w:sz w:val="20"/>
        </w:rPr>
      </w:pPr>
      <w:r w:rsidRPr="00AF2D23">
        <w:t>Table 7. Dimensionless benchmark summary by damping-gain level.</w:t>
      </w:r>
    </w:p>
    <w:tbl>
      <w:tblPr>
        <w:tblStyle w:val="PlainTable2"/>
        <w:tblW w:w="5000" w:type="pct"/>
        <w:jc w:val="center"/>
        <w:tblLook w:val="0420" w:firstRow="1" w:lastRow="0" w:firstColumn="0" w:lastColumn="0" w:noHBand="0" w:noVBand="1"/>
      </w:tblPr>
      <w:tblGrid>
        <w:gridCol w:w="1436"/>
        <w:gridCol w:w="1217"/>
        <w:gridCol w:w="1969"/>
        <w:gridCol w:w="3100"/>
        <w:gridCol w:w="1638"/>
      </w:tblGrid>
      <w:tr w:rsidR="002066B3" w:rsidRPr="00EC2BC6" w:rsidTr="00EC2BC6">
        <w:trPr>
          <w:cnfStyle w:val="100000000000" w:firstRow="1" w:lastRow="0" w:firstColumn="0" w:lastColumn="0" w:oddVBand="0" w:evenVBand="0" w:oddHBand="0" w:evenHBand="0" w:firstRowFirstColumn="0" w:firstRowLastColumn="0" w:lastRowFirstColumn="0" w:lastRowLastColumn="0"/>
          <w:tblHeader/>
          <w:jc w:val="center"/>
        </w:trPr>
        <w:tc>
          <w:tcPr>
            <w:tcW w:w="767" w:type="pct"/>
            <w:vAlign w:val="center"/>
          </w:tcPr>
          <w:p w:rsidR="00E62C7D" w:rsidRPr="00EC2BC6" w:rsidRDefault="00E62C7D" w:rsidP="002A1247">
            <w:pPr>
              <w:rPr>
                <w:rFonts w:eastAsiaTheme="minorHAnsi"/>
                <w:sz w:val="20"/>
              </w:rPr>
            </w:pPr>
            <w:r w:rsidRPr="00EC2BC6">
              <w:rPr>
                <w:rFonts w:eastAsiaTheme="minorHAnsi"/>
                <w:sz w:val="20"/>
              </w:rPr>
              <w:t>Damping gain</w:t>
            </w:r>
          </w:p>
        </w:tc>
        <w:tc>
          <w:tcPr>
            <w:tcW w:w="650" w:type="pct"/>
            <w:vAlign w:val="center"/>
          </w:tcPr>
          <w:p w:rsidR="00E62C7D" w:rsidRPr="00EC2BC6" w:rsidRDefault="00E62C7D" w:rsidP="002A1247">
            <w:pPr>
              <w:rPr>
                <w:rFonts w:eastAsiaTheme="minorHAnsi"/>
                <w:sz w:val="20"/>
              </w:rPr>
            </w:pPr>
            <w:r w:rsidRPr="00EC2BC6">
              <w:rPr>
                <w:rFonts w:eastAsiaTheme="minorHAnsi"/>
                <w:sz w:val="20"/>
              </w:rPr>
              <w:t>Grid points</w:t>
            </w:r>
          </w:p>
        </w:tc>
        <w:tc>
          <w:tcPr>
            <w:tcW w:w="1052" w:type="pct"/>
            <w:vAlign w:val="center"/>
          </w:tcPr>
          <w:p w:rsidR="00E62C7D" w:rsidRPr="00EC2BC6" w:rsidRDefault="00E62C7D" w:rsidP="002A1247">
            <w:pPr>
              <w:rPr>
                <w:rFonts w:eastAsiaTheme="minorHAnsi"/>
                <w:sz w:val="20"/>
              </w:rPr>
            </w:pPr>
            <w:r w:rsidRPr="00EC2BC6">
              <w:rPr>
                <w:rFonts w:eastAsiaTheme="minorHAnsi"/>
                <w:sz w:val="20"/>
              </w:rPr>
              <w:t>Force beneficial (%)</w:t>
            </w:r>
          </w:p>
        </w:tc>
        <w:tc>
          <w:tcPr>
            <w:tcW w:w="1656" w:type="pct"/>
            <w:vAlign w:val="center"/>
          </w:tcPr>
          <w:p w:rsidR="00E62C7D" w:rsidRPr="00EC2BC6" w:rsidRDefault="00E62C7D" w:rsidP="002A1247">
            <w:pPr>
              <w:rPr>
                <w:rFonts w:eastAsiaTheme="minorHAnsi"/>
                <w:sz w:val="20"/>
              </w:rPr>
            </w:pPr>
            <w:r w:rsidRPr="00EC2BC6">
              <w:rPr>
                <w:rFonts w:eastAsiaTheme="minorHAnsi"/>
                <w:sz w:val="20"/>
              </w:rPr>
              <w:t>Total displacement beneficial (%)</w:t>
            </w:r>
          </w:p>
        </w:tc>
        <w:tc>
          <w:tcPr>
            <w:tcW w:w="875" w:type="pct"/>
            <w:vAlign w:val="center"/>
          </w:tcPr>
          <w:p w:rsidR="00E62C7D" w:rsidRPr="00EC2BC6" w:rsidRDefault="00E62C7D" w:rsidP="002A1247">
            <w:pPr>
              <w:rPr>
                <w:rFonts w:eastAsiaTheme="minorHAnsi"/>
                <w:sz w:val="20"/>
              </w:rPr>
            </w:pPr>
            <w:r w:rsidRPr="00EC2BC6">
              <w:rPr>
                <w:rFonts w:eastAsiaTheme="minorHAnsi"/>
                <w:sz w:val="20"/>
              </w:rPr>
              <w:t>Mixed cases (%)</w:t>
            </w:r>
          </w:p>
        </w:tc>
      </w:tr>
      <w:tr w:rsidR="002066B3"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767" w:type="pct"/>
            <w:vAlign w:val="center"/>
          </w:tcPr>
          <w:p w:rsidR="00E62C7D" w:rsidRPr="00EC2BC6" w:rsidRDefault="00E62C7D" w:rsidP="002A1247">
            <w:pPr>
              <w:rPr>
                <w:rFonts w:eastAsiaTheme="minorHAnsi"/>
                <w:sz w:val="20"/>
              </w:rPr>
            </w:pPr>
            <w:r w:rsidRPr="00EC2BC6">
              <w:rPr>
                <w:rFonts w:eastAsiaTheme="minorHAnsi"/>
                <w:sz w:val="20"/>
              </w:rPr>
              <w:t>0.00</w:t>
            </w:r>
          </w:p>
        </w:tc>
        <w:tc>
          <w:tcPr>
            <w:tcW w:w="650" w:type="pct"/>
            <w:vAlign w:val="center"/>
          </w:tcPr>
          <w:p w:rsidR="00E62C7D" w:rsidRPr="00EC2BC6" w:rsidRDefault="00E62C7D" w:rsidP="002A1247">
            <w:pPr>
              <w:rPr>
                <w:rFonts w:eastAsiaTheme="minorHAnsi"/>
                <w:sz w:val="20"/>
              </w:rPr>
            </w:pPr>
            <w:r w:rsidRPr="00EC2BC6">
              <w:rPr>
                <w:rFonts w:eastAsiaTheme="minorHAnsi"/>
                <w:sz w:val="20"/>
              </w:rPr>
              <w:t>441</w:t>
            </w:r>
          </w:p>
        </w:tc>
        <w:tc>
          <w:tcPr>
            <w:tcW w:w="1052" w:type="pct"/>
            <w:vAlign w:val="center"/>
          </w:tcPr>
          <w:p w:rsidR="00E62C7D" w:rsidRPr="00EC2BC6" w:rsidRDefault="00E62C7D" w:rsidP="002A1247">
            <w:pPr>
              <w:rPr>
                <w:rFonts w:eastAsiaTheme="minorHAnsi"/>
                <w:sz w:val="20"/>
              </w:rPr>
            </w:pPr>
            <w:r w:rsidRPr="00EC2BC6">
              <w:rPr>
                <w:rFonts w:eastAsiaTheme="minorHAnsi"/>
                <w:sz w:val="20"/>
              </w:rPr>
              <w:t>68.0</w:t>
            </w:r>
          </w:p>
        </w:tc>
        <w:tc>
          <w:tcPr>
            <w:tcW w:w="1656" w:type="pct"/>
            <w:vAlign w:val="center"/>
          </w:tcPr>
          <w:p w:rsidR="00E62C7D" w:rsidRPr="00EC2BC6" w:rsidRDefault="00E62C7D" w:rsidP="002A1247">
            <w:pPr>
              <w:rPr>
                <w:rFonts w:eastAsiaTheme="minorHAnsi"/>
                <w:sz w:val="20"/>
              </w:rPr>
            </w:pPr>
            <w:r w:rsidRPr="00EC2BC6">
              <w:rPr>
                <w:rFonts w:eastAsiaTheme="minorHAnsi"/>
                <w:sz w:val="20"/>
              </w:rPr>
              <w:t>23.6</w:t>
            </w:r>
          </w:p>
        </w:tc>
        <w:tc>
          <w:tcPr>
            <w:tcW w:w="875" w:type="pct"/>
            <w:vAlign w:val="center"/>
          </w:tcPr>
          <w:p w:rsidR="00E62C7D" w:rsidRPr="00EC2BC6" w:rsidRDefault="00E62C7D" w:rsidP="002A1247">
            <w:pPr>
              <w:rPr>
                <w:rFonts w:eastAsiaTheme="minorHAnsi"/>
                <w:sz w:val="20"/>
              </w:rPr>
            </w:pPr>
            <w:r w:rsidRPr="00EC2BC6">
              <w:rPr>
                <w:rFonts w:eastAsiaTheme="minorHAnsi"/>
                <w:sz w:val="20"/>
              </w:rPr>
              <w:t>44.4</w:t>
            </w:r>
          </w:p>
        </w:tc>
      </w:tr>
      <w:tr w:rsidR="00E62C7D" w:rsidRPr="00EC2BC6" w:rsidTr="00EC2BC6">
        <w:trPr>
          <w:jc w:val="center"/>
        </w:trPr>
        <w:tc>
          <w:tcPr>
            <w:tcW w:w="767" w:type="pct"/>
            <w:vAlign w:val="center"/>
          </w:tcPr>
          <w:p w:rsidR="00E62C7D" w:rsidRPr="00EC2BC6" w:rsidRDefault="00E62C7D" w:rsidP="002A1247">
            <w:pPr>
              <w:rPr>
                <w:rFonts w:eastAsiaTheme="minorHAnsi"/>
                <w:sz w:val="20"/>
              </w:rPr>
            </w:pPr>
            <w:r w:rsidRPr="00EC2BC6">
              <w:rPr>
                <w:rFonts w:eastAsiaTheme="minorHAnsi"/>
                <w:sz w:val="20"/>
              </w:rPr>
              <w:t>0.05</w:t>
            </w:r>
          </w:p>
        </w:tc>
        <w:tc>
          <w:tcPr>
            <w:tcW w:w="650" w:type="pct"/>
            <w:vAlign w:val="center"/>
          </w:tcPr>
          <w:p w:rsidR="00E62C7D" w:rsidRPr="00EC2BC6" w:rsidRDefault="00E62C7D" w:rsidP="002A1247">
            <w:pPr>
              <w:rPr>
                <w:rFonts w:eastAsiaTheme="minorHAnsi"/>
                <w:sz w:val="20"/>
              </w:rPr>
            </w:pPr>
            <w:r w:rsidRPr="00EC2BC6">
              <w:rPr>
                <w:rFonts w:eastAsiaTheme="minorHAnsi"/>
                <w:sz w:val="20"/>
              </w:rPr>
              <w:t>441</w:t>
            </w:r>
          </w:p>
        </w:tc>
        <w:tc>
          <w:tcPr>
            <w:tcW w:w="1052" w:type="pct"/>
            <w:vAlign w:val="center"/>
          </w:tcPr>
          <w:p w:rsidR="00E62C7D" w:rsidRPr="00EC2BC6" w:rsidRDefault="00E62C7D" w:rsidP="002A1247">
            <w:pPr>
              <w:rPr>
                <w:rFonts w:eastAsiaTheme="minorHAnsi"/>
                <w:sz w:val="20"/>
              </w:rPr>
            </w:pPr>
            <w:r w:rsidRPr="00EC2BC6">
              <w:rPr>
                <w:rFonts w:eastAsiaTheme="minorHAnsi"/>
                <w:sz w:val="20"/>
              </w:rPr>
              <w:t>72.6</w:t>
            </w:r>
          </w:p>
        </w:tc>
        <w:tc>
          <w:tcPr>
            <w:tcW w:w="1656" w:type="pct"/>
            <w:vAlign w:val="center"/>
          </w:tcPr>
          <w:p w:rsidR="00E62C7D" w:rsidRPr="00EC2BC6" w:rsidRDefault="00E62C7D" w:rsidP="002A1247">
            <w:pPr>
              <w:rPr>
                <w:rFonts w:eastAsiaTheme="minorHAnsi"/>
                <w:sz w:val="20"/>
              </w:rPr>
            </w:pPr>
            <w:r w:rsidRPr="00EC2BC6">
              <w:rPr>
                <w:rFonts w:eastAsiaTheme="minorHAnsi"/>
                <w:sz w:val="20"/>
              </w:rPr>
              <w:t>27.2</w:t>
            </w:r>
          </w:p>
        </w:tc>
        <w:tc>
          <w:tcPr>
            <w:tcW w:w="875" w:type="pct"/>
            <w:vAlign w:val="center"/>
          </w:tcPr>
          <w:p w:rsidR="00E62C7D" w:rsidRPr="00EC2BC6" w:rsidRDefault="00E62C7D" w:rsidP="002A1247">
            <w:pPr>
              <w:rPr>
                <w:rFonts w:eastAsiaTheme="minorHAnsi"/>
                <w:sz w:val="20"/>
              </w:rPr>
            </w:pPr>
            <w:r w:rsidRPr="00EC2BC6">
              <w:rPr>
                <w:rFonts w:eastAsiaTheme="minorHAnsi"/>
                <w:sz w:val="20"/>
              </w:rPr>
              <w:t>45.4</w:t>
            </w:r>
          </w:p>
        </w:tc>
      </w:tr>
      <w:tr w:rsidR="002066B3"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767" w:type="pct"/>
            <w:vAlign w:val="center"/>
          </w:tcPr>
          <w:p w:rsidR="00E62C7D" w:rsidRPr="00EC2BC6" w:rsidRDefault="00E62C7D" w:rsidP="002A1247">
            <w:pPr>
              <w:rPr>
                <w:rFonts w:eastAsiaTheme="minorHAnsi"/>
                <w:sz w:val="20"/>
              </w:rPr>
            </w:pPr>
            <w:r w:rsidRPr="00EC2BC6">
              <w:rPr>
                <w:rFonts w:eastAsiaTheme="minorHAnsi"/>
                <w:sz w:val="20"/>
              </w:rPr>
              <w:t>0.10</w:t>
            </w:r>
          </w:p>
        </w:tc>
        <w:tc>
          <w:tcPr>
            <w:tcW w:w="650" w:type="pct"/>
            <w:vAlign w:val="center"/>
          </w:tcPr>
          <w:p w:rsidR="00E62C7D" w:rsidRPr="00EC2BC6" w:rsidRDefault="00E62C7D" w:rsidP="002A1247">
            <w:pPr>
              <w:rPr>
                <w:rFonts w:eastAsiaTheme="minorHAnsi"/>
                <w:sz w:val="20"/>
              </w:rPr>
            </w:pPr>
            <w:r w:rsidRPr="00EC2BC6">
              <w:rPr>
                <w:rFonts w:eastAsiaTheme="minorHAnsi"/>
                <w:sz w:val="20"/>
              </w:rPr>
              <w:t>441</w:t>
            </w:r>
          </w:p>
        </w:tc>
        <w:tc>
          <w:tcPr>
            <w:tcW w:w="1052" w:type="pct"/>
            <w:vAlign w:val="center"/>
          </w:tcPr>
          <w:p w:rsidR="00E62C7D" w:rsidRPr="00EC2BC6" w:rsidRDefault="00E62C7D" w:rsidP="002A1247">
            <w:pPr>
              <w:rPr>
                <w:rFonts w:eastAsiaTheme="minorHAnsi"/>
                <w:sz w:val="20"/>
              </w:rPr>
            </w:pPr>
            <w:r w:rsidRPr="00EC2BC6">
              <w:rPr>
                <w:rFonts w:eastAsiaTheme="minorHAnsi"/>
                <w:sz w:val="20"/>
              </w:rPr>
              <w:t>72.6</w:t>
            </w:r>
          </w:p>
        </w:tc>
        <w:tc>
          <w:tcPr>
            <w:tcW w:w="1656" w:type="pct"/>
            <w:vAlign w:val="center"/>
          </w:tcPr>
          <w:p w:rsidR="00E62C7D" w:rsidRPr="00EC2BC6" w:rsidRDefault="00E62C7D" w:rsidP="002A1247">
            <w:pPr>
              <w:rPr>
                <w:rFonts w:eastAsiaTheme="minorHAnsi"/>
                <w:sz w:val="20"/>
              </w:rPr>
            </w:pPr>
            <w:r w:rsidRPr="00EC2BC6">
              <w:rPr>
                <w:rFonts w:eastAsiaTheme="minorHAnsi"/>
                <w:sz w:val="20"/>
              </w:rPr>
              <w:t>27.2</w:t>
            </w:r>
          </w:p>
        </w:tc>
        <w:tc>
          <w:tcPr>
            <w:tcW w:w="875" w:type="pct"/>
            <w:vAlign w:val="center"/>
          </w:tcPr>
          <w:p w:rsidR="00E62C7D" w:rsidRPr="00EC2BC6" w:rsidRDefault="00E62C7D" w:rsidP="002A1247">
            <w:pPr>
              <w:rPr>
                <w:rFonts w:eastAsiaTheme="minorHAnsi"/>
                <w:sz w:val="20"/>
              </w:rPr>
            </w:pPr>
            <w:r w:rsidRPr="00EC2BC6">
              <w:rPr>
                <w:rFonts w:eastAsiaTheme="minorHAnsi"/>
                <w:sz w:val="20"/>
              </w:rPr>
              <w:t>45.4</w:t>
            </w:r>
          </w:p>
        </w:tc>
      </w:tr>
      <w:tr w:rsidR="00E62C7D" w:rsidRPr="00EC2BC6" w:rsidTr="00EC2BC6">
        <w:trPr>
          <w:jc w:val="center"/>
        </w:trPr>
        <w:tc>
          <w:tcPr>
            <w:tcW w:w="767" w:type="pct"/>
            <w:vAlign w:val="center"/>
          </w:tcPr>
          <w:p w:rsidR="00E62C7D" w:rsidRPr="00EC2BC6" w:rsidRDefault="00E62C7D" w:rsidP="002A1247">
            <w:pPr>
              <w:rPr>
                <w:rFonts w:eastAsiaTheme="minorHAnsi"/>
                <w:sz w:val="20"/>
              </w:rPr>
            </w:pPr>
            <w:r w:rsidRPr="00EC2BC6">
              <w:rPr>
                <w:rFonts w:eastAsiaTheme="minorHAnsi"/>
                <w:sz w:val="20"/>
              </w:rPr>
              <w:lastRenderedPageBreak/>
              <w:t>0.15</w:t>
            </w:r>
          </w:p>
        </w:tc>
        <w:tc>
          <w:tcPr>
            <w:tcW w:w="650" w:type="pct"/>
            <w:vAlign w:val="center"/>
          </w:tcPr>
          <w:p w:rsidR="00E62C7D" w:rsidRPr="00EC2BC6" w:rsidRDefault="00E62C7D" w:rsidP="002A1247">
            <w:pPr>
              <w:rPr>
                <w:rFonts w:eastAsiaTheme="minorHAnsi"/>
                <w:sz w:val="20"/>
              </w:rPr>
            </w:pPr>
            <w:r w:rsidRPr="00EC2BC6">
              <w:rPr>
                <w:rFonts w:eastAsiaTheme="minorHAnsi"/>
                <w:sz w:val="20"/>
              </w:rPr>
              <w:t>441</w:t>
            </w:r>
          </w:p>
        </w:tc>
        <w:tc>
          <w:tcPr>
            <w:tcW w:w="1052" w:type="pct"/>
            <w:vAlign w:val="center"/>
          </w:tcPr>
          <w:p w:rsidR="00E62C7D" w:rsidRPr="00EC2BC6" w:rsidRDefault="00E62C7D" w:rsidP="002A1247">
            <w:pPr>
              <w:rPr>
                <w:rFonts w:eastAsiaTheme="minorHAnsi"/>
                <w:sz w:val="20"/>
              </w:rPr>
            </w:pPr>
            <w:r w:rsidRPr="00EC2BC6">
              <w:rPr>
                <w:rFonts w:eastAsiaTheme="minorHAnsi"/>
                <w:sz w:val="20"/>
              </w:rPr>
              <w:t>76.2</w:t>
            </w:r>
          </w:p>
        </w:tc>
        <w:tc>
          <w:tcPr>
            <w:tcW w:w="1656" w:type="pct"/>
            <w:vAlign w:val="center"/>
          </w:tcPr>
          <w:p w:rsidR="00E62C7D" w:rsidRPr="00EC2BC6" w:rsidRDefault="00E62C7D" w:rsidP="002A1247">
            <w:pPr>
              <w:rPr>
                <w:rFonts w:eastAsiaTheme="minorHAnsi"/>
                <w:sz w:val="20"/>
              </w:rPr>
            </w:pPr>
            <w:r w:rsidRPr="00EC2BC6">
              <w:rPr>
                <w:rFonts w:eastAsiaTheme="minorHAnsi"/>
                <w:sz w:val="20"/>
              </w:rPr>
              <w:t>30.8</w:t>
            </w:r>
          </w:p>
        </w:tc>
        <w:tc>
          <w:tcPr>
            <w:tcW w:w="875" w:type="pct"/>
            <w:vAlign w:val="center"/>
          </w:tcPr>
          <w:p w:rsidR="00E62C7D" w:rsidRPr="00EC2BC6" w:rsidRDefault="00E62C7D" w:rsidP="002A1247">
            <w:pPr>
              <w:rPr>
                <w:rFonts w:eastAsiaTheme="minorHAnsi"/>
                <w:sz w:val="20"/>
              </w:rPr>
            </w:pPr>
            <w:r w:rsidRPr="00EC2BC6">
              <w:rPr>
                <w:rFonts w:eastAsiaTheme="minorHAnsi"/>
                <w:sz w:val="20"/>
              </w:rPr>
              <w:t>45.4</w:t>
            </w:r>
          </w:p>
        </w:tc>
      </w:tr>
    </w:tbl>
    <w:p w:rsidR="00E62C7D" w:rsidRPr="001625B9" w:rsidRDefault="00E62C7D" w:rsidP="001625B9">
      <w:pPr>
        <w:spacing w:after="120"/>
      </w:pPr>
    </w:p>
    <w:p w:rsidR="00E62C7D" w:rsidRPr="001625B9" w:rsidRDefault="00E62C7D" w:rsidP="001625B9">
      <w:pPr>
        <w:spacing w:after="120"/>
        <w:jc w:val="both"/>
      </w:pPr>
      <w:r>
        <w:t>Figure 2 gives the closed-form SSI Demand-Polarity Map, which is the central novelty figure. Figures 3 and 4 provide the reproducible response maps for the no-added-damping case before the direct consistency-check subsection. Figure 3 shows the seismic force-demand ratio, whereas Figure 4 shows the total-displacement ratio.</w:t>
      </w:r>
    </w:p>
    <w:p w:rsidR="005F2B6C" w:rsidRPr="00AF2D23" w:rsidRDefault="002066B3" w:rsidP="001625B9">
      <w:pPr>
        <w:keepNext/>
        <w:keepLines/>
        <w:spacing w:before="80" w:after="120"/>
        <w:jc w:val="center"/>
        <w:rPr>
          <w:sz w:val="20"/>
        </w:rPr>
      </w:pPr>
      <w:r w:rsidRPr="00AF2D23">
        <w:t>Figure 3. Dimensionless seismic force-demand ratio for zero damping gain.</w:t>
      </w:r>
    </w:p>
    <w:p w:rsidR="005F2B6C" w:rsidRPr="001625B9" w:rsidRDefault="002066B3" w:rsidP="001625B9">
      <w:pPr>
        <w:keepLines/>
        <w:spacing w:after="120"/>
        <w:jc w:val="center"/>
      </w:pPr>
      <w:r w:rsidRPr="001625B9">
        <w:rPr>
          <w:noProof/>
          <w:lang w:val="es-PA" w:eastAsia="es-PA"/>
        </w:rPr>
        <w:drawing>
          <wp:inline distT="0" distB="0" distL="0" distR="0">
            <wp:extent cx="5303520" cy="37259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verified_force_ratio.png"/>
                    <pic:cNvPicPr/>
                  </pic:nvPicPr>
                  <pic:blipFill>
                    <a:blip r:embed="rId9"/>
                    <a:stretch>
                      <a:fillRect/>
                    </a:stretch>
                  </pic:blipFill>
                  <pic:spPr>
                    <a:xfrm>
                      <a:off x="0" y="0"/>
                      <a:ext cx="5303520" cy="3725907"/>
                    </a:xfrm>
                    <a:prstGeom prst="rect">
                      <a:avLst/>
                    </a:prstGeom>
                  </pic:spPr>
                </pic:pic>
              </a:graphicData>
            </a:graphic>
          </wp:inline>
        </w:drawing>
      </w:r>
    </w:p>
    <w:p w:rsidR="005F2B6C" w:rsidRPr="00AF2D23" w:rsidRDefault="002066B3" w:rsidP="001625B9">
      <w:pPr>
        <w:keepNext/>
        <w:keepLines/>
        <w:pageBreakBefore/>
        <w:spacing w:before="80" w:after="120"/>
        <w:jc w:val="center"/>
        <w:rPr>
          <w:sz w:val="20"/>
        </w:rPr>
      </w:pPr>
      <w:r w:rsidRPr="00AF2D23">
        <w:lastRenderedPageBreak/>
        <w:t>Figure 4. Dimensionless total-displacement ratio for zero damping gain.</w:t>
      </w:r>
    </w:p>
    <w:p w:rsidR="005F2B6C" w:rsidRPr="001625B9" w:rsidRDefault="002066B3" w:rsidP="001625B9">
      <w:pPr>
        <w:keepLines/>
        <w:spacing w:after="120"/>
        <w:jc w:val="center"/>
      </w:pPr>
      <w:r w:rsidRPr="001625B9">
        <w:rPr>
          <w:noProof/>
          <w:lang w:val="es-PA" w:eastAsia="es-PA"/>
        </w:rPr>
        <w:drawing>
          <wp:inline distT="0" distB="0" distL="0" distR="0">
            <wp:extent cx="5303520" cy="37054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verified_displacement_ratio.png"/>
                    <pic:cNvPicPr/>
                  </pic:nvPicPr>
                  <pic:blipFill>
                    <a:blip r:embed="rId10"/>
                    <a:stretch>
                      <a:fillRect/>
                    </a:stretch>
                  </pic:blipFill>
                  <pic:spPr>
                    <a:xfrm>
                      <a:off x="0" y="0"/>
                      <a:ext cx="5303520" cy="3705406"/>
                    </a:xfrm>
                    <a:prstGeom prst="rect">
                      <a:avLst/>
                    </a:prstGeom>
                  </pic:spPr>
                </pic:pic>
              </a:graphicData>
            </a:graphic>
          </wp:inline>
        </w:drawing>
      </w:r>
    </w:p>
    <w:p w:rsidR="00881253" w:rsidRDefault="006D48C7" w:rsidP="002A1247">
      <w:pPr>
        <w:pStyle w:val="Heading2"/>
      </w:pPr>
      <w:r>
        <w:t>7.2 Direct spectral consistency check</w:t>
      </w:r>
    </w:p>
    <w:p w:rsidR="00884B43" w:rsidRPr="001625B9" w:rsidRDefault="00D52E97" w:rsidP="001625B9">
      <w:pPr>
        <w:spacing w:before="120" w:after="120"/>
        <w:jc w:val="both"/>
      </w:pPr>
      <w:r>
        <w:t xml:space="preserve">A second phase tested the criterion against direct spectral ratios rather than only the algebraic slope grid. The set included one normalized code-compatible spectrum and three public El Centro components from </w:t>
      </w:r>
      <w:proofErr w:type="spellStart"/>
      <w:r>
        <w:t>Vibrationdata</w:t>
      </w:r>
      <w:proofErr w:type="spellEnd"/>
      <w:r>
        <w:t xml:space="preserve">. The analysis varied fixed-base period, total flexibility, </w:t>
      </w:r>
      <w:proofErr w:type="gramStart"/>
      <w:r>
        <w:t>rocking</w:t>
      </w:r>
      <w:proofErr w:type="gramEnd"/>
      <w:r>
        <w:t xml:space="preserve"> partition, kinematic filtering and damping gain, producing 7,680 rows. Because the rocking partition changes the split between translation and rocking but does not change force ratio or total-displacement ratio, these rows correspond to 1,536 unique force/displacement classification cases. Force-class agreement with the local-slope approximation was 82.16%. The mean absolute force-ratio error was 0.174, and mixed </w:t>
      </w:r>
      <w:proofErr w:type="spellStart"/>
      <w:r>
        <w:t>behavior</w:t>
      </w:r>
      <w:proofErr w:type="spellEnd"/>
      <w:r>
        <w:t xml:space="preserve"> remained dominant: force reduction often coexisted with total-displacement increase. The El Centro EW and NS components are explicitly weaker cases and are reported by source rather than hidden in the aggregate result.</w:t>
      </w:r>
    </w:p>
    <w:p w:rsidR="007F70F4" w:rsidRPr="001625B9" w:rsidRDefault="00DC0D23" w:rsidP="001625B9">
      <w:pPr>
        <w:spacing w:after="120"/>
        <w:jc w:val="both"/>
      </w:pPr>
      <w:r>
        <w:lastRenderedPageBreak/>
        <w:t xml:space="preserve">Table 8 reports the direct spectral consistency-check metrics by source. These values keep the weaker El Centro EW/NS components visible rather than hiding them </w:t>
      </w:r>
      <w:proofErr w:type="gramStart"/>
      <w:r>
        <w:t>in the aggregate</w:t>
      </w:r>
      <w:proofErr w:type="gramEnd"/>
      <w:r>
        <w:t xml:space="preserve"> result.</w:t>
      </w:r>
    </w:p>
    <w:p w:rsidR="00221290" w:rsidRPr="00AF2D23" w:rsidRDefault="007F669B">
      <w:pPr>
        <w:keepNext/>
        <w:jc w:val="center"/>
        <w:rPr>
          <w:sz w:val="20"/>
        </w:rPr>
      </w:pPr>
      <w:r w:rsidRPr="00AF2D23">
        <w:t>Table 8. Direct spectral consistency-check metrics by source.</w:t>
      </w:r>
    </w:p>
    <w:tbl>
      <w:tblPr>
        <w:tblStyle w:val="PlainTable2"/>
        <w:tblW w:w="5000" w:type="pct"/>
        <w:jc w:val="center"/>
        <w:tblLook w:val="0420" w:firstRow="1" w:lastRow="0" w:firstColumn="0" w:lastColumn="0" w:noHBand="0" w:noVBand="1"/>
      </w:tblPr>
      <w:tblGrid>
        <w:gridCol w:w="2180"/>
        <w:gridCol w:w="1210"/>
        <w:gridCol w:w="1533"/>
        <w:gridCol w:w="1533"/>
        <w:gridCol w:w="1452"/>
        <w:gridCol w:w="1452"/>
      </w:tblGrid>
      <w:tr w:rsidR="002066B3" w:rsidRPr="00EC2BC6" w:rsidTr="00EC2BC6">
        <w:trPr>
          <w:cnfStyle w:val="100000000000" w:firstRow="1" w:lastRow="0" w:firstColumn="0" w:lastColumn="0" w:oddVBand="0" w:evenVBand="0" w:oddHBand="0" w:evenHBand="0" w:firstRowFirstColumn="0" w:firstRowLastColumn="0" w:lastRowFirstColumn="0" w:lastRowLastColumn="0"/>
          <w:tblHeader/>
          <w:jc w:val="center"/>
        </w:trPr>
        <w:tc>
          <w:tcPr>
            <w:tcW w:w="1944" w:type="dxa"/>
            <w:vAlign w:val="center"/>
          </w:tcPr>
          <w:p w:rsidR="00881253" w:rsidRPr="00EC2BC6" w:rsidRDefault="006D48C7">
            <w:pPr>
              <w:rPr>
                <w:sz w:val="20"/>
              </w:rPr>
            </w:pPr>
            <w:r w:rsidRPr="00EC2BC6">
              <w:rPr>
                <w:sz w:val="20"/>
              </w:rPr>
              <w:t>Source</w:t>
            </w:r>
          </w:p>
        </w:tc>
        <w:tc>
          <w:tcPr>
            <w:tcW w:w="1080" w:type="dxa"/>
            <w:vAlign w:val="center"/>
          </w:tcPr>
          <w:p w:rsidR="00881253" w:rsidRPr="00EC2BC6" w:rsidRDefault="006D48C7">
            <w:pPr>
              <w:rPr>
                <w:sz w:val="20"/>
              </w:rPr>
            </w:pPr>
            <w:r w:rsidRPr="00EC2BC6">
              <w:rPr>
                <w:sz w:val="20"/>
              </w:rPr>
              <w:t>Rows</w:t>
            </w:r>
          </w:p>
        </w:tc>
        <w:tc>
          <w:tcPr>
            <w:tcW w:w="1368" w:type="dxa"/>
            <w:vAlign w:val="center"/>
          </w:tcPr>
          <w:p w:rsidR="00881253" w:rsidRPr="00EC2BC6" w:rsidRDefault="006D48C7">
            <w:pPr>
              <w:rPr>
                <w:sz w:val="20"/>
              </w:rPr>
            </w:pPr>
            <w:r w:rsidRPr="00EC2BC6">
              <w:rPr>
                <w:sz w:val="20"/>
              </w:rPr>
              <w:t>Unique cases</w:t>
            </w:r>
          </w:p>
        </w:tc>
        <w:tc>
          <w:tcPr>
            <w:tcW w:w="1368" w:type="dxa"/>
            <w:vAlign w:val="center"/>
          </w:tcPr>
          <w:p w:rsidR="00881253" w:rsidRPr="00EC2BC6" w:rsidRDefault="006D48C7">
            <w:pPr>
              <w:rPr>
                <w:sz w:val="20"/>
              </w:rPr>
            </w:pPr>
            <w:r w:rsidRPr="00EC2BC6">
              <w:rPr>
                <w:sz w:val="20"/>
              </w:rPr>
              <w:t>Accuracy (%)</w:t>
            </w:r>
          </w:p>
        </w:tc>
        <w:tc>
          <w:tcPr>
            <w:tcW w:w="1296" w:type="dxa"/>
            <w:vAlign w:val="center"/>
          </w:tcPr>
          <w:p w:rsidR="00881253" w:rsidRPr="00EC2BC6" w:rsidRDefault="006D48C7">
            <w:pPr>
              <w:rPr>
                <w:sz w:val="20"/>
              </w:rPr>
            </w:pPr>
            <w:r w:rsidRPr="00EC2BC6">
              <w:rPr>
                <w:sz w:val="20"/>
              </w:rPr>
              <w:t>Mean error</w:t>
            </w:r>
          </w:p>
        </w:tc>
        <w:tc>
          <w:tcPr>
            <w:tcW w:w="1296" w:type="dxa"/>
            <w:vAlign w:val="center"/>
          </w:tcPr>
          <w:p w:rsidR="00881253" w:rsidRPr="00EC2BC6" w:rsidRDefault="006D48C7">
            <w:pPr>
              <w:rPr>
                <w:sz w:val="20"/>
              </w:rPr>
            </w:pPr>
            <w:r w:rsidRPr="00EC2BC6">
              <w:rPr>
                <w:sz w:val="20"/>
              </w:rPr>
              <w:t>Max error</w:t>
            </w:r>
          </w:p>
        </w:tc>
      </w:tr>
      <w:tr w:rsidR="00881253"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1944" w:type="dxa"/>
            <w:vAlign w:val="center"/>
          </w:tcPr>
          <w:p w:rsidR="00881253" w:rsidRPr="00EC2BC6" w:rsidRDefault="006D48C7">
            <w:pPr>
              <w:rPr>
                <w:sz w:val="20"/>
              </w:rPr>
            </w:pPr>
            <w:r w:rsidRPr="00EC2BC6">
              <w:rPr>
                <w:sz w:val="20"/>
              </w:rPr>
              <w:t>Code</w:t>
            </w:r>
          </w:p>
        </w:tc>
        <w:tc>
          <w:tcPr>
            <w:tcW w:w="1080" w:type="dxa"/>
            <w:vAlign w:val="center"/>
          </w:tcPr>
          <w:p w:rsidR="00881253" w:rsidRPr="00EC2BC6" w:rsidRDefault="006D48C7">
            <w:pPr>
              <w:rPr>
                <w:sz w:val="20"/>
              </w:rPr>
            </w:pPr>
            <w:r w:rsidRPr="00EC2BC6">
              <w:rPr>
                <w:sz w:val="20"/>
              </w:rPr>
              <w:t>1,920</w:t>
            </w:r>
          </w:p>
        </w:tc>
        <w:tc>
          <w:tcPr>
            <w:tcW w:w="1368" w:type="dxa"/>
            <w:vAlign w:val="center"/>
          </w:tcPr>
          <w:p w:rsidR="00881253" w:rsidRPr="00EC2BC6" w:rsidRDefault="006D48C7">
            <w:pPr>
              <w:rPr>
                <w:sz w:val="20"/>
              </w:rPr>
            </w:pPr>
            <w:r w:rsidRPr="00EC2BC6">
              <w:rPr>
                <w:sz w:val="20"/>
              </w:rPr>
              <w:t>384</w:t>
            </w:r>
          </w:p>
        </w:tc>
        <w:tc>
          <w:tcPr>
            <w:tcW w:w="1368" w:type="dxa"/>
            <w:vAlign w:val="center"/>
          </w:tcPr>
          <w:p w:rsidR="00881253" w:rsidRPr="00EC2BC6" w:rsidRDefault="006D48C7">
            <w:pPr>
              <w:rPr>
                <w:sz w:val="20"/>
              </w:rPr>
            </w:pPr>
            <w:r w:rsidRPr="00EC2BC6">
              <w:rPr>
                <w:sz w:val="20"/>
              </w:rPr>
              <w:t>97.40</w:t>
            </w:r>
          </w:p>
        </w:tc>
        <w:tc>
          <w:tcPr>
            <w:tcW w:w="1296" w:type="dxa"/>
            <w:vAlign w:val="center"/>
          </w:tcPr>
          <w:p w:rsidR="00881253" w:rsidRPr="00EC2BC6" w:rsidRDefault="006D48C7">
            <w:pPr>
              <w:rPr>
                <w:sz w:val="20"/>
              </w:rPr>
            </w:pPr>
            <w:r w:rsidRPr="00EC2BC6">
              <w:rPr>
                <w:sz w:val="20"/>
              </w:rPr>
              <w:t>0.055</w:t>
            </w:r>
          </w:p>
        </w:tc>
        <w:tc>
          <w:tcPr>
            <w:tcW w:w="1296" w:type="dxa"/>
            <w:vAlign w:val="center"/>
          </w:tcPr>
          <w:p w:rsidR="00881253" w:rsidRPr="00EC2BC6" w:rsidRDefault="006D48C7">
            <w:pPr>
              <w:rPr>
                <w:sz w:val="20"/>
              </w:rPr>
            </w:pPr>
            <w:r w:rsidRPr="00EC2BC6">
              <w:rPr>
                <w:sz w:val="20"/>
              </w:rPr>
              <w:t>0.341</w:t>
            </w:r>
          </w:p>
        </w:tc>
      </w:tr>
      <w:tr w:rsidR="00881253" w:rsidRPr="00EC2BC6" w:rsidTr="00EC2BC6">
        <w:trPr>
          <w:jc w:val="center"/>
        </w:trPr>
        <w:tc>
          <w:tcPr>
            <w:tcW w:w="1944" w:type="dxa"/>
            <w:vAlign w:val="center"/>
          </w:tcPr>
          <w:p w:rsidR="00881253" w:rsidRPr="00EC2BC6" w:rsidRDefault="006D48C7">
            <w:pPr>
              <w:rPr>
                <w:sz w:val="20"/>
              </w:rPr>
            </w:pPr>
            <w:r w:rsidRPr="00EC2BC6">
              <w:rPr>
                <w:sz w:val="20"/>
              </w:rPr>
              <w:t>El Centro</w:t>
            </w:r>
          </w:p>
        </w:tc>
        <w:tc>
          <w:tcPr>
            <w:tcW w:w="1080" w:type="dxa"/>
            <w:vAlign w:val="center"/>
          </w:tcPr>
          <w:p w:rsidR="00881253" w:rsidRPr="00EC2BC6" w:rsidRDefault="006D48C7">
            <w:pPr>
              <w:rPr>
                <w:sz w:val="20"/>
              </w:rPr>
            </w:pPr>
            <w:r w:rsidRPr="00EC2BC6">
              <w:rPr>
                <w:sz w:val="20"/>
              </w:rPr>
              <w:t>1,920</w:t>
            </w:r>
          </w:p>
        </w:tc>
        <w:tc>
          <w:tcPr>
            <w:tcW w:w="1368" w:type="dxa"/>
            <w:vAlign w:val="center"/>
          </w:tcPr>
          <w:p w:rsidR="00881253" w:rsidRPr="00EC2BC6" w:rsidRDefault="006D48C7">
            <w:pPr>
              <w:rPr>
                <w:sz w:val="20"/>
              </w:rPr>
            </w:pPr>
            <w:r w:rsidRPr="00EC2BC6">
              <w:rPr>
                <w:sz w:val="20"/>
              </w:rPr>
              <w:t>384</w:t>
            </w:r>
          </w:p>
        </w:tc>
        <w:tc>
          <w:tcPr>
            <w:tcW w:w="1368" w:type="dxa"/>
            <w:vAlign w:val="center"/>
          </w:tcPr>
          <w:p w:rsidR="00881253" w:rsidRPr="00EC2BC6" w:rsidRDefault="006D48C7">
            <w:pPr>
              <w:rPr>
                <w:sz w:val="20"/>
              </w:rPr>
            </w:pPr>
            <w:r w:rsidRPr="00EC2BC6">
              <w:rPr>
                <w:sz w:val="20"/>
              </w:rPr>
              <w:t>91.41</w:t>
            </w:r>
          </w:p>
        </w:tc>
        <w:tc>
          <w:tcPr>
            <w:tcW w:w="1296" w:type="dxa"/>
            <w:vAlign w:val="center"/>
          </w:tcPr>
          <w:p w:rsidR="00881253" w:rsidRPr="00EC2BC6" w:rsidRDefault="006D48C7">
            <w:pPr>
              <w:rPr>
                <w:sz w:val="20"/>
              </w:rPr>
            </w:pPr>
            <w:r w:rsidRPr="00EC2BC6">
              <w:rPr>
                <w:sz w:val="20"/>
              </w:rPr>
              <w:t>0.214</w:t>
            </w:r>
          </w:p>
        </w:tc>
        <w:tc>
          <w:tcPr>
            <w:tcW w:w="1296" w:type="dxa"/>
            <w:vAlign w:val="center"/>
          </w:tcPr>
          <w:p w:rsidR="00881253" w:rsidRPr="00EC2BC6" w:rsidRDefault="006D48C7">
            <w:pPr>
              <w:rPr>
                <w:sz w:val="20"/>
              </w:rPr>
            </w:pPr>
            <w:r w:rsidRPr="00EC2BC6">
              <w:rPr>
                <w:sz w:val="20"/>
              </w:rPr>
              <w:t>0.805</w:t>
            </w:r>
          </w:p>
        </w:tc>
      </w:tr>
      <w:tr w:rsidR="00881253"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1944" w:type="dxa"/>
            <w:vAlign w:val="center"/>
          </w:tcPr>
          <w:p w:rsidR="00881253" w:rsidRPr="00EC2BC6" w:rsidRDefault="006D48C7">
            <w:pPr>
              <w:rPr>
                <w:sz w:val="20"/>
              </w:rPr>
            </w:pPr>
            <w:r w:rsidRPr="00EC2BC6">
              <w:rPr>
                <w:sz w:val="20"/>
              </w:rPr>
              <w:t>El Centro EW</w:t>
            </w:r>
          </w:p>
        </w:tc>
        <w:tc>
          <w:tcPr>
            <w:tcW w:w="1080" w:type="dxa"/>
            <w:vAlign w:val="center"/>
          </w:tcPr>
          <w:p w:rsidR="00881253" w:rsidRPr="00EC2BC6" w:rsidRDefault="006D48C7">
            <w:pPr>
              <w:rPr>
                <w:sz w:val="20"/>
              </w:rPr>
            </w:pPr>
            <w:r w:rsidRPr="00EC2BC6">
              <w:rPr>
                <w:sz w:val="20"/>
              </w:rPr>
              <w:t>1,920</w:t>
            </w:r>
          </w:p>
        </w:tc>
        <w:tc>
          <w:tcPr>
            <w:tcW w:w="1368" w:type="dxa"/>
            <w:vAlign w:val="center"/>
          </w:tcPr>
          <w:p w:rsidR="00881253" w:rsidRPr="00EC2BC6" w:rsidRDefault="006D48C7">
            <w:pPr>
              <w:rPr>
                <w:sz w:val="20"/>
              </w:rPr>
            </w:pPr>
            <w:r w:rsidRPr="00EC2BC6">
              <w:rPr>
                <w:sz w:val="20"/>
              </w:rPr>
              <w:t>384</w:t>
            </w:r>
          </w:p>
        </w:tc>
        <w:tc>
          <w:tcPr>
            <w:tcW w:w="1368" w:type="dxa"/>
            <w:vAlign w:val="center"/>
          </w:tcPr>
          <w:p w:rsidR="00881253" w:rsidRPr="00EC2BC6" w:rsidRDefault="006D48C7">
            <w:pPr>
              <w:rPr>
                <w:sz w:val="20"/>
              </w:rPr>
            </w:pPr>
            <w:r w:rsidRPr="00EC2BC6">
              <w:rPr>
                <w:sz w:val="20"/>
              </w:rPr>
              <w:t>69.53</w:t>
            </w:r>
          </w:p>
        </w:tc>
        <w:tc>
          <w:tcPr>
            <w:tcW w:w="1296" w:type="dxa"/>
            <w:vAlign w:val="center"/>
          </w:tcPr>
          <w:p w:rsidR="00881253" w:rsidRPr="00EC2BC6" w:rsidRDefault="006D48C7">
            <w:pPr>
              <w:rPr>
                <w:sz w:val="20"/>
              </w:rPr>
            </w:pPr>
            <w:r w:rsidRPr="00EC2BC6">
              <w:rPr>
                <w:sz w:val="20"/>
              </w:rPr>
              <w:t>0.270</w:t>
            </w:r>
          </w:p>
        </w:tc>
        <w:tc>
          <w:tcPr>
            <w:tcW w:w="1296" w:type="dxa"/>
            <w:vAlign w:val="center"/>
          </w:tcPr>
          <w:p w:rsidR="00881253" w:rsidRPr="00EC2BC6" w:rsidRDefault="006D48C7">
            <w:pPr>
              <w:rPr>
                <w:sz w:val="20"/>
              </w:rPr>
            </w:pPr>
            <w:r w:rsidRPr="00EC2BC6">
              <w:rPr>
                <w:sz w:val="20"/>
              </w:rPr>
              <w:t>0.896</w:t>
            </w:r>
          </w:p>
        </w:tc>
      </w:tr>
      <w:tr w:rsidR="00881253" w:rsidRPr="00EC2BC6" w:rsidTr="00EC2BC6">
        <w:trPr>
          <w:jc w:val="center"/>
        </w:trPr>
        <w:tc>
          <w:tcPr>
            <w:tcW w:w="1944" w:type="dxa"/>
            <w:vAlign w:val="center"/>
          </w:tcPr>
          <w:p w:rsidR="00881253" w:rsidRPr="00EC2BC6" w:rsidRDefault="006D48C7">
            <w:pPr>
              <w:rPr>
                <w:sz w:val="20"/>
              </w:rPr>
            </w:pPr>
            <w:r w:rsidRPr="00EC2BC6">
              <w:rPr>
                <w:sz w:val="20"/>
              </w:rPr>
              <w:t>El Centro NS</w:t>
            </w:r>
          </w:p>
        </w:tc>
        <w:tc>
          <w:tcPr>
            <w:tcW w:w="1080" w:type="dxa"/>
            <w:vAlign w:val="center"/>
          </w:tcPr>
          <w:p w:rsidR="00881253" w:rsidRPr="00EC2BC6" w:rsidRDefault="006D48C7">
            <w:pPr>
              <w:rPr>
                <w:sz w:val="20"/>
              </w:rPr>
            </w:pPr>
            <w:r w:rsidRPr="00EC2BC6">
              <w:rPr>
                <w:sz w:val="20"/>
              </w:rPr>
              <w:t>1,920</w:t>
            </w:r>
          </w:p>
        </w:tc>
        <w:tc>
          <w:tcPr>
            <w:tcW w:w="1368" w:type="dxa"/>
            <w:vAlign w:val="center"/>
          </w:tcPr>
          <w:p w:rsidR="00881253" w:rsidRPr="00EC2BC6" w:rsidRDefault="006D48C7">
            <w:pPr>
              <w:rPr>
                <w:sz w:val="20"/>
              </w:rPr>
            </w:pPr>
            <w:r w:rsidRPr="00EC2BC6">
              <w:rPr>
                <w:sz w:val="20"/>
              </w:rPr>
              <w:t>384</w:t>
            </w:r>
          </w:p>
        </w:tc>
        <w:tc>
          <w:tcPr>
            <w:tcW w:w="1368" w:type="dxa"/>
            <w:vAlign w:val="center"/>
          </w:tcPr>
          <w:p w:rsidR="00881253" w:rsidRPr="00EC2BC6" w:rsidRDefault="006D48C7">
            <w:pPr>
              <w:rPr>
                <w:sz w:val="20"/>
              </w:rPr>
            </w:pPr>
            <w:r w:rsidRPr="00EC2BC6">
              <w:rPr>
                <w:sz w:val="20"/>
              </w:rPr>
              <w:t>70.31</w:t>
            </w:r>
          </w:p>
        </w:tc>
        <w:tc>
          <w:tcPr>
            <w:tcW w:w="1296" w:type="dxa"/>
            <w:vAlign w:val="center"/>
          </w:tcPr>
          <w:p w:rsidR="00881253" w:rsidRPr="00EC2BC6" w:rsidRDefault="006D48C7">
            <w:pPr>
              <w:rPr>
                <w:sz w:val="20"/>
              </w:rPr>
            </w:pPr>
            <w:r w:rsidRPr="00EC2BC6">
              <w:rPr>
                <w:sz w:val="20"/>
              </w:rPr>
              <w:t>0.158</w:t>
            </w:r>
          </w:p>
        </w:tc>
        <w:tc>
          <w:tcPr>
            <w:tcW w:w="1296" w:type="dxa"/>
            <w:vAlign w:val="center"/>
          </w:tcPr>
          <w:p w:rsidR="00881253" w:rsidRPr="00EC2BC6" w:rsidRDefault="006D48C7">
            <w:pPr>
              <w:rPr>
                <w:sz w:val="20"/>
              </w:rPr>
            </w:pPr>
            <w:r w:rsidRPr="00EC2BC6">
              <w:rPr>
                <w:sz w:val="20"/>
              </w:rPr>
              <w:t>0.643</w:t>
            </w:r>
          </w:p>
        </w:tc>
      </w:tr>
    </w:tbl>
    <w:p w:rsidR="005F2B6C" w:rsidRPr="001625B9" w:rsidRDefault="002066B3" w:rsidP="001625B9">
      <w:pPr>
        <w:spacing w:before="80" w:after="120"/>
        <w:jc w:val="both"/>
        <w:rPr>
          <w:b/>
        </w:rPr>
      </w:pPr>
      <w:r>
        <w:t xml:space="preserve">The local-versus-secant slope diagnostic </w:t>
      </w:r>
      <w:proofErr w:type="gramStart"/>
      <w:r>
        <w:t>is treated</w:t>
      </w:r>
      <w:proofErr w:type="gramEnd"/>
      <w:r>
        <w:t xml:space="preserve"> as part of the proposed screening workflow, not as a decorative post-processing check. Across the direct spectral check, force-class agreement increases from 82.16% with the local slope to 97.79% with a secant slope between the fixed-base and elongated periods; for El Centro EW it increases from 69.53% to 97.40%, and for El Centro NS from 70.31% to 97.92%. Accordingly, the local formulation </w:t>
      </w:r>
      <w:proofErr w:type="gramStart"/>
      <w:r>
        <w:t>is retained</w:t>
      </w:r>
      <w:proofErr w:type="gramEnd"/>
      <w:r>
        <w:t xml:space="preserve"> as a Level 1 screen for early-stage assessment, whereas the secant formulation is recommended as Level 2 when a design spectrum or record-derived spectrum is available over the interval from Tₛ to Tₛₛᵢ.</w:t>
      </w:r>
    </w:p>
    <w:p w:rsidR="00884B43" w:rsidRPr="001625B9" w:rsidRDefault="00D52E97" w:rsidP="001625B9">
      <w:pPr>
        <w:spacing w:after="120"/>
        <w:jc w:val="both"/>
      </w:pPr>
      <w:r>
        <w:t xml:space="preserve">The complete spectral consistency-check files and the original El Centro input records </w:t>
      </w:r>
      <w:proofErr w:type="gramStart"/>
      <w:r>
        <w:t>are supplied</w:t>
      </w:r>
      <w:proofErr w:type="gramEnd"/>
      <w:r>
        <w:t xml:space="preserve"> in the supplementary evidence package and public repository.</w:t>
      </w:r>
    </w:p>
    <w:p w:rsidR="00881253" w:rsidRDefault="006D48C7" w:rsidP="002A1247">
      <w:pPr>
        <w:pStyle w:val="Heading2"/>
      </w:pPr>
      <w:r>
        <w:t>7.3 Expanded synthetic spectral stress test</w:t>
      </w:r>
    </w:p>
    <w:p w:rsidR="00884B43" w:rsidRPr="001625B9" w:rsidRDefault="00D52E97" w:rsidP="001625B9">
      <w:pPr>
        <w:spacing w:before="120" w:after="120"/>
        <w:jc w:val="both"/>
      </w:pPr>
      <w:r>
        <w:t xml:space="preserve">To test whether the direct consistency-check result was overly dependent on the El Centro records, an expanded synthetic spectral stress test combined the previous public-record/code-spectrum cases with 12 additional code-compatible spectral shapes. These synthetic spectra </w:t>
      </w:r>
      <w:proofErr w:type="gramStart"/>
      <w:r>
        <w:t>are not claimed</w:t>
      </w:r>
      <w:proofErr w:type="gramEnd"/>
      <w:r>
        <w:t xml:space="preserve"> as real records or predictive validation; they are reproducible stress tests designed to cover short plateau, long plateau, soft-soil, stiff-soil, near-fault-like, descending-dominant and high-curvature spectral forms. The expanded suite produced 30,720 rows across 16 spectral sources, corresponding to 6,144 unique force/displacement classification cases after removing the rocking-partition duplication. Force-class agreement was 93.64% </w:t>
      </w:r>
      <w:r>
        <w:lastRenderedPageBreak/>
        <w:t>and the mean absolute force-ratio error was 0.063, but the error distribution and per-source metrics show that record-derived spectra are more demanding than many synthetic spectra. The expanded benchmark therefore supports mathematical plausibility over controlled spectral shapes within the reduced-order model, not final predictive evidence for design use.</w:t>
      </w:r>
    </w:p>
    <w:p w:rsidR="007F70F4" w:rsidRPr="001625B9" w:rsidRDefault="00DC0D23" w:rsidP="001625B9">
      <w:pPr>
        <w:spacing w:after="120"/>
        <w:jc w:val="both"/>
      </w:pPr>
      <w:r>
        <w:t xml:space="preserve">Table </w:t>
      </w:r>
      <w:proofErr w:type="gramStart"/>
      <w:r>
        <w:t>9</w:t>
      </w:r>
      <w:proofErr w:type="gramEnd"/>
      <w:r>
        <w:t xml:space="preserve"> reports the expanded synthetic spectral stress-test diagnostics used to evaluate robustness beyond the initial record set.</w:t>
      </w:r>
    </w:p>
    <w:p w:rsidR="005F2B6C" w:rsidRPr="00AF2D23" w:rsidRDefault="002066B3" w:rsidP="001625B9">
      <w:pPr>
        <w:keepNext/>
        <w:spacing w:before="80" w:after="120"/>
        <w:jc w:val="center"/>
        <w:rPr>
          <w:sz w:val="20"/>
        </w:rPr>
      </w:pPr>
      <w:r w:rsidRPr="00AF2D23">
        <w:t>Table 9. Expanded synthetic spectral stress-test diagnostics.</w:t>
      </w:r>
    </w:p>
    <w:tbl>
      <w:tblPr>
        <w:tblStyle w:val="PlainTable2"/>
        <w:tblW w:w="5000" w:type="pct"/>
        <w:jc w:val="center"/>
        <w:tblLook w:val="0420" w:firstRow="1" w:lastRow="0" w:firstColumn="0" w:lastColumn="0" w:noHBand="0" w:noVBand="1"/>
      </w:tblPr>
      <w:tblGrid>
        <w:gridCol w:w="766"/>
        <w:gridCol w:w="1540"/>
        <w:gridCol w:w="1356"/>
        <w:gridCol w:w="1246"/>
        <w:gridCol w:w="1537"/>
        <w:gridCol w:w="2915"/>
      </w:tblGrid>
      <w:tr w:rsidR="002066B3" w:rsidRPr="00EC2BC6" w:rsidTr="00EC2BC6">
        <w:trPr>
          <w:cnfStyle w:val="100000000000" w:firstRow="1" w:lastRow="0" w:firstColumn="0" w:lastColumn="0" w:oddVBand="0" w:evenVBand="0" w:oddHBand="0" w:evenHBand="0" w:firstRowFirstColumn="0" w:firstRowLastColumn="0" w:lastRowFirstColumn="0" w:lastRowLastColumn="0"/>
          <w:tblHeader/>
          <w:jc w:val="center"/>
        </w:trPr>
        <w:tc>
          <w:tcPr>
            <w:tcW w:w="403" w:type="pct"/>
            <w:vAlign w:val="center"/>
          </w:tcPr>
          <w:p w:rsidR="006C4118" w:rsidRPr="00EC2BC6" w:rsidRDefault="00D07F1C">
            <w:pPr>
              <w:rPr>
                <w:sz w:val="20"/>
              </w:rPr>
            </w:pPr>
            <w:r w:rsidRPr="00EC2BC6">
              <w:rPr>
                <w:sz w:val="20"/>
              </w:rPr>
              <w:t>Rows</w:t>
            </w:r>
          </w:p>
        </w:tc>
        <w:tc>
          <w:tcPr>
            <w:tcW w:w="824" w:type="pct"/>
            <w:vAlign w:val="center"/>
          </w:tcPr>
          <w:p w:rsidR="006C4118" w:rsidRPr="00EC2BC6" w:rsidRDefault="00D07F1C">
            <w:pPr>
              <w:rPr>
                <w:sz w:val="20"/>
              </w:rPr>
            </w:pPr>
            <w:r w:rsidRPr="00EC2BC6">
              <w:rPr>
                <w:sz w:val="20"/>
              </w:rPr>
              <w:t>Unique cases</w:t>
            </w:r>
          </w:p>
        </w:tc>
        <w:tc>
          <w:tcPr>
            <w:tcW w:w="726" w:type="pct"/>
            <w:vAlign w:val="center"/>
          </w:tcPr>
          <w:p w:rsidR="006C4118" w:rsidRPr="00EC2BC6" w:rsidRDefault="00D07F1C">
            <w:pPr>
              <w:rPr>
                <w:sz w:val="20"/>
              </w:rPr>
            </w:pPr>
            <w:r w:rsidRPr="00EC2BC6">
              <w:rPr>
                <w:sz w:val="20"/>
              </w:rPr>
              <w:t>Spectral sources</w:t>
            </w:r>
          </w:p>
        </w:tc>
        <w:tc>
          <w:tcPr>
            <w:tcW w:w="667" w:type="pct"/>
            <w:vAlign w:val="center"/>
          </w:tcPr>
          <w:p w:rsidR="006C4118" w:rsidRPr="00EC2BC6" w:rsidRDefault="00D07F1C">
            <w:pPr>
              <w:rPr>
                <w:sz w:val="20"/>
              </w:rPr>
            </w:pPr>
            <w:r w:rsidRPr="00EC2BC6">
              <w:rPr>
                <w:sz w:val="20"/>
              </w:rPr>
              <w:t>Accuracy (%)</w:t>
            </w:r>
          </w:p>
        </w:tc>
        <w:tc>
          <w:tcPr>
            <w:tcW w:w="822" w:type="pct"/>
            <w:vAlign w:val="center"/>
          </w:tcPr>
          <w:p w:rsidR="006C4118" w:rsidRPr="00EC2BC6" w:rsidRDefault="00D07F1C">
            <w:pPr>
              <w:rPr>
                <w:sz w:val="20"/>
              </w:rPr>
            </w:pPr>
            <w:r w:rsidRPr="00EC2BC6">
              <w:rPr>
                <w:sz w:val="20"/>
              </w:rPr>
              <w:t>Mean |error|</w:t>
            </w:r>
          </w:p>
        </w:tc>
        <w:tc>
          <w:tcPr>
            <w:tcW w:w="1558" w:type="pct"/>
            <w:vAlign w:val="center"/>
          </w:tcPr>
          <w:p w:rsidR="006C4118" w:rsidRPr="00EC2BC6" w:rsidRDefault="00D07F1C">
            <w:pPr>
              <w:rPr>
                <w:sz w:val="20"/>
              </w:rPr>
            </w:pPr>
            <w:r w:rsidRPr="00EC2BC6">
              <w:rPr>
                <w:sz w:val="20"/>
              </w:rPr>
              <w:t>Interpretation</w:t>
            </w:r>
          </w:p>
        </w:tc>
      </w:tr>
      <w:tr w:rsidR="002066B3"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403" w:type="pct"/>
            <w:vAlign w:val="center"/>
          </w:tcPr>
          <w:p w:rsidR="006C4118" w:rsidRPr="00EC2BC6" w:rsidRDefault="00D07F1C">
            <w:pPr>
              <w:rPr>
                <w:sz w:val="20"/>
              </w:rPr>
            </w:pPr>
            <w:r w:rsidRPr="00EC2BC6">
              <w:rPr>
                <w:sz w:val="20"/>
              </w:rPr>
              <w:t>30,720</w:t>
            </w:r>
          </w:p>
        </w:tc>
        <w:tc>
          <w:tcPr>
            <w:tcW w:w="824" w:type="pct"/>
            <w:vAlign w:val="center"/>
          </w:tcPr>
          <w:p w:rsidR="006C4118" w:rsidRPr="00EC2BC6" w:rsidRDefault="00D07F1C">
            <w:pPr>
              <w:rPr>
                <w:sz w:val="20"/>
              </w:rPr>
            </w:pPr>
            <w:r w:rsidRPr="00EC2BC6">
              <w:rPr>
                <w:sz w:val="20"/>
              </w:rPr>
              <w:t>6,144</w:t>
            </w:r>
          </w:p>
        </w:tc>
        <w:tc>
          <w:tcPr>
            <w:tcW w:w="726" w:type="pct"/>
            <w:vAlign w:val="center"/>
          </w:tcPr>
          <w:p w:rsidR="006C4118" w:rsidRPr="00EC2BC6" w:rsidRDefault="00D07F1C">
            <w:pPr>
              <w:rPr>
                <w:sz w:val="20"/>
              </w:rPr>
            </w:pPr>
            <w:r w:rsidRPr="00EC2BC6">
              <w:rPr>
                <w:sz w:val="20"/>
              </w:rPr>
              <w:t>16</w:t>
            </w:r>
          </w:p>
        </w:tc>
        <w:tc>
          <w:tcPr>
            <w:tcW w:w="667" w:type="pct"/>
            <w:vAlign w:val="center"/>
          </w:tcPr>
          <w:p w:rsidR="006C4118" w:rsidRPr="00EC2BC6" w:rsidRDefault="00D07F1C">
            <w:pPr>
              <w:rPr>
                <w:sz w:val="20"/>
              </w:rPr>
            </w:pPr>
            <w:r w:rsidRPr="00EC2BC6">
              <w:rPr>
                <w:sz w:val="20"/>
              </w:rPr>
              <w:t>93.64</w:t>
            </w:r>
          </w:p>
        </w:tc>
        <w:tc>
          <w:tcPr>
            <w:tcW w:w="822" w:type="pct"/>
            <w:vAlign w:val="center"/>
          </w:tcPr>
          <w:p w:rsidR="006C4118" w:rsidRPr="00EC2BC6" w:rsidRDefault="00D07F1C">
            <w:pPr>
              <w:rPr>
                <w:sz w:val="20"/>
              </w:rPr>
            </w:pPr>
            <w:r w:rsidRPr="00EC2BC6">
              <w:rPr>
                <w:sz w:val="20"/>
              </w:rPr>
              <w:t>0.063</w:t>
            </w:r>
          </w:p>
        </w:tc>
        <w:tc>
          <w:tcPr>
            <w:tcW w:w="1558" w:type="pct"/>
            <w:vAlign w:val="center"/>
          </w:tcPr>
          <w:p w:rsidR="006C4118" w:rsidRPr="00EC2BC6" w:rsidRDefault="00D07F1C">
            <w:pPr>
              <w:rPr>
                <w:sz w:val="20"/>
              </w:rPr>
            </w:pPr>
            <w:r w:rsidRPr="00EC2BC6">
              <w:rPr>
                <w:sz w:val="20"/>
              </w:rPr>
              <w:t>Synthetic stress test plus record-derived checks; not full external verification.</w:t>
            </w:r>
          </w:p>
        </w:tc>
      </w:tr>
    </w:tbl>
    <w:p w:rsidR="00884B43" w:rsidRPr="001625B9" w:rsidRDefault="00D52E97" w:rsidP="001625B9">
      <w:pPr>
        <w:spacing w:after="120"/>
        <w:jc w:val="both"/>
      </w:pPr>
      <w:r>
        <w:rPr>
          <w:sz w:val="20"/>
        </w:rPr>
        <w:t xml:space="preserve">The expanded synthetic stress-test files </w:t>
      </w:r>
      <w:proofErr w:type="gramStart"/>
      <w:r>
        <w:rPr>
          <w:sz w:val="20"/>
        </w:rPr>
        <w:t>are supplied</w:t>
      </w:r>
      <w:proofErr w:type="gramEnd"/>
      <w:r>
        <w:rPr>
          <w:sz w:val="20"/>
        </w:rPr>
        <w:t xml:space="preserve"> in the supplementary evidence package and public repository, including expanded_stress_test_cases.csv, expanded_stress_test_by_source.csv, </w:t>
      </w:r>
      <w:proofErr w:type="spellStart"/>
      <w:r>
        <w:rPr>
          <w:sz w:val="20"/>
        </w:rPr>
        <w:t>expanded_stress_tes</w:t>
      </w:r>
      <w:r w:rsidR="00AF2D23" w:rsidRPr="00AF2D23">
        <w:rPr>
          <w:sz w:val="20"/>
        </w:rPr>
        <w:t>T</w:t>
      </w:r>
      <w:r w:rsidR="00AF2D23" w:rsidRPr="00AF2D23">
        <w:rPr>
          <w:sz w:val="20"/>
          <w:vertAlign w:val="subscript"/>
        </w:rPr>
        <w:t>s</w:t>
      </w:r>
      <w:r>
        <w:rPr>
          <w:sz w:val="20"/>
        </w:rPr>
        <w:t>ummary.json</w:t>
      </w:r>
      <w:proofErr w:type="spellEnd"/>
      <w:r>
        <w:rPr>
          <w:sz w:val="20"/>
        </w:rPr>
        <w:t>, consistency-audit metrics and expanded_synthetic_stress_test_response_categories.png.</w:t>
      </w:r>
    </w:p>
    <w:p w:rsidR="00881253" w:rsidRDefault="006D48C7" w:rsidP="002A1247">
      <w:pPr>
        <w:pStyle w:val="Heading2"/>
      </w:pPr>
      <w:r>
        <w:t>7.4 External quantitative consistency mapping</w:t>
      </w:r>
    </w:p>
    <w:p w:rsidR="00AF2D23" w:rsidRDefault="00AF2D23">
      <w:pPr>
        <w:jc w:val="both"/>
        <w:rPr>
          <w:sz w:val="20"/>
        </w:rPr>
      </w:pPr>
      <w:r>
        <w:t>Table 10 reports the external quantitative consistency mapping obtained from published SSI cases.</w:t>
      </w:r>
    </w:p>
    <w:p w:rsidR="006C4118" w:rsidRPr="00AF2D23" w:rsidRDefault="00D07F1C">
      <w:pPr>
        <w:keepNext/>
        <w:jc w:val="center"/>
        <w:rPr>
          <w:sz w:val="20"/>
        </w:rPr>
      </w:pPr>
      <w:r w:rsidRPr="00AF2D23">
        <w:t>Table 10. External quantitative mapping using published SSI cases.</w:t>
      </w:r>
    </w:p>
    <w:tbl>
      <w:tblPr>
        <w:tblStyle w:val="PlainTable2"/>
        <w:tblW w:w="5000" w:type="pct"/>
        <w:jc w:val="center"/>
        <w:tblLook w:val="0420" w:firstRow="1" w:lastRow="0" w:firstColumn="0" w:lastColumn="0" w:noHBand="0" w:noVBand="1"/>
      </w:tblPr>
      <w:tblGrid>
        <w:gridCol w:w="2099"/>
        <w:gridCol w:w="968"/>
        <w:gridCol w:w="1372"/>
        <w:gridCol w:w="1210"/>
        <w:gridCol w:w="3711"/>
      </w:tblGrid>
      <w:tr w:rsidR="006C4118" w:rsidRPr="00EC2BC6" w:rsidTr="00EC2BC6">
        <w:trPr>
          <w:cnfStyle w:val="100000000000" w:firstRow="1" w:lastRow="0" w:firstColumn="0" w:lastColumn="0" w:oddVBand="0" w:evenVBand="0" w:oddHBand="0" w:evenHBand="0" w:firstRowFirstColumn="0" w:firstRowLastColumn="0" w:lastRowFirstColumn="0" w:lastRowLastColumn="0"/>
          <w:tblHeader/>
          <w:jc w:val="center"/>
        </w:trPr>
        <w:tc>
          <w:tcPr>
            <w:tcW w:w="1872" w:type="dxa"/>
            <w:vAlign w:val="center"/>
          </w:tcPr>
          <w:p w:rsidR="00881253" w:rsidRPr="00EC2BC6" w:rsidRDefault="006D48C7">
            <w:pPr>
              <w:rPr>
                <w:sz w:val="20"/>
              </w:rPr>
            </w:pPr>
            <w:r w:rsidRPr="00EC2BC6">
              <w:rPr>
                <w:sz w:val="20"/>
              </w:rPr>
              <w:t>Case</w:t>
            </w:r>
          </w:p>
        </w:tc>
        <w:tc>
          <w:tcPr>
            <w:tcW w:w="864" w:type="dxa"/>
            <w:vAlign w:val="center"/>
          </w:tcPr>
          <w:p w:rsidR="00881253" w:rsidRPr="00EC2BC6" w:rsidRDefault="006D48C7">
            <w:pPr>
              <w:rPr>
                <w:sz w:val="20"/>
              </w:rPr>
            </w:pPr>
            <w:r>
              <w:rPr>
                <w:sz w:val="20"/>
              </w:rPr>
              <w:t>η</w:t>
            </w:r>
          </w:p>
        </w:tc>
        <w:tc>
          <w:tcPr>
            <w:tcW w:w="1224" w:type="dxa"/>
            <w:vAlign w:val="center"/>
          </w:tcPr>
          <w:p w:rsidR="00881253" w:rsidRPr="00EC2BC6" w:rsidRDefault="00AF2D23">
            <w:pPr>
              <w:rPr>
                <w:sz w:val="20"/>
              </w:rPr>
            </w:pPr>
            <w:r>
              <w:rPr>
                <w:sz w:val="20"/>
              </w:rPr>
              <w:t>Tₛₛᵢ/Tₛ</w:t>
            </w:r>
          </w:p>
        </w:tc>
        <w:tc>
          <w:tcPr>
            <w:tcW w:w="1080" w:type="dxa"/>
            <w:vAlign w:val="center"/>
          </w:tcPr>
          <w:p w:rsidR="00881253" w:rsidRPr="00EC2BC6" w:rsidRDefault="00AF2D23">
            <w:pPr>
              <w:rPr>
                <w:sz w:val="20"/>
              </w:rPr>
            </w:pPr>
            <w:r>
              <w:rPr>
                <w:sz w:val="20"/>
              </w:rPr>
              <w:t>Rᵥ obs.</w:t>
            </w:r>
          </w:p>
        </w:tc>
        <w:tc>
          <w:tcPr>
            <w:tcW w:w="3311" w:type="dxa"/>
            <w:vAlign w:val="center"/>
          </w:tcPr>
          <w:p w:rsidR="00881253" w:rsidRPr="00EC2BC6" w:rsidRDefault="006D48C7">
            <w:pPr>
              <w:rPr>
                <w:sz w:val="20"/>
              </w:rPr>
            </w:pPr>
            <w:r w:rsidRPr="00EC2BC6">
              <w:rPr>
                <w:sz w:val="20"/>
              </w:rPr>
              <w:t>Mapped class</w:t>
            </w:r>
          </w:p>
        </w:tc>
      </w:tr>
      <w:tr w:rsidR="00881253"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1872" w:type="dxa"/>
            <w:vAlign w:val="center"/>
          </w:tcPr>
          <w:p w:rsidR="00881253" w:rsidRPr="00EC2BC6" w:rsidRDefault="006D48C7">
            <w:pPr>
              <w:rPr>
                <w:sz w:val="20"/>
              </w:rPr>
            </w:pPr>
            <w:r w:rsidRPr="00EC2BC6">
              <w:rPr>
                <w:sz w:val="20"/>
              </w:rPr>
              <w:t>FCT20 HWR6 De</w:t>
            </w:r>
          </w:p>
        </w:tc>
        <w:tc>
          <w:tcPr>
            <w:tcW w:w="864" w:type="dxa"/>
            <w:vAlign w:val="center"/>
          </w:tcPr>
          <w:p w:rsidR="00881253" w:rsidRPr="00EC2BC6" w:rsidRDefault="006D48C7">
            <w:pPr>
              <w:rPr>
                <w:sz w:val="20"/>
              </w:rPr>
            </w:pPr>
            <w:r w:rsidRPr="00EC2BC6">
              <w:rPr>
                <w:sz w:val="20"/>
              </w:rPr>
              <w:t>0.329</w:t>
            </w:r>
          </w:p>
        </w:tc>
        <w:tc>
          <w:tcPr>
            <w:tcW w:w="1224" w:type="dxa"/>
            <w:vAlign w:val="center"/>
          </w:tcPr>
          <w:p w:rsidR="00881253" w:rsidRPr="00EC2BC6" w:rsidRDefault="006D48C7">
            <w:pPr>
              <w:rPr>
                <w:sz w:val="20"/>
              </w:rPr>
            </w:pPr>
            <w:r w:rsidRPr="00EC2BC6">
              <w:rPr>
                <w:sz w:val="20"/>
              </w:rPr>
              <w:t>1.153</w:t>
            </w:r>
          </w:p>
        </w:tc>
        <w:tc>
          <w:tcPr>
            <w:tcW w:w="1080" w:type="dxa"/>
            <w:vAlign w:val="center"/>
          </w:tcPr>
          <w:p w:rsidR="00881253" w:rsidRPr="00EC2BC6" w:rsidRDefault="006D48C7">
            <w:pPr>
              <w:rPr>
                <w:sz w:val="20"/>
              </w:rPr>
            </w:pPr>
            <w:r w:rsidRPr="00EC2BC6">
              <w:rPr>
                <w:sz w:val="20"/>
              </w:rPr>
              <w:t>0.493</w:t>
            </w:r>
          </w:p>
        </w:tc>
        <w:tc>
          <w:tcPr>
            <w:tcW w:w="3311" w:type="dxa"/>
            <w:vAlign w:val="center"/>
          </w:tcPr>
          <w:p w:rsidR="00881253" w:rsidRPr="00EC2BC6" w:rsidRDefault="006D48C7">
            <w:pPr>
              <w:rPr>
                <w:sz w:val="20"/>
              </w:rPr>
            </w:pPr>
            <w:r w:rsidRPr="00EC2BC6">
              <w:rPr>
                <w:sz w:val="20"/>
              </w:rPr>
              <w:t>Force benefit / displacement penalty</w:t>
            </w:r>
          </w:p>
        </w:tc>
      </w:tr>
      <w:tr w:rsidR="00881253" w:rsidRPr="00EC2BC6" w:rsidTr="00EC2BC6">
        <w:trPr>
          <w:jc w:val="center"/>
        </w:trPr>
        <w:tc>
          <w:tcPr>
            <w:tcW w:w="1872" w:type="dxa"/>
            <w:vAlign w:val="center"/>
          </w:tcPr>
          <w:p w:rsidR="00881253" w:rsidRPr="00EC2BC6" w:rsidRDefault="006D48C7">
            <w:pPr>
              <w:rPr>
                <w:sz w:val="20"/>
              </w:rPr>
            </w:pPr>
            <w:r w:rsidRPr="00EC2BC6">
              <w:rPr>
                <w:sz w:val="20"/>
              </w:rPr>
              <w:t>FCT30 HWR6 De</w:t>
            </w:r>
          </w:p>
        </w:tc>
        <w:tc>
          <w:tcPr>
            <w:tcW w:w="864" w:type="dxa"/>
            <w:vAlign w:val="center"/>
          </w:tcPr>
          <w:p w:rsidR="00881253" w:rsidRPr="00EC2BC6" w:rsidRDefault="006D48C7">
            <w:pPr>
              <w:rPr>
                <w:sz w:val="20"/>
              </w:rPr>
            </w:pPr>
            <w:r w:rsidRPr="00EC2BC6">
              <w:rPr>
                <w:sz w:val="20"/>
              </w:rPr>
              <w:t>0.214</w:t>
            </w:r>
          </w:p>
        </w:tc>
        <w:tc>
          <w:tcPr>
            <w:tcW w:w="1224" w:type="dxa"/>
            <w:vAlign w:val="center"/>
          </w:tcPr>
          <w:p w:rsidR="00881253" w:rsidRPr="00EC2BC6" w:rsidRDefault="006D48C7">
            <w:pPr>
              <w:rPr>
                <w:sz w:val="20"/>
              </w:rPr>
            </w:pPr>
            <w:r w:rsidRPr="00EC2BC6">
              <w:rPr>
                <w:sz w:val="20"/>
              </w:rPr>
              <w:t>1.102</w:t>
            </w:r>
          </w:p>
        </w:tc>
        <w:tc>
          <w:tcPr>
            <w:tcW w:w="1080" w:type="dxa"/>
            <w:vAlign w:val="center"/>
          </w:tcPr>
          <w:p w:rsidR="00881253" w:rsidRPr="00EC2BC6" w:rsidRDefault="006D48C7">
            <w:pPr>
              <w:rPr>
                <w:sz w:val="20"/>
              </w:rPr>
            </w:pPr>
            <w:r w:rsidRPr="00EC2BC6">
              <w:rPr>
                <w:sz w:val="20"/>
              </w:rPr>
              <w:t>0.963</w:t>
            </w:r>
          </w:p>
        </w:tc>
        <w:tc>
          <w:tcPr>
            <w:tcW w:w="3311" w:type="dxa"/>
            <w:vAlign w:val="center"/>
          </w:tcPr>
          <w:p w:rsidR="00881253" w:rsidRPr="00EC2BC6" w:rsidRDefault="006D48C7">
            <w:pPr>
              <w:rPr>
                <w:sz w:val="20"/>
              </w:rPr>
            </w:pPr>
            <w:r w:rsidRPr="00EC2BC6">
              <w:rPr>
                <w:sz w:val="20"/>
              </w:rPr>
              <w:t>Near-boundary force benefit / displacement penalty</w:t>
            </w:r>
          </w:p>
        </w:tc>
      </w:tr>
      <w:tr w:rsidR="00881253"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1872" w:type="dxa"/>
            <w:vAlign w:val="center"/>
          </w:tcPr>
          <w:p w:rsidR="00881253" w:rsidRPr="00EC2BC6" w:rsidRDefault="006D48C7">
            <w:pPr>
              <w:rPr>
                <w:sz w:val="20"/>
              </w:rPr>
            </w:pPr>
            <w:r w:rsidRPr="00EC2BC6">
              <w:rPr>
                <w:sz w:val="20"/>
              </w:rPr>
              <w:t>FCT40 HWR6 De</w:t>
            </w:r>
          </w:p>
        </w:tc>
        <w:tc>
          <w:tcPr>
            <w:tcW w:w="864" w:type="dxa"/>
            <w:vAlign w:val="center"/>
          </w:tcPr>
          <w:p w:rsidR="00881253" w:rsidRPr="00EC2BC6" w:rsidRDefault="006D48C7">
            <w:pPr>
              <w:rPr>
                <w:sz w:val="20"/>
              </w:rPr>
            </w:pPr>
            <w:r w:rsidRPr="00EC2BC6">
              <w:rPr>
                <w:sz w:val="20"/>
              </w:rPr>
              <w:t>0.317</w:t>
            </w:r>
          </w:p>
        </w:tc>
        <w:tc>
          <w:tcPr>
            <w:tcW w:w="1224" w:type="dxa"/>
            <w:vAlign w:val="center"/>
          </w:tcPr>
          <w:p w:rsidR="00881253" w:rsidRPr="00EC2BC6" w:rsidRDefault="006D48C7">
            <w:pPr>
              <w:rPr>
                <w:sz w:val="20"/>
              </w:rPr>
            </w:pPr>
            <w:r w:rsidRPr="00EC2BC6">
              <w:rPr>
                <w:sz w:val="20"/>
              </w:rPr>
              <w:t>1.148</w:t>
            </w:r>
          </w:p>
        </w:tc>
        <w:tc>
          <w:tcPr>
            <w:tcW w:w="1080" w:type="dxa"/>
            <w:vAlign w:val="center"/>
          </w:tcPr>
          <w:p w:rsidR="00881253" w:rsidRPr="00EC2BC6" w:rsidRDefault="006D48C7">
            <w:pPr>
              <w:rPr>
                <w:sz w:val="20"/>
              </w:rPr>
            </w:pPr>
            <w:r w:rsidRPr="00EC2BC6">
              <w:rPr>
                <w:sz w:val="20"/>
              </w:rPr>
              <w:t>0.542</w:t>
            </w:r>
          </w:p>
        </w:tc>
        <w:tc>
          <w:tcPr>
            <w:tcW w:w="3311" w:type="dxa"/>
            <w:vAlign w:val="center"/>
          </w:tcPr>
          <w:p w:rsidR="00881253" w:rsidRPr="00EC2BC6" w:rsidRDefault="006D48C7">
            <w:pPr>
              <w:rPr>
                <w:sz w:val="20"/>
              </w:rPr>
            </w:pPr>
            <w:r w:rsidRPr="00EC2BC6">
              <w:rPr>
                <w:sz w:val="20"/>
              </w:rPr>
              <w:t>Force benefit / displacement penalty</w:t>
            </w:r>
          </w:p>
        </w:tc>
      </w:tr>
      <w:tr w:rsidR="00881253" w:rsidRPr="00EC2BC6" w:rsidTr="00EC2BC6">
        <w:trPr>
          <w:jc w:val="center"/>
        </w:trPr>
        <w:tc>
          <w:tcPr>
            <w:tcW w:w="1872" w:type="dxa"/>
            <w:vAlign w:val="center"/>
          </w:tcPr>
          <w:p w:rsidR="00881253" w:rsidRPr="00EC2BC6" w:rsidRDefault="006D48C7">
            <w:pPr>
              <w:rPr>
                <w:sz w:val="20"/>
              </w:rPr>
            </w:pPr>
            <w:r w:rsidRPr="00EC2BC6">
              <w:rPr>
                <w:sz w:val="20"/>
              </w:rPr>
              <w:t>FSW30 HWR6 De</w:t>
            </w:r>
          </w:p>
        </w:tc>
        <w:tc>
          <w:tcPr>
            <w:tcW w:w="864" w:type="dxa"/>
            <w:vAlign w:val="center"/>
          </w:tcPr>
          <w:p w:rsidR="00881253" w:rsidRPr="00EC2BC6" w:rsidRDefault="006D48C7">
            <w:pPr>
              <w:rPr>
                <w:sz w:val="20"/>
              </w:rPr>
            </w:pPr>
            <w:r w:rsidRPr="00EC2BC6">
              <w:rPr>
                <w:sz w:val="20"/>
              </w:rPr>
              <w:t>0.389</w:t>
            </w:r>
          </w:p>
        </w:tc>
        <w:tc>
          <w:tcPr>
            <w:tcW w:w="1224" w:type="dxa"/>
            <w:vAlign w:val="center"/>
          </w:tcPr>
          <w:p w:rsidR="00881253" w:rsidRPr="00EC2BC6" w:rsidRDefault="006D48C7">
            <w:pPr>
              <w:rPr>
                <w:sz w:val="20"/>
              </w:rPr>
            </w:pPr>
            <w:r w:rsidRPr="00EC2BC6">
              <w:rPr>
                <w:sz w:val="20"/>
              </w:rPr>
              <w:t>1.179</w:t>
            </w:r>
          </w:p>
        </w:tc>
        <w:tc>
          <w:tcPr>
            <w:tcW w:w="1080" w:type="dxa"/>
            <w:vAlign w:val="center"/>
          </w:tcPr>
          <w:p w:rsidR="00881253" w:rsidRPr="00EC2BC6" w:rsidRDefault="006D48C7">
            <w:pPr>
              <w:rPr>
                <w:sz w:val="20"/>
              </w:rPr>
            </w:pPr>
            <w:r w:rsidRPr="00EC2BC6">
              <w:rPr>
                <w:sz w:val="20"/>
              </w:rPr>
              <w:t>0.695</w:t>
            </w:r>
          </w:p>
        </w:tc>
        <w:tc>
          <w:tcPr>
            <w:tcW w:w="3311" w:type="dxa"/>
            <w:vAlign w:val="center"/>
          </w:tcPr>
          <w:p w:rsidR="00881253" w:rsidRPr="00EC2BC6" w:rsidRDefault="006D48C7">
            <w:pPr>
              <w:rPr>
                <w:sz w:val="20"/>
              </w:rPr>
            </w:pPr>
            <w:r w:rsidRPr="00EC2BC6">
              <w:rPr>
                <w:sz w:val="20"/>
              </w:rPr>
              <w:t>Force benefit / displacement penalty</w:t>
            </w:r>
          </w:p>
        </w:tc>
      </w:tr>
      <w:tr w:rsidR="00881253" w:rsidRPr="00EC2BC6" w:rsidTr="00EC2BC6">
        <w:trPr>
          <w:cnfStyle w:val="000000100000" w:firstRow="0" w:lastRow="0" w:firstColumn="0" w:lastColumn="0" w:oddVBand="0" w:evenVBand="0" w:oddHBand="1" w:evenHBand="0" w:firstRowFirstColumn="0" w:firstRowLastColumn="0" w:lastRowFirstColumn="0" w:lastRowLastColumn="0"/>
          <w:jc w:val="center"/>
        </w:trPr>
        <w:tc>
          <w:tcPr>
            <w:tcW w:w="1872" w:type="dxa"/>
            <w:vAlign w:val="center"/>
          </w:tcPr>
          <w:p w:rsidR="00881253" w:rsidRPr="00EC2BC6" w:rsidRDefault="006D48C7">
            <w:pPr>
              <w:rPr>
                <w:sz w:val="20"/>
              </w:rPr>
            </w:pPr>
            <w:r w:rsidRPr="00EC2BC6">
              <w:rPr>
                <w:sz w:val="20"/>
              </w:rPr>
              <w:lastRenderedPageBreak/>
              <w:t>FSW40 HWR6 De</w:t>
            </w:r>
          </w:p>
        </w:tc>
        <w:tc>
          <w:tcPr>
            <w:tcW w:w="864" w:type="dxa"/>
            <w:vAlign w:val="center"/>
          </w:tcPr>
          <w:p w:rsidR="00881253" w:rsidRPr="00EC2BC6" w:rsidRDefault="006D48C7">
            <w:pPr>
              <w:rPr>
                <w:sz w:val="20"/>
              </w:rPr>
            </w:pPr>
            <w:r w:rsidRPr="00EC2BC6">
              <w:rPr>
                <w:sz w:val="20"/>
              </w:rPr>
              <w:t>0.330</w:t>
            </w:r>
          </w:p>
        </w:tc>
        <w:tc>
          <w:tcPr>
            <w:tcW w:w="1224" w:type="dxa"/>
            <w:vAlign w:val="center"/>
          </w:tcPr>
          <w:p w:rsidR="00881253" w:rsidRPr="00EC2BC6" w:rsidRDefault="006D48C7">
            <w:pPr>
              <w:rPr>
                <w:sz w:val="20"/>
              </w:rPr>
            </w:pPr>
            <w:r w:rsidRPr="00EC2BC6">
              <w:rPr>
                <w:sz w:val="20"/>
              </w:rPr>
              <w:t>1.153</w:t>
            </w:r>
          </w:p>
        </w:tc>
        <w:tc>
          <w:tcPr>
            <w:tcW w:w="1080" w:type="dxa"/>
            <w:vAlign w:val="center"/>
          </w:tcPr>
          <w:p w:rsidR="00881253" w:rsidRPr="00EC2BC6" w:rsidRDefault="006D48C7">
            <w:pPr>
              <w:rPr>
                <w:sz w:val="20"/>
              </w:rPr>
            </w:pPr>
            <w:r w:rsidRPr="00EC2BC6">
              <w:rPr>
                <w:sz w:val="20"/>
              </w:rPr>
              <w:t>0.902</w:t>
            </w:r>
          </w:p>
        </w:tc>
        <w:tc>
          <w:tcPr>
            <w:tcW w:w="3311" w:type="dxa"/>
            <w:vAlign w:val="center"/>
          </w:tcPr>
          <w:p w:rsidR="00881253" w:rsidRPr="00EC2BC6" w:rsidRDefault="006D48C7">
            <w:pPr>
              <w:rPr>
                <w:sz w:val="20"/>
              </w:rPr>
            </w:pPr>
            <w:r w:rsidRPr="00EC2BC6">
              <w:rPr>
                <w:sz w:val="20"/>
              </w:rPr>
              <w:t>Near-boundary force benefit / displacement penalty</w:t>
            </w:r>
          </w:p>
        </w:tc>
      </w:tr>
    </w:tbl>
    <w:p w:rsidR="003C1264" w:rsidRDefault="006D48C7" w:rsidP="001D6813">
      <w:pPr>
        <w:pStyle w:val="Heading1"/>
      </w:pPr>
      <w:r>
        <w:t>8 Discussion</w:t>
      </w:r>
    </w:p>
    <w:p w:rsidR="003C1264" w:rsidRDefault="003C1264" w:rsidP="001625B9">
      <w:pPr>
        <w:spacing w:after="120"/>
        <w:jc w:val="both"/>
      </w:pPr>
      <w:r>
        <w:t xml:space="preserve">The gap filled is decision-level screening, not response-history prediction. The criterion is useful because it gives an upstream, auditable and reproducible way to flag when apparent SSI force reduction </w:t>
      </w:r>
      <w:proofErr w:type="gramStart"/>
      <w:r>
        <w:t>should not be interpreted</w:t>
      </w:r>
      <w:proofErr w:type="gramEnd"/>
      <w:r>
        <w:t xml:space="preserve"> as displacement or rocking safety without further </w:t>
      </w:r>
      <w:proofErr w:type="spellStart"/>
      <w:r>
        <w:t>modeling</w:t>
      </w:r>
      <w:proofErr w:type="spellEnd"/>
      <w:r>
        <w:t>.</w:t>
      </w:r>
    </w:p>
    <w:p w:rsidR="00755DF9" w:rsidRPr="001625B9" w:rsidRDefault="00755DF9" w:rsidP="001625B9">
      <w:pPr>
        <w:spacing w:after="120"/>
        <w:jc w:val="both"/>
      </w:pPr>
      <w:r w:rsidRPr="001625B9">
        <w:t xml:space="preserve">The proposed criterion clarifies why SSI </w:t>
      </w:r>
      <w:proofErr w:type="gramStart"/>
      <w:r w:rsidRPr="001625B9">
        <w:t>cannot be classified</w:t>
      </w:r>
      <w:proofErr w:type="gramEnd"/>
      <w:r w:rsidRPr="001625B9">
        <w:t xml:space="preserve"> as beneficial or detrimental without specifying the performance measure. A reduction in base shear may coexist with an increase in total displacement because foundation translation and rocking contribute directly to displacement demand. Similar caution appears in practical SSI guidance and site-response studies, where period elongation, foundation damping and kinematic filtering interact with spectral shape and structural performance objectives (Kim and Stewart, 2003; Aviles and Perez-Rocha, 2003; </w:t>
      </w:r>
      <w:proofErr w:type="spellStart"/>
      <w:r w:rsidRPr="001625B9">
        <w:t>Pitilakis</w:t>
      </w:r>
      <w:proofErr w:type="spellEnd"/>
      <w:r w:rsidRPr="001625B9">
        <w:t xml:space="preserve"> et al., 2008; </w:t>
      </w:r>
      <w:proofErr w:type="spellStart"/>
      <w:r w:rsidRPr="001625B9">
        <w:t>Kausel</w:t>
      </w:r>
      <w:proofErr w:type="spellEnd"/>
      <w:r w:rsidRPr="001625B9">
        <w:t>, 2010; Givens et al., 2016).</w:t>
      </w:r>
    </w:p>
    <w:p w:rsidR="00755DF9" w:rsidRPr="001625B9" w:rsidRDefault="00755DF9" w:rsidP="001625B9">
      <w:pPr>
        <w:spacing w:after="120"/>
        <w:jc w:val="both"/>
      </w:pPr>
      <w:r w:rsidRPr="001625B9">
        <w:t xml:space="preserve">The formulation is intentionally compact. Its main use is preliminary screening, parametric interpretation and identification of cases where fixed-base analysis may be misleading. Detailed performance assessment of important structures still requires more refined SSI models, soil nonlinearity, radiation damping, multi-degree-of-freedom structural </w:t>
      </w:r>
      <w:proofErr w:type="spellStart"/>
      <w:r w:rsidRPr="001625B9">
        <w:t>behavior</w:t>
      </w:r>
      <w:proofErr w:type="spellEnd"/>
      <w:r w:rsidRPr="001625B9">
        <w:t xml:space="preserve"> and site-specific ground motions.</w:t>
      </w:r>
    </w:p>
    <w:p w:rsidR="00B530E8" w:rsidRDefault="00E6320B">
      <w:pPr>
        <w:pStyle w:val="Heading2"/>
      </w:pPr>
      <w:r>
        <w:t>8.1 Linear continuum-to-reduced-order solver consistency envelope</w:t>
      </w:r>
    </w:p>
    <w:p w:rsidR="00B530E8" w:rsidRDefault="00E6320B">
      <w:pPr>
        <w:jc w:val="both"/>
      </w:pPr>
      <w:r>
        <w:t xml:space="preserve">To test whether the proposed dimensionless parameter remains consistent when foundation flexibility </w:t>
      </w:r>
      <w:proofErr w:type="gramStart"/>
      <w:r>
        <w:t>is obtained</w:t>
      </w:r>
      <w:proofErr w:type="gramEnd"/>
      <w:r>
        <w:t xml:space="preserve"> from a continuum model, an additional dual-solver validation envelope was added to the supplementary materials. </w:t>
      </w:r>
      <w:proofErr w:type="spellStart"/>
      <w:r>
        <w:t>CalculiX</w:t>
      </w:r>
      <w:proofErr w:type="spellEnd"/>
      <w:r>
        <w:t xml:space="preserve"> 2.23 </w:t>
      </w:r>
      <w:proofErr w:type="gramStart"/>
      <w:r>
        <w:t>was used</w:t>
      </w:r>
      <w:proofErr w:type="gramEnd"/>
      <w:r>
        <w:t xml:space="preserve"> to compute linear-elastic translational and rocking </w:t>
      </w:r>
      <w:proofErr w:type="spellStart"/>
      <w:r>
        <w:t>stiffnesses</w:t>
      </w:r>
      <w:proofErr w:type="spellEnd"/>
      <w:r>
        <w:t xml:space="preserve"> for a rigid square foundation on a three-dimensional soil block. The soil cases used Vs = 150, 300 and 600 m/s with B = 12 m; a medium/fine mesh check for the reference case gave a maximum </w:t>
      </w:r>
      <w:r>
        <w:lastRenderedPageBreak/>
        <w:t>symmetric stiffness change of 9.66%, while the rocking change is 10.15% when referenced only to the fine-mesh value.</w:t>
      </w:r>
    </w:p>
    <w:p w:rsidR="00B530E8" w:rsidRDefault="00E6320B">
      <w:pPr>
        <w:jc w:val="both"/>
      </w:pPr>
      <w:r>
        <w:t xml:space="preserve">The resulting FE-based horizontal and rocking stiffness values </w:t>
      </w:r>
      <w:proofErr w:type="gramStart"/>
      <w:r>
        <w:t>were passed</w:t>
      </w:r>
      <w:proofErr w:type="gramEnd"/>
      <w:r>
        <w:t xml:space="preserve"> to an </w:t>
      </w:r>
      <w:proofErr w:type="spellStart"/>
      <w:r>
        <w:t>OpenSeesPy</w:t>
      </w:r>
      <w:proofErr w:type="spellEnd"/>
      <w:r>
        <w:t xml:space="preserve"> reduced-order SDOF model. Across 27 record/case combinations, the </w:t>
      </w:r>
      <w:proofErr w:type="spellStart"/>
      <w:r>
        <w:t>OpenSees</w:t>
      </w:r>
      <w:proofErr w:type="spellEnd"/>
      <w:r>
        <w:t xml:space="preserve"> modal period matched the reduced expression for flexible-to-fixed period elongation within numerical precision. This supports the internal consistency of the flexibility-based period-elongation relationship when the foundation </w:t>
      </w:r>
      <w:proofErr w:type="spellStart"/>
      <w:r>
        <w:t>stiffnesses</w:t>
      </w:r>
      <w:proofErr w:type="spellEnd"/>
      <w:r>
        <w:t xml:space="preserve"> </w:t>
      </w:r>
      <w:proofErr w:type="gramStart"/>
      <w:r>
        <w:t>are obtained</w:t>
      </w:r>
      <w:proofErr w:type="gramEnd"/>
      <w:r>
        <w:t xml:space="preserve"> from an independent continuum solver.</w:t>
      </w:r>
    </w:p>
    <w:p w:rsidR="00B530E8" w:rsidRDefault="00E6320B">
      <w:pPr>
        <w:jc w:val="both"/>
      </w:pPr>
      <w:proofErr w:type="spellStart"/>
      <w:r>
        <w:t>Code_Aster</w:t>
      </w:r>
      <w:proofErr w:type="spellEnd"/>
      <w:r>
        <w:t xml:space="preserve"> 17.4 was retained as a locked blind </w:t>
      </w:r>
      <w:proofErr w:type="gramStart"/>
      <w:r>
        <w:t>cross-check</w:t>
      </w:r>
      <w:proofErr w:type="gramEnd"/>
      <w:r>
        <w:t xml:space="preserve">: hashes of the </w:t>
      </w:r>
      <w:proofErr w:type="spellStart"/>
      <w:r>
        <w:t>CalculiX</w:t>
      </w:r>
      <w:proofErr w:type="spellEnd"/>
      <w:r>
        <w:t xml:space="preserve"> and </w:t>
      </w:r>
      <w:proofErr w:type="spellStart"/>
      <w:r>
        <w:t>OpenSees</w:t>
      </w:r>
      <w:proofErr w:type="spellEnd"/>
      <w:r>
        <w:t xml:space="preserve"> outputs were stored before any cross-solver comparison. Therefore, this evidence </w:t>
      </w:r>
      <w:proofErr w:type="gramStart"/>
      <w:r>
        <w:t>is best described</w:t>
      </w:r>
      <w:proofErr w:type="gramEnd"/>
      <w:r>
        <w:t xml:space="preserve"> as a reproducible linear validation envelope and solver-chain check. It is </w:t>
      </w:r>
      <w:proofErr w:type="gramStart"/>
      <w:r>
        <w:t>not a nonlinear</w:t>
      </w:r>
      <w:proofErr w:type="gramEnd"/>
      <w:r>
        <w:t xml:space="preserve"> site-specific three-dimensional SSI validation and does not convert the criterion into a calibrated design rule.</w:t>
      </w:r>
    </w:p>
    <w:p w:rsidR="00B530E8" w:rsidRDefault="00E6320B">
      <w:pPr>
        <w:pStyle w:val="Heading2"/>
      </w:pPr>
      <w:r>
        <w:t>8.2 External field SFSI benchmark traceability and validation targets</w:t>
      </w:r>
    </w:p>
    <w:p w:rsidR="00B530E8" w:rsidRDefault="00E6320B">
      <w:pPr>
        <w:jc w:val="both"/>
      </w:pPr>
      <w:r>
        <w:t xml:space="preserve">To separate internal solver verification from external benchmark traceability, a field-benchmark source layer </w:t>
      </w:r>
      <w:proofErr w:type="gramStart"/>
      <w:r>
        <w:t>was added</w:t>
      </w:r>
      <w:proofErr w:type="gramEnd"/>
      <w:r>
        <w:t xml:space="preserve"> to the supplement. Garner Valley SFSI/GVDA is used as the primary field SSI benchmark source because the public UCSB facility pages document a reconfigurable steel-frame structure on a rigid slab, active roof-shaker experiments, passive earthquake monitoring, downhole/free-field instrumentation, geotechnical logs, velocity profiles and water-table context (NEES@UCSB, </w:t>
      </w:r>
      <w:proofErr w:type="spellStart"/>
      <w:r>
        <w:t>n.d.</w:t>
      </w:r>
      <w:proofErr w:type="spellEnd"/>
      <w:r>
        <w:t xml:space="preserve">; accessed 27 May 2026; </w:t>
      </w:r>
      <w:proofErr w:type="spellStart"/>
      <w:r>
        <w:t>Tileylioglu</w:t>
      </w:r>
      <w:proofErr w:type="spellEnd"/>
      <w:r>
        <w:t xml:space="preserve"> et al., 2011). This evidence </w:t>
      </w:r>
      <w:proofErr w:type="gramStart"/>
      <w:r>
        <w:t>is used</w:t>
      </w:r>
      <w:proofErr w:type="gramEnd"/>
      <w:r>
        <w:t xml:space="preserve"> as field benchmark traceability rather than as proof of nonlinear earthquake SSI.</w:t>
      </w:r>
    </w:p>
    <w:p w:rsidR="00B530E8" w:rsidRDefault="00E6320B">
      <w:pPr>
        <w:jc w:val="both"/>
      </w:pPr>
      <w:proofErr w:type="spellStart"/>
      <w:r>
        <w:t>EuroProteas</w:t>
      </w:r>
      <w:proofErr w:type="spellEnd"/>
      <w:r>
        <w:t>/</w:t>
      </w:r>
      <w:proofErr w:type="spellStart"/>
      <w:r>
        <w:t>Euroseistest</w:t>
      </w:r>
      <w:proofErr w:type="spellEnd"/>
      <w:r>
        <w:t xml:space="preserve"> ERIES-GISIS </w:t>
      </w:r>
      <w:proofErr w:type="gramStart"/>
      <w:r>
        <w:t>was screened</w:t>
      </w:r>
      <w:proofErr w:type="gramEnd"/>
      <w:r>
        <w:t xml:space="preserve"> as a possible modern full-scale SFSI benchmark source, but it is not used as a positive validation layer in the submitted evidence hierarchy. ERIES-RESPOND and ERIES-POLIS remain secondary controlled-dynamic support where processed summaries are available, while </w:t>
      </w:r>
      <w:proofErr w:type="spellStart"/>
      <w:r>
        <w:t>FoRDy</w:t>
      </w:r>
      <w:proofErr w:type="spellEnd"/>
      <w:r>
        <w:t>/</w:t>
      </w:r>
      <w:proofErr w:type="spellStart"/>
      <w:r>
        <w:t>FoRCy</w:t>
      </w:r>
      <w:proofErr w:type="spellEnd"/>
      <w:r>
        <w:t xml:space="preserve"> provide the primary experimental proxy-validation layer and Garner Valley remains a falsification/instrumentation audit.</w:t>
      </w:r>
    </w:p>
    <w:p w:rsidR="00B530E8" w:rsidRDefault="00E6320B">
      <w:pPr>
        <w:jc w:val="both"/>
      </w:pPr>
      <w:r>
        <w:lastRenderedPageBreak/>
        <w:t xml:space="preserve">The supplement now reports a source inventory, offline/online acquisition-status tables, a field-benchmark gap matrix, Garner Valley impedance-target mapping and </w:t>
      </w:r>
      <w:proofErr w:type="spellStart"/>
      <w:r>
        <w:t>EuroProteas</w:t>
      </w:r>
      <w:proofErr w:type="spellEnd"/>
      <w:r>
        <w:t xml:space="preserve"> transfer-target mapping. The defensible claim is therefore external field SFSI benchmark traceability and validation targets. It does not claim completed controlled dynamic field-SFSI validation or nonlinear 3D earthquake site-specific SSI validation unless future event-record extraction and sensor-level residuals support that stronger claim.</w:t>
      </w:r>
    </w:p>
    <w:p w:rsidR="00B530E8" w:rsidRDefault="00E6320B">
      <w:pPr>
        <w:pStyle w:val="Heading2"/>
      </w:pPr>
      <w:r>
        <w:t>8.3 Implications for earthquake engineering practice</w:t>
      </w:r>
    </w:p>
    <w:p w:rsidR="00B530E8" w:rsidRDefault="00E6320B">
      <w:pPr>
        <w:jc w:val="both"/>
      </w:pPr>
      <w:r>
        <w:t xml:space="preserve">The proposed criterion is most useful as a pre-analysis screening tool. It can flag cases in which flexible-foundation period lengthening may reduce base-shear demand while increasing total displacement demand. The robustness rule uses </w:t>
      </w:r>
      <w:proofErr w:type="gramStart"/>
      <w:r>
        <w:t>min(</w:t>
      </w:r>
      <w:proofErr w:type="gramEnd"/>
      <w:r>
        <w:t xml:space="preserve">|ln Rᵥ|, |ln </w:t>
      </w:r>
      <w:proofErr w:type="spellStart"/>
      <w:r>
        <w:t>Rδ,total</w:t>
      </w:r>
      <w:proofErr w:type="spellEnd"/>
      <w:r>
        <w:t xml:space="preserve">|) relative to an uncertainty allowance before treating a case as decisively beneficial, mixed or detrimental. Cases near a boundary, cases with high spectral curvature, or cases with large uncertainty in χ </w:t>
      </w:r>
      <w:proofErr w:type="gramStart"/>
      <w:r>
        <w:t>should not be interpreted</w:t>
      </w:r>
      <w:proofErr w:type="gramEnd"/>
      <w:r>
        <w:t xml:space="preserve"> as automatically beneficial SSI cases. Instead, they should trigger </w:t>
      </w:r>
      <w:proofErr w:type="gramStart"/>
      <w:r>
        <w:t>more detailed checks of drift, foundation rotation, kinematic interaction, foundation uplift or sliding where relevant, and site-specific spectral shape</w:t>
      </w:r>
      <w:proofErr w:type="gramEnd"/>
      <w:r>
        <w:t>. Ground-motion processing and spectral-shape interpretation are treated consistently with strong-motion simulation, processing and database guidance (</w:t>
      </w:r>
      <w:proofErr w:type="spellStart"/>
      <w:r>
        <w:t>Boore</w:t>
      </w:r>
      <w:proofErr w:type="spellEnd"/>
      <w:r>
        <w:t xml:space="preserve">, 2003; </w:t>
      </w:r>
      <w:proofErr w:type="spellStart"/>
      <w:r>
        <w:t>Boore</w:t>
      </w:r>
      <w:proofErr w:type="spellEnd"/>
      <w:r>
        <w:t xml:space="preserve"> and </w:t>
      </w:r>
      <w:proofErr w:type="spellStart"/>
      <w:r>
        <w:t>Bommer</w:t>
      </w:r>
      <w:proofErr w:type="spellEnd"/>
      <w:r>
        <w:t>, 2005; Ancheta et al., 2014).</w:t>
      </w:r>
    </w:p>
    <w:p w:rsidR="00B530E8" w:rsidRDefault="00E6320B">
      <w:pPr>
        <w:pStyle w:val="Heading2"/>
      </w:pPr>
      <w:r>
        <w:t>8.4 SSI Demand-Polarity workflow for practice</w:t>
      </w:r>
    </w:p>
    <w:p w:rsidR="00B530E8" w:rsidRDefault="00E6320B">
      <w:pPr>
        <w:jc w:val="both"/>
      </w:pPr>
      <w:r>
        <w:t xml:space="preserve">The practical workflow is intentionally short. First, estimate the fixed-base period Tₛ and the flexible-foundation period Tₛₛᵢ from a simplified impedance model, an FE stiffness extraction or an accepted design approximation. Second, compute λ = Tₛₛᵢ/Tₛ and η = λ² - 1. Third, use a local spectral slope for Level 1 screening when only preliminary spectral information is available. Fourth, when a design spectrum or record spectrum is available, compute the secant slope nₛₑc = </w:t>
      </w:r>
      <w:proofErr w:type="gramStart"/>
      <w:r>
        <w:t>ln(</w:t>
      </w:r>
      <w:proofErr w:type="gramEnd"/>
      <w:r>
        <w:t xml:space="preserve">Sa(Tₛₛᵢ)/Sa(Tₛ)) / ln(Tₛₛᵢ/Tₛ). Fifth, evaluate Rᵥ, </w:t>
      </w:r>
      <w:proofErr w:type="spellStart"/>
      <w:r>
        <w:t>Rδ</w:t>
      </w:r>
      <w:proofErr w:type="gramStart"/>
      <w:r>
        <w:t>,total</w:t>
      </w:r>
      <w:proofErr w:type="spellEnd"/>
      <w:proofErr w:type="gramEnd"/>
      <w:r>
        <w:t xml:space="preserve"> and </w:t>
      </w:r>
      <w:proofErr w:type="spellStart"/>
      <w:r>
        <w:t>Mmix</w:t>
      </w:r>
      <w:proofErr w:type="spellEnd"/>
      <w:r>
        <w:t xml:space="preserve">, then classify the case as both beneficial, mixed force-beneficial/displacement-detrimental, or both detrimental. Its screening role </w:t>
      </w:r>
      <w:proofErr w:type="gramStart"/>
      <w:r>
        <w:t>is aligned</w:t>
      </w:r>
      <w:proofErr w:type="gramEnd"/>
      <w:r>
        <w:t xml:space="preserve"> with design-code and practice documents that </w:t>
      </w:r>
      <w:r>
        <w:lastRenderedPageBreak/>
        <w:t xml:space="preserve">treat SSI as a </w:t>
      </w:r>
      <w:proofErr w:type="spellStart"/>
      <w:r>
        <w:t>modeling</w:t>
      </w:r>
      <w:proofErr w:type="spellEnd"/>
      <w:r>
        <w:t xml:space="preserve"> decision requiring bounded assumptions rather than an automatic benefit (ASCE/SEI, 2022; CEN, 2004; FEMA, 2020; NIST, 2012).</w:t>
      </w:r>
    </w:p>
    <w:p w:rsidR="00B530E8" w:rsidRDefault="00E6320B">
      <w:pPr>
        <w:jc w:val="both"/>
      </w:pPr>
      <w:r>
        <w:t xml:space="preserve">Cases in the mixed zone, cases with positive divergence margin, and cases with high </w:t>
      </w:r>
      <w:r w:rsidR="00AF2D23" w:rsidRPr="00AF2D23">
        <w:t>C</w:t>
      </w:r>
      <w:r w:rsidR="00AF2D23" w:rsidRPr="00AF2D23">
        <w:rPr>
          <w:vertAlign w:val="subscript"/>
        </w:rPr>
        <w:t>n</w:t>
      </w:r>
      <w:r>
        <w:t xml:space="preserve"> should trigger detailed SSI checks rather than a force-only beneficial interpretation. The follow-up analysis should examine drift, foundation rotation, kinematic interaction, uplift or sliding where relevant, nonlinear soil response and site-specific spectral shape.</w:t>
      </w:r>
    </w:p>
    <w:p w:rsidR="009C1914" w:rsidRDefault="001D6813">
      <w:pPr>
        <w:pStyle w:val="Heading2"/>
      </w:pPr>
      <w:r>
        <w:t>8.5 Validation and claim-boundary summary</w:t>
      </w:r>
    </w:p>
    <w:p w:rsidR="009C1914" w:rsidRDefault="001D6813">
      <w:pPr>
        <w:jc w:val="both"/>
      </w:pPr>
      <w:r>
        <w:t xml:space="preserve">The validation strategy is deliberately claim-bounded. </w:t>
      </w:r>
      <w:proofErr w:type="spellStart"/>
      <w:r>
        <w:t>FoRDy</w:t>
      </w:r>
      <w:proofErr w:type="spellEnd"/>
      <w:r>
        <w:t>/</w:t>
      </w:r>
      <w:proofErr w:type="spellStart"/>
      <w:r>
        <w:t>FoRCy</w:t>
      </w:r>
      <w:proofErr w:type="spellEnd"/>
      <w:r>
        <w:t xml:space="preserve"> provide experimental proxy-class validation for the force-displacement/rocking polarity map; an independent predictive proxy layer tests conservative class screening using pre-response descriptors; FLIQ is used as an external false-safe audit for settlement/rotation penalties; and Garner Valley is retained as a validation-falsification audit because the available sensor subset did not pass instrumental and predictive gates. Extended tables, failure-mode details, guardrail analyses and secondary figures </w:t>
      </w:r>
      <w:proofErr w:type="gramStart"/>
      <w:r>
        <w:t>are provided</w:t>
      </w:r>
      <w:proofErr w:type="gramEnd"/>
      <w:r>
        <w:t xml:space="preserve"> in Supplementary Material Section S5.</w:t>
      </w:r>
    </w:p>
    <w:p w:rsidR="009C1914" w:rsidRDefault="001D6813">
      <w:pPr>
        <w:keepNext/>
        <w:jc w:val="center"/>
      </w:pPr>
      <w:r>
        <w:t>Table 11. Claim-bounded validation evidence retained in the shortened main manuscript.</w:t>
      </w:r>
    </w:p>
    <w:tbl>
      <w:tblPr>
        <w:tblStyle w:val="PlainTable2"/>
        <w:tblW w:w="0" w:type="auto"/>
        <w:jc w:val="center"/>
        <w:tblLook w:val="04A0" w:firstRow="1" w:lastRow="0" w:firstColumn="1" w:lastColumn="0" w:noHBand="0" w:noVBand="1"/>
      </w:tblPr>
      <w:tblGrid>
        <w:gridCol w:w="1728"/>
        <w:gridCol w:w="1728"/>
        <w:gridCol w:w="2083"/>
        <w:gridCol w:w="1728"/>
        <w:gridCol w:w="1894"/>
      </w:tblGrid>
      <w:tr w:rsidR="009C1914" w:rsidTr="009C1914">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rsidR="009C1914" w:rsidRDefault="001D6813">
            <w:r>
              <w:rPr>
                <w:sz w:val="20"/>
              </w:rPr>
              <w:t>Evidence layer</w:t>
            </w:r>
          </w:p>
        </w:tc>
        <w:tc>
          <w:tcPr>
            <w:tcW w:w="1728" w:type="dxa"/>
            <w:vAlign w:val="center"/>
          </w:tcPr>
          <w:p w:rsidR="009C1914" w:rsidRDefault="001D6813">
            <w:pPr>
              <w:cnfStyle w:val="100000000000" w:firstRow="1" w:lastRow="0" w:firstColumn="0" w:lastColumn="0" w:oddVBand="0" w:evenVBand="0" w:oddHBand="0" w:evenHBand="0" w:firstRowFirstColumn="0" w:firstRowLastColumn="0" w:lastRowFirstColumn="0" w:lastRowLastColumn="0"/>
            </w:pPr>
            <w:r>
              <w:rPr>
                <w:sz w:val="20"/>
              </w:rPr>
              <w:t>Dataset or source</w:t>
            </w:r>
          </w:p>
        </w:tc>
        <w:tc>
          <w:tcPr>
            <w:tcW w:w="1728" w:type="dxa"/>
            <w:vAlign w:val="center"/>
          </w:tcPr>
          <w:p w:rsidR="009C1914" w:rsidRDefault="001D6813">
            <w:pPr>
              <w:cnfStyle w:val="100000000000" w:firstRow="1" w:lastRow="0" w:firstColumn="0" w:lastColumn="0" w:oddVBand="0" w:evenVBand="0" w:oddHBand="0" w:evenHBand="0" w:firstRowFirstColumn="0" w:firstRowLastColumn="0" w:lastRowFirstColumn="0" w:lastRowLastColumn="0"/>
            </w:pPr>
            <w:r>
              <w:rPr>
                <w:sz w:val="20"/>
              </w:rPr>
              <w:t>Main metric</w:t>
            </w:r>
          </w:p>
        </w:tc>
        <w:tc>
          <w:tcPr>
            <w:tcW w:w="1728" w:type="dxa"/>
            <w:vAlign w:val="center"/>
          </w:tcPr>
          <w:p w:rsidR="009C1914" w:rsidRDefault="001D6813">
            <w:pPr>
              <w:cnfStyle w:val="100000000000" w:firstRow="1" w:lastRow="0" w:firstColumn="0" w:lastColumn="0" w:oddVBand="0" w:evenVBand="0" w:oddHBand="0" w:evenHBand="0" w:firstRowFirstColumn="0" w:firstRowLastColumn="0" w:lastRowFirstColumn="0" w:lastRowLastColumn="0"/>
            </w:pPr>
            <w:r>
              <w:rPr>
                <w:sz w:val="20"/>
              </w:rPr>
              <w:t>Result</w:t>
            </w:r>
          </w:p>
        </w:tc>
        <w:tc>
          <w:tcPr>
            <w:tcW w:w="1728" w:type="dxa"/>
            <w:vAlign w:val="center"/>
          </w:tcPr>
          <w:p w:rsidR="009C1914" w:rsidRDefault="001D6813">
            <w:pPr>
              <w:cnfStyle w:val="100000000000" w:firstRow="1" w:lastRow="0" w:firstColumn="0" w:lastColumn="0" w:oddVBand="0" w:evenVBand="0" w:oddHBand="0" w:evenHBand="0" w:firstRowFirstColumn="0" w:firstRowLastColumn="0" w:lastRowFirstColumn="0" w:lastRowLastColumn="0"/>
            </w:pPr>
            <w:r>
              <w:rPr>
                <w:sz w:val="20"/>
              </w:rPr>
              <w:t>Claim supported</w:t>
            </w:r>
          </w:p>
        </w:tc>
      </w:tr>
      <w:tr w:rsidR="009C1914" w:rsidTr="009C19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rsidR="009C1914" w:rsidRDefault="001D6813">
            <w:r>
              <w:rPr>
                <w:b w:val="0"/>
                <w:sz w:val="20"/>
              </w:rPr>
              <w:t>Experimental proxy validation</w:t>
            </w:r>
          </w:p>
        </w:tc>
        <w:tc>
          <w:tcPr>
            <w:tcW w:w="1728" w:type="dxa"/>
            <w:vAlign w:val="center"/>
          </w:tcPr>
          <w:p w:rsidR="009C1914" w:rsidRDefault="001D6813">
            <w:pPr>
              <w:cnfStyle w:val="000000100000" w:firstRow="0" w:lastRow="0" w:firstColumn="0" w:lastColumn="0" w:oddVBand="0" w:evenVBand="0" w:oddHBand="1" w:evenHBand="0" w:firstRowFirstColumn="0" w:firstRowLastColumn="0" w:lastRowFirstColumn="0" w:lastRowLastColumn="0"/>
            </w:pPr>
            <w:proofErr w:type="spellStart"/>
            <w:r>
              <w:rPr>
                <w:sz w:val="20"/>
              </w:rPr>
              <w:t>FoRDy</w:t>
            </w:r>
            <w:proofErr w:type="spellEnd"/>
            <w:r>
              <w:rPr>
                <w:sz w:val="20"/>
              </w:rPr>
              <w:t>/</w:t>
            </w:r>
            <w:proofErr w:type="spellStart"/>
            <w:r>
              <w:rPr>
                <w:sz w:val="20"/>
              </w:rPr>
              <w:t>FoRCy</w:t>
            </w:r>
            <w:proofErr w:type="spellEnd"/>
          </w:p>
        </w:tc>
        <w:tc>
          <w:tcPr>
            <w:tcW w:w="1728" w:type="dxa"/>
            <w:vAlign w:val="center"/>
          </w:tcPr>
          <w:p w:rsidR="009C1914" w:rsidRDefault="001D6813">
            <w:pPr>
              <w:cnfStyle w:val="000000100000" w:firstRow="0" w:lastRow="0" w:firstColumn="0" w:lastColumn="0" w:oddVBand="0" w:evenVBand="0" w:oddHBand="1" w:evenHBand="0" w:firstRowFirstColumn="0" w:firstRowLastColumn="0" w:lastRowFirstColumn="0" w:lastRowLastColumn="0"/>
            </w:pPr>
            <w:r>
              <w:rPr>
                <w:sz w:val="20"/>
              </w:rPr>
              <w:t>Combined false-safe</w:t>
            </w:r>
          </w:p>
        </w:tc>
        <w:tc>
          <w:tcPr>
            <w:tcW w:w="1728" w:type="dxa"/>
            <w:vAlign w:val="center"/>
          </w:tcPr>
          <w:p w:rsidR="009C1914" w:rsidRDefault="001D6813">
            <w:pPr>
              <w:cnfStyle w:val="000000100000" w:firstRow="0" w:lastRow="0" w:firstColumn="0" w:lastColumn="0" w:oddVBand="0" w:evenVBand="0" w:oddHBand="1" w:evenHBand="0" w:firstRowFirstColumn="0" w:firstRowLastColumn="0" w:lastRowFirstColumn="0" w:lastRowLastColumn="0"/>
            </w:pPr>
            <w:r>
              <w:rPr>
                <w:sz w:val="20"/>
              </w:rPr>
              <w:t>2.2%</w:t>
            </w:r>
          </w:p>
        </w:tc>
        <w:tc>
          <w:tcPr>
            <w:tcW w:w="1728" w:type="dxa"/>
            <w:vAlign w:val="center"/>
          </w:tcPr>
          <w:p w:rsidR="009C1914" w:rsidRDefault="001D6813">
            <w:pPr>
              <w:cnfStyle w:val="000000100000" w:firstRow="0" w:lastRow="0" w:firstColumn="0" w:lastColumn="0" w:oddVBand="0" w:evenVBand="0" w:oddHBand="1" w:evenHBand="0" w:firstRowFirstColumn="0" w:firstRowLastColumn="0" w:lastRowFirstColumn="0" w:lastRowLastColumn="0"/>
            </w:pPr>
            <w:r>
              <w:rPr>
                <w:sz w:val="20"/>
              </w:rPr>
              <w:t>Class-level proxy validation</w:t>
            </w:r>
          </w:p>
        </w:tc>
      </w:tr>
      <w:tr w:rsidR="009C1914" w:rsidTr="009C1914">
        <w:trPr>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rsidR="009C1914" w:rsidRDefault="001D6813">
            <w:r>
              <w:rPr>
                <w:b w:val="0"/>
                <w:sz w:val="20"/>
              </w:rPr>
              <w:t>Predictive proxy screening</w:t>
            </w:r>
          </w:p>
        </w:tc>
        <w:tc>
          <w:tcPr>
            <w:tcW w:w="1728" w:type="dxa"/>
            <w:vAlign w:val="center"/>
          </w:tcPr>
          <w:p w:rsidR="009C1914" w:rsidRDefault="001D6813">
            <w:pPr>
              <w:cnfStyle w:val="000000000000" w:firstRow="0" w:lastRow="0" w:firstColumn="0" w:lastColumn="0" w:oddVBand="0" w:evenVBand="0" w:oddHBand="0" w:evenHBand="0" w:firstRowFirstColumn="0" w:firstRowLastColumn="0" w:lastRowFirstColumn="0" w:lastRowLastColumn="0"/>
            </w:pPr>
            <w:proofErr w:type="spellStart"/>
            <w:r>
              <w:rPr>
                <w:sz w:val="20"/>
              </w:rPr>
              <w:t>FoRDy</w:t>
            </w:r>
            <w:proofErr w:type="spellEnd"/>
            <w:r>
              <w:rPr>
                <w:sz w:val="20"/>
              </w:rPr>
              <w:t>/</w:t>
            </w:r>
            <w:proofErr w:type="spellStart"/>
            <w:r>
              <w:rPr>
                <w:sz w:val="20"/>
              </w:rPr>
              <w:t>FoRCy</w:t>
            </w:r>
            <w:proofErr w:type="spellEnd"/>
            <w:r>
              <w:rPr>
                <w:sz w:val="20"/>
              </w:rPr>
              <w:t xml:space="preserve"> subset</w:t>
            </w:r>
          </w:p>
        </w:tc>
        <w:tc>
          <w:tcPr>
            <w:tcW w:w="1728" w:type="dxa"/>
            <w:vAlign w:val="center"/>
          </w:tcPr>
          <w:p w:rsidR="009C1914" w:rsidRDefault="001D6813">
            <w:pPr>
              <w:cnfStyle w:val="000000000000" w:firstRow="0" w:lastRow="0" w:firstColumn="0" w:lastColumn="0" w:oddVBand="0" w:evenVBand="0" w:oddHBand="0" w:evenHBand="0" w:firstRowFirstColumn="0" w:firstRowLastColumn="0" w:lastRowFirstColumn="0" w:lastRowLastColumn="0"/>
            </w:pPr>
            <w:r>
              <w:rPr>
                <w:sz w:val="20"/>
              </w:rPr>
              <w:t>False-safe / mixed recall</w:t>
            </w:r>
          </w:p>
        </w:tc>
        <w:tc>
          <w:tcPr>
            <w:tcW w:w="1728" w:type="dxa"/>
            <w:vAlign w:val="center"/>
          </w:tcPr>
          <w:p w:rsidR="009C1914" w:rsidRDefault="001D6813">
            <w:pPr>
              <w:cnfStyle w:val="000000000000" w:firstRow="0" w:lastRow="0" w:firstColumn="0" w:lastColumn="0" w:oddVBand="0" w:evenVBand="0" w:oddHBand="0" w:evenHBand="0" w:firstRowFirstColumn="0" w:firstRowLastColumn="0" w:lastRowFirstColumn="0" w:lastRowLastColumn="0"/>
            </w:pPr>
            <w:r>
              <w:rPr>
                <w:sz w:val="20"/>
              </w:rPr>
              <w:t>5.67% / 89.6%</w:t>
            </w:r>
          </w:p>
        </w:tc>
        <w:tc>
          <w:tcPr>
            <w:tcW w:w="1728" w:type="dxa"/>
            <w:vAlign w:val="center"/>
          </w:tcPr>
          <w:p w:rsidR="009C1914" w:rsidRDefault="001D6813">
            <w:pPr>
              <w:cnfStyle w:val="000000000000" w:firstRow="0" w:lastRow="0" w:firstColumn="0" w:lastColumn="0" w:oddVBand="0" w:evenVBand="0" w:oddHBand="0" w:evenHBand="0" w:firstRowFirstColumn="0" w:firstRowLastColumn="0" w:lastRowFirstColumn="0" w:lastRowLastColumn="0"/>
            </w:pPr>
            <w:r>
              <w:rPr>
                <w:sz w:val="20"/>
              </w:rPr>
              <w:t>Conservative predictive class screening</w:t>
            </w:r>
          </w:p>
        </w:tc>
      </w:tr>
      <w:tr w:rsidR="009C1914" w:rsidTr="009C19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rsidR="009C1914" w:rsidRDefault="001D6813">
            <w:r>
              <w:rPr>
                <w:b w:val="0"/>
                <w:sz w:val="20"/>
              </w:rPr>
              <w:t>Failure-mode guardrails</w:t>
            </w:r>
          </w:p>
        </w:tc>
        <w:tc>
          <w:tcPr>
            <w:tcW w:w="1728" w:type="dxa"/>
            <w:vAlign w:val="center"/>
          </w:tcPr>
          <w:p w:rsidR="009C1914" w:rsidRDefault="001D6813">
            <w:pPr>
              <w:cnfStyle w:val="000000100000" w:firstRow="0" w:lastRow="0" w:firstColumn="0" w:lastColumn="0" w:oddVBand="0" w:evenVBand="0" w:oddHBand="1" w:evenHBand="0" w:firstRowFirstColumn="0" w:firstRowLastColumn="0" w:lastRowFirstColumn="0" w:lastRowLastColumn="0"/>
            </w:pPr>
            <w:proofErr w:type="spellStart"/>
            <w:r>
              <w:rPr>
                <w:sz w:val="20"/>
              </w:rPr>
              <w:t>FoRDy</w:t>
            </w:r>
            <w:proofErr w:type="spellEnd"/>
            <w:r>
              <w:rPr>
                <w:sz w:val="20"/>
              </w:rPr>
              <w:t>/</w:t>
            </w:r>
            <w:proofErr w:type="spellStart"/>
            <w:r>
              <w:rPr>
                <w:sz w:val="20"/>
              </w:rPr>
              <w:t>FoRCy</w:t>
            </w:r>
            <w:proofErr w:type="spellEnd"/>
          </w:p>
        </w:tc>
        <w:tc>
          <w:tcPr>
            <w:tcW w:w="1728" w:type="dxa"/>
            <w:vAlign w:val="center"/>
          </w:tcPr>
          <w:p w:rsidR="009C1914" w:rsidRDefault="001D6813">
            <w:pPr>
              <w:cnfStyle w:val="000000100000" w:firstRow="0" w:lastRow="0" w:firstColumn="0" w:lastColumn="0" w:oddVBand="0" w:evenVBand="0" w:oddHBand="1" w:evenHBand="0" w:firstRowFirstColumn="0" w:firstRowLastColumn="0" w:lastRowFirstColumn="0" w:lastRowLastColumn="0"/>
            </w:pPr>
            <w:r>
              <w:rPr>
                <w:sz w:val="20"/>
              </w:rPr>
              <w:t>False-safe releases</w:t>
            </w:r>
          </w:p>
        </w:tc>
        <w:tc>
          <w:tcPr>
            <w:tcW w:w="1728" w:type="dxa"/>
            <w:vAlign w:val="center"/>
          </w:tcPr>
          <w:p w:rsidR="009C1914" w:rsidRDefault="001D6813">
            <w:pPr>
              <w:cnfStyle w:val="000000100000" w:firstRow="0" w:lastRow="0" w:firstColumn="0" w:lastColumn="0" w:oddVBand="0" w:evenVBand="0" w:oddHBand="1" w:evenHBand="0" w:firstRowFirstColumn="0" w:firstRowLastColumn="0" w:lastRowFirstColumn="0" w:lastRowLastColumn="0"/>
            </w:pPr>
            <w:r>
              <w:rPr>
                <w:sz w:val="20"/>
              </w:rPr>
              <w:t>reduced under guardrails</w:t>
            </w:r>
          </w:p>
        </w:tc>
        <w:tc>
          <w:tcPr>
            <w:tcW w:w="1728" w:type="dxa"/>
            <w:vAlign w:val="center"/>
          </w:tcPr>
          <w:p w:rsidR="009C1914" w:rsidRDefault="001D6813">
            <w:pPr>
              <w:cnfStyle w:val="000000100000" w:firstRow="0" w:lastRow="0" w:firstColumn="0" w:lastColumn="0" w:oddVBand="0" w:evenVBand="0" w:oddHBand="1" w:evenHBand="0" w:firstRowFirstColumn="0" w:firstRowLastColumn="0" w:lastRowFirstColumn="0" w:lastRowLastColumn="0"/>
            </w:pPr>
            <w:r>
              <w:rPr>
                <w:sz w:val="20"/>
              </w:rPr>
              <w:t>Conservative escalation/abstention</w:t>
            </w:r>
          </w:p>
        </w:tc>
      </w:tr>
      <w:tr w:rsidR="009C1914" w:rsidTr="009C1914">
        <w:trPr>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rsidR="009C1914" w:rsidRDefault="001D6813">
            <w:r>
              <w:rPr>
                <w:b w:val="0"/>
                <w:sz w:val="20"/>
              </w:rPr>
              <w:t>External settlement audit</w:t>
            </w:r>
          </w:p>
        </w:tc>
        <w:tc>
          <w:tcPr>
            <w:tcW w:w="1728" w:type="dxa"/>
            <w:vAlign w:val="center"/>
          </w:tcPr>
          <w:p w:rsidR="009C1914" w:rsidRDefault="001D6813">
            <w:pPr>
              <w:cnfStyle w:val="000000000000" w:firstRow="0" w:lastRow="0" w:firstColumn="0" w:lastColumn="0" w:oddVBand="0" w:evenVBand="0" w:oddHBand="0" w:evenHBand="0" w:firstRowFirstColumn="0" w:firstRowLastColumn="0" w:lastRowFirstColumn="0" w:lastRowLastColumn="0"/>
            </w:pPr>
            <w:r>
              <w:rPr>
                <w:sz w:val="20"/>
              </w:rPr>
              <w:t>FLIQ</w:t>
            </w:r>
          </w:p>
        </w:tc>
        <w:tc>
          <w:tcPr>
            <w:tcW w:w="1728" w:type="dxa"/>
            <w:vAlign w:val="center"/>
          </w:tcPr>
          <w:p w:rsidR="009C1914" w:rsidRDefault="001D6813">
            <w:pPr>
              <w:cnfStyle w:val="000000000000" w:firstRow="0" w:lastRow="0" w:firstColumn="0" w:lastColumn="0" w:oddVBand="0" w:evenVBand="0" w:oddHBand="0" w:evenHBand="0" w:firstRowFirstColumn="0" w:firstRowLastColumn="0" w:lastRowFirstColumn="0" w:lastRowLastColumn="0"/>
            </w:pPr>
            <w:r>
              <w:rPr>
                <w:sz w:val="20"/>
              </w:rPr>
              <w:t>Guardrail false-safe</w:t>
            </w:r>
          </w:p>
        </w:tc>
        <w:tc>
          <w:tcPr>
            <w:tcW w:w="1728" w:type="dxa"/>
            <w:vAlign w:val="center"/>
          </w:tcPr>
          <w:p w:rsidR="009C1914" w:rsidRDefault="001D6813">
            <w:pPr>
              <w:cnfStyle w:val="000000000000" w:firstRow="0" w:lastRow="0" w:firstColumn="0" w:lastColumn="0" w:oddVBand="0" w:evenVBand="0" w:oddHBand="0" w:evenHBand="0" w:firstRowFirstColumn="0" w:firstRowLastColumn="0" w:lastRowFirstColumn="0" w:lastRowLastColumn="0"/>
            </w:pPr>
            <w:r>
              <w:rPr>
                <w:sz w:val="20"/>
              </w:rPr>
              <w:t>8.7%</w:t>
            </w:r>
          </w:p>
        </w:tc>
        <w:tc>
          <w:tcPr>
            <w:tcW w:w="1728" w:type="dxa"/>
            <w:vAlign w:val="center"/>
          </w:tcPr>
          <w:p w:rsidR="009C1914" w:rsidRDefault="001D6813">
            <w:pPr>
              <w:cnfStyle w:val="000000000000" w:firstRow="0" w:lastRow="0" w:firstColumn="0" w:lastColumn="0" w:oddVBand="0" w:evenVBand="0" w:oddHBand="0" w:evenHBand="0" w:firstRowFirstColumn="0" w:firstRowLastColumn="0" w:lastRowFirstColumn="0" w:lastRowLastColumn="0"/>
            </w:pPr>
            <w:r>
              <w:rPr>
                <w:sz w:val="20"/>
              </w:rPr>
              <w:t>External false-safe audit</w:t>
            </w:r>
          </w:p>
        </w:tc>
      </w:tr>
      <w:tr w:rsidR="009C1914" w:rsidTr="009C19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vAlign w:val="center"/>
          </w:tcPr>
          <w:p w:rsidR="009C1914" w:rsidRDefault="001D6813">
            <w:r>
              <w:rPr>
                <w:b w:val="0"/>
                <w:sz w:val="20"/>
              </w:rPr>
              <w:lastRenderedPageBreak/>
              <w:t>Field falsification</w:t>
            </w:r>
          </w:p>
        </w:tc>
        <w:tc>
          <w:tcPr>
            <w:tcW w:w="1728" w:type="dxa"/>
            <w:vAlign w:val="center"/>
          </w:tcPr>
          <w:p w:rsidR="009C1914" w:rsidRDefault="001D6813">
            <w:pPr>
              <w:cnfStyle w:val="000000100000" w:firstRow="0" w:lastRow="0" w:firstColumn="0" w:lastColumn="0" w:oddVBand="0" w:evenVBand="0" w:oddHBand="1" w:evenHBand="0" w:firstRowFirstColumn="0" w:firstRowLastColumn="0" w:lastRowFirstColumn="0" w:lastRowLastColumn="0"/>
            </w:pPr>
            <w:r>
              <w:rPr>
                <w:sz w:val="20"/>
              </w:rPr>
              <w:t>Garner Valley</w:t>
            </w:r>
          </w:p>
        </w:tc>
        <w:tc>
          <w:tcPr>
            <w:tcW w:w="1728" w:type="dxa"/>
            <w:vAlign w:val="center"/>
          </w:tcPr>
          <w:p w:rsidR="009C1914" w:rsidRDefault="001D6813">
            <w:pPr>
              <w:cnfStyle w:val="000000100000" w:firstRow="0" w:lastRow="0" w:firstColumn="0" w:lastColumn="0" w:oddVBand="0" w:evenVBand="0" w:oddHBand="1" w:evenHBand="0" w:firstRowFirstColumn="0" w:firstRowLastColumn="0" w:lastRowFirstColumn="0" w:lastRowLastColumn="0"/>
            </w:pPr>
            <w:r>
              <w:rPr>
                <w:sz w:val="20"/>
              </w:rPr>
              <w:t>Instrumental/predictive gates</w:t>
            </w:r>
          </w:p>
        </w:tc>
        <w:tc>
          <w:tcPr>
            <w:tcW w:w="1728" w:type="dxa"/>
            <w:vAlign w:val="center"/>
          </w:tcPr>
          <w:p w:rsidR="009C1914" w:rsidRDefault="001D6813">
            <w:pPr>
              <w:cnfStyle w:val="000000100000" w:firstRow="0" w:lastRow="0" w:firstColumn="0" w:lastColumn="0" w:oddVBand="0" w:evenVBand="0" w:oddHBand="1" w:evenHBand="0" w:firstRowFirstColumn="0" w:firstRowLastColumn="0" w:lastRowFirstColumn="0" w:lastRowLastColumn="0"/>
            </w:pPr>
            <w:r>
              <w:rPr>
                <w:sz w:val="20"/>
              </w:rPr>
              <w:t>not passed</w:t>
            </w:r>
          </w:p>
        </w:tc>
        <w:tc>
          <w:tcPr>
            <w:tcW w:w="1728" w:type="dxa"/>
            <w:vAlign w:val="center"/>
          </w:tcPr>
          <w:p w:rsidR="009C1914" w:rsidRDefault="001D6813">
            <w:pPr>
              <w:cnfStyle w:val="000000100000" w:firstRow="0" w:lastRow="0" w:firstColumn="0" w:lastColumn="0" w:oddVBand="0" w:evenVBand="0" w:oddHBand="1" w:evenHBand="0" w:firstRowFirstColumn="0" w:firstRowLastColumn="0" w:lastRowFirstColumn="0" w:lastRowLastColumn="0"/>
            </w:pPr>
            <w:r>
              <w:rPr>
                <w:sz w:val="20"/>
              </w:rPr>
              <w:t>No nonlinear 3D validation claim</w:t>
            </w:r>
          </w:p>
        </w:tc>
      </w:tr>
    </w:tbl>
    <w:p w:rsidR="009C1914" w:rsidRDefault="001D6813">
      <w:pPr>
        <w:jc w:val="both"/>
      </w:pPr>
      <w:r>
        <w:t>Accordingly, the article claims predictive class screening and experimental proxy-class validation. It does not claim nonlinear three-dimensional SSI response-history validation or independent prediction of complete sensor histories.</w:t>
      </w:r>
    </w:p>
    <w:p w:rsidR="00881253" w:rsidRDefault="006D48C7" w:rsidP="001A58DF">
      <w:pPr>
        <w:pStyle w:val="Heading2"/>
      </w:pPr>
      <w:r>
        <w:t>8.6 Scope and claim boundaries</w:t>
      </w:r>
    </w:p>
    <w:p w:rsidR="00884B43" w:rsidRPr="001625B9" w:rsidRDefault="00D52E97" w:rsidP="001625B9">
      <w:pPr>
        <w:spacing w:before="120" w:after="120"/>
        <w:jc w:val="both"/>
      </w:pPr>
      <w:r>
        <w:t xml:space="preserve">The proposed method is a seismic SSI predictive class-screening criterion with a deliberately restricted domain. The mathematical results are exact only within the stated linear SDOF-equivalent spectral framework with η ≥ 0, λ ≥ 1, χ &gt; 0, positive spectral ordinates and an admissible symmetric positive-semidefinite foundation compliance matrix. Detailed nonlinear MDOF drift, uplift, sliding, pore-pressure generation and three-dimensional foundation response remain follow-up analyses for cases flagged as mixed, detrimental or uncertain. The local formulation is a first-order approximation to the secant formulation; its error </w:t>
      </w:r>
      <w:proofErr w:type="gramStart"/>
      <w:r>
        <w:t>is controlled</w:t>
      </w:r>
      <w:proofErr w:type="gramEnd"/>
      <w:r>
        <w:t xml:space="preserve"> by spectral curvature over the interval from Tₛ to Tₛₛᵢ, not by period shift alone. The need for such bounded screening is consistent with established cautions on foundation impedance idealization, soil nonlinearity and SSI model selection (</w:t>
      </w:r>
      <w:proofErr w:type="spellStart"/>
      <w:r>
        <w:t>Gazetas</w:t>
      </w:r>
      <w:proofErr w:type="spellEnd"/>
      <w:r>
        <w:t xml:space="preserve">, 1983; Wolf and </w:t>
      </w:r>
      <w:proofErr w:type="spellStart"/>
      <w:r>
        <w:t>Deeks</w:t>
      </w:r>
      <w:proofErr w:type="spellEnd"/>
      <w:r>
        <w:t>, 2004). Related nonlinear and practice-oriented assessment frameworks also motivate keeping screening separate from detailed performance assessment (FEMA, 2005).</w:t>
      </w:r>
    </w:p>
    <w:p w:rsidR="006C4118" w:rsidRDefault="00D07F1C">
      <w:pPr>
        <w:jc w:val="both"/>
      </w:pPr>
      <w:r>
        <w:t xml:space="preserve">The external evidence </w:t>
      </w:r>
      <w:proofErr w:type="gramStart"/>
      <w:r>
        <w:t>is therefore used</w:t>
      </w:r>
      <w:proofErr w:type="gramEnd"/>
      <w:r>
        <w:t xml:space="preserve"> in two tiers. Zhang and Far (2024) provide a quantitative consistency mapping because their published natural-period and force-ratio relationships allow flexibility and force-ratio cases to be computed reproducibly; their text and figures also report amplified inter-storey drift, although exact case-level drift ratios are not tabulated. Yang et al. and Tao et al. provide qualitative consistency evidence about the mixed beneficial/detrimental interpretation of SSI.</w:t>
      </w:r>
    </w:p>
    <w:p w:rsidR="00881253" w:rsidRDefault="006D48C7" w:rsidP="002A1247">
      <w:pPr>
        <w:pStyle w:val="Heading1"/>
      </w:pPr>
      <w:r>
        <w:lastRenderedPageBreak/>
        <w:t>9 Conclusions</w:t>
      </w:r>
    </w:p>
    <w:p w:rsidR="00E62C7D" w:rsidRPr="001625B9" w:rsidRDefault="00E62C7D" w:rsidP="001625B9">
      <w:pPr>
        <w:spacing w:after="120"/>
        <w:jc w:val="both"/>
        <w:rPr>
          <w:rFonts w:eastAsiaTheme="minorHAnsi"/>
          <w:szCs w:val="22"/>
        </w:rPr>
      </w:pPr>
      <w:r>
        <w:t>This article formulated an SSI Demand-Polarity Map for evaluating when flexible-foundation period lengthening improves or deteriorates different components of seismic demand. The central closed-form result is that the mixed force-beneficial/displacement-detrimental regime is bounded by 1</w:t>
      </w:r>
      <w:proofErr w:type="gramStart"/>
      <w:r>
        <w:t>/(</w:t>
      </w:r>
      <w:proofErr w:type="gramEnd"/>
      <w:r>
        <w:t xml:space="preserve">1 + η) &lt; Rᵥ &lt; 1. Equivalently, when the force ratio is written as Rᵥ = χ λⁿˢ, the mixed regime satisfies -2 - </w:t>
      </w:r>
      <w:proofErr w:type="gramStart"/>
      <w:r>
        <w:t>ln(</w:t>
      </w:r>
      <w:proofErr w:type="gramEnd"/>
      <w:r>
        <w:t xml:space="preserve">χ)/ln(λ) &lt; nₛ &lt; -ln(χ)/ln(λ); for the unmodified case χ = 1, this reduces to -2 &lt; nₛ &lt; 0. The final evidence layer adds executed </w:t>
      </w:r>
      <w:proofErr w:type="spellStart"/>
      <w:r>
        <w:t>FoRDy</w:t>
      </w:r>
      <w:proofErr w:type="spellEnd"/>
      <w:r>
        <w:t>/</w:t>
      </w:r>
      <w:proofErr w:type="spellStart"/>
      <w:r>
        <w:t>FoRCy</w:t>
      </w:r>
      <w:proofErr w:type="spellEnd"/>
      <w:r>
        <w:t xml:space="preserve"> experimental proxy validation from public </w:t>
      </w:r>
      <w:proofErr w:type="spellStart"/>
      <w:r>
        <w:t>DesignSafe</w:t>
      </w:r>
      <w:proofErr w:type="spellEnd"/>
      <w:r>
        <w:t xml:space="preserve"> rocking-foundation </w:t>
      </w:r>
      <w:proofErr w:type="spellStart"/>
      <w:r>
        <w:t>mastersheets</w:t>
      </w:r>
      <w:proofErr w:type="spellEnd"/>
      <w:r>
        <w:t>, yielding 591 classified rows and a combined false-safe rate of 2.2%, while explicitly preserving the limitation that the validation is class-level and proxy-based.</w:t>
      </w:r>
    </w:p>
    <w:p w:rsidR="00BF7867" w:rsidRDefault="00AF2D23">
      <w:pPr>
        <w:jc w:val="both"/>
      </w:pPr>
      <w:r>
        <w:t xml:space="preserve">The numerical evidence supports this bounded interpretation. The internal verification sweep, direct spectral consistency check, expanded synthetic spectral stress </w:t>
      </w:r>
      <w:proofErr w:type="gramStart"/>
      <w:r>
        <w:t>test,</w:t>
      </w:r>
      <w:proofErr w:type="gramEnd"/>
      <w:r>
        <w:t xml:space="preserve"> external mapping, methodological gates, </w:t>
      </w:r>
      <w:proofErr w:type="spellStart"/>
      <w:r>
        <w:t>FoRDy</w:t>
      </w:r>
      <w:proofErr w:type="spellEnd"/>
      <w:r>
        <w:t>/</w:t>
      </w:r>
      <w:proofErr w:type="spellStart"/>
      <w:r>
        <w:t>FoRCy</w:t>
      </w:r>
      <w:proofErr w:type="spellEnd"/>
      <w:r>
        <w:t xml:space="preserve"> proxy validation, independent predictive screening, decision-value audit and failure-mode guardrail audit are consistent with the conclusion that flexible foundations can reduce force demand while increasing displacement-sensitive response. The decision-value audit adds a risk-aware interpretation: relative to an optimistic force-only rule, the map reduces false-safe screening decisions by 94.1% in the </w:t>
      </w:r>
      <w:proofErr w:type="spellStart"/>
      <w:r>
        <w:t>FoRDy</w:t>
      </w:r>
      <w:proofErr w:type="spellEnd"/>
      <w:r>
        <w:t>/</w:t>
      </w:r>
      <w:proofErr w:type="spellStart"/>
      <w:r>
        <w:t>FoRCy</w:t>
      </w:r>
      <w:proofErr w:type="spellEnd"/>
      <w:r>
        <w:t xml:space="preserve"> proxy layer. The failure-mode atlas further shows that the remaining </w:t>
      </w:r>
      <w:proofErr w:type="gramStart"/>
      <w:r>
        <w:t>false-safe</w:t>
      </w:r>
      <w:proofErr w:type="gramEnd"/>
      <w:r>
        <w:t xml:space="preserve"> releases concentrate in low-margin beneficial predictions; a map-derived margin guardrail eliminates the observed false-safe releases at 3.85% abstention/escalation cost. The subsequent Garner Valley audit </w:t>
      </w:r>
      <w:proofErr w:type="gramStart"/>
      <w:r>
        <w:t>is retained</w:t>
      </w:r>
      <w:proofErr w:type="gramEnd"/>
      <w:r>
        <w:t xml:space="preserve"> as negative evidence, rejecting the current </w:t>
      </w:r>
      <w:proofErr w:type="spellStart"/>
      <w:r>
        <w:t>OpenSeesPy</w:t>
      </w:r>
      <w:proofErr w:type="spellEnd"/>
      <w:r>
        <w:t xml:space="preserve"> Garner implementation under blind waveform, FRF, phase, polarity and auxiliary-sensor gates. The article therefore claims a reproducible protocol, an experimentally supported proxy classification map and risk-aware screening safeguards, </w:t>
      </w:r>
      <w:proofErr w:type="gramStart"/>
      <w:r>
        <w:t>not a successfully validated nonlinear</w:t>
      </w:r>
      <w:proofErr w:type="gramEnd"/>
      <w:r>
        <w:t xml:space="preserve"> 3D site-specific Garner Valley simulation. The FLIQ audit adds an independent liquefaction-oriented check showing that apparent acceleration-side benefit can hide settlement/rotation penalties, further supporting the false-safe framing of the screening criterion.</w:t>
      </w:r>
    </w:p>
    <w:p w:rsidR="00E01150" w:rsidRDefault="00E01150">
      <w:pPr>
        <w:jc w:val="both"/>
      </w:pPr>
      <w:r>
        <w:t xml:space="preserve">The most distinctive practical contribution is therefore </w:t>
      </w:r>
      <w:proofErr w:type="gramStart"/>
      <w:r>
        <w:t>not</w:t>
      </w:r>
      <w:proofErr w:type="gramEnd"/>
      <w:r>
        <w:t xml:space="preserve"> a </w:t>
      </w:r>
      <w:proofErr w:type="gramStart"/>
      <w:r>
        <w:t>larger</w:t>
      </w:r>
      <w:proofErr w:type="gramEnd"/>
      <w:r>
        <w:t xml:space="preserve"> numerical model, but a falsification-aware release rule for SSI screening: force reduction is not treated as safe unless the displacement-side </w:t>
      </w:r>
      <w:r>
        <w:lastRenderedPageBreak/>
        <w:t xml:space="preserve">evidence also clears the map and guardrail checks. This closes the scientific gap targeted in the introduction: a conservative, closed-form screening layer connecting period lengthening, </w:t>
      </w:r>
      <w:proofErr w:type="gramStart"/>
      <w:r>
        <w:t>spectral</w:t>
      </w:r>
      <w:proofErr w:type="gramEnd"/>
      <w:r>
        <w:t xml:space="preserve"> slope, force reduction and displacement/rocking penalty with explicit false-safe metrics.</w:t>
      </w:r>
    </w:p>
    <w:p w:rsidR="00E01150" w:rsidRDefault="00E01150" w:rsidP="00E01150">
      <w:pPr>
        <w:pStyle w:val="Heading1"/>
      </w:pPr>
      <w:r>
        <w:t>Data availability statement</w:t>
      </w:r>
    </w:p>
    <w:p w:rsidR="00BF7867" w:rsidRDefault="00AF2D23">
      <w:pPr>
        <w:jc w:val="both"/>
      </w:pPr>
      <w:r>
        <w:t xml:space="preserve">The verification scripts, spectral checks, stress-test outputs, external mapping tables, </w:t>
      </w:r>
      <w:proofErr w:type="spellStart"/>
      <w:r>
        <w:t>FoRDy</w:t>
      </w:r>
      <w:proofErr w:type="spellEnd"/>
      <w:r>
        <w:t>/</w:t>
      </w:r>
      <w:proofErr w:type="spellStart"/>
      <w:r>
        <w:t>FoRCy</w:t>
      </w:r>
      <w:proofErr w:type="spellEnd"/>
      <w:r>
        <w:t xml:space="preserve"> </w:t>
      </w:r>
      <w:proofErr w:type="spellStart"/>
      <w:r>
        <w:t>mastersheets</w:t>
      </w:r>
      <w:proofErr w:type="spellEnd"/>
      <w:r>
        <w:t xml:space="preserve">, proxy-validation metrics, false-safe audit, threshold-sensitivity audit, independent predictive screening outputs, decision-value audit tables, failure-mode guardrail audit, FLIQ false-safe audit and figures are available in the submitted </w:t>
      </w:r>
      <w:r w:rsidR="00E01150">
        <w:t>demand_polarity_map_v40_submission_reproducible</w:t>
      </w:r>
      <w:r>
        <w:t xml:space="preserve"> package and public repository (</w:t>
      </w:r>
      <w:hyperlink r:id="rId11">
        <w:r>
          <w:rPr>
            <w:color w:val="0563C1"/>
            <w:u w:val="single"/>
          </w:rPr>
          <w:t>https://github.com/gabrielmontufar/a-dimensionless-criterion-for-supplementary</w:t>
        </w:r>
      </w:hyperlink>
      <w:r>
        <w:t xml:space="preserve">, tag </w:t>
      </w:r>
      <w:r w:rsidR="00E01150">
        <w:t>demand-polarity-map-v40-submission-reproducible</w:t>
      </w:r>
      <w:r>
        <w:t>).</w:t>
      </w:r>
    </w:p>
    <w:p w:rsidR="00BF7867" w:rsidRDefault="00AF2D23">
      <w:pPr>
        <w:jc w:val="both"/>
      </w:pPr>
      <w:r>
        <w:t xml:space="preserve">Garner Valley remains a validation-falsification and instrumentation-audit case; </w:t>
      </w:r>
      <w:proofErr w:type="spellStart"/>
      <w:r>
        <w:t>FoRDy</w:t>
      </w:r>
      <w:proofErr w:type="spellEnd"/>
      <w:r>
        <w:t>/</w:t>
      </w:r>
      <w:proofErr w:type="spellStart"/>
      <w:r>
        <w:t>FoRCy</w:t>
      </w:r>
      <w:proofErr w:type="spellEnd"/>
      <w:r>
        <w:t xml:space="preserve"> are the primary experimental proxy-validation layer, with FLIQ, decision-value and failure-mode guardrail analyses used as secondary risk-aware screening audits. No nonlinear 3D site-specific field-validation claim </w:t>
      </w:r>
      <w:proofErr w:type="gramStart"/>
      <w:r>
        <w:t>is made</w:t>
      </w:r>
      <w:proofErr w:type="gramEnd"/>
      <w:r>
        <w:t>.</w:t>
      </w:r>
    </w:p>
    <w:p w:rsidR="00BF7867" w:rsidRDefault="00AF2D23">
      <w:pPr>
        <w:jc w:val="both"/>
      </w:pPr>
      <w:r>
        <w:t xml:space="preserve">Large third-party raw archives </w:t>
      </w:r>
      <w:proofErr w:type="gramStart"/>
      <w:r>
        <w:t>are not redistributed</w:t>
      </w:r>
      <w:proofErr w:type="gramEnd"/>
      <w:r>
        <w:t xml:space="preserve"> when dataset licenses or practical size constraints make repository bundling inappropriate. The supplement instead provides source URLs, DOI/license or rights status, acquisition manifests, hashes where applicable and claim boundaries.</w:t>
      </w:r>
    </w:p>
    <w:p w:rsidR="00881253" w:rsidRDefault="006D48C7" w:rsidP="00C11273">
      <w:pPr>
        <w:pStyle w:val="Heading1"/>
      </w:pPr>
      <w:r>
        <w:t>Code availability</w:t>
      </w:r>
    </w:p>
    <w:p w:rsidR="00881253" w:rsidRDefault="006D48C7">
      <w:pPr>
        <w:jc w:val="both"/>
      </w:pPr>
      <w:r>
        <w:t xml:space="preserve">The public repository separates fast checks, offline reproduction and optional online metadata refresh. For the </w:t>
      </w:r>
      <w:proofErr w:type="gramStart"/>
      <w:r>
        <w:t>whole</w:t>
      </w:r>
      <w:proofErr w:type="gramEnd"/>
      <w:r>
        <w:t xml:space="preserve"> supplementary package, run `python scripts/quick_check.py`. For the experimental validation layer, run `python scripts/quick_check.py` to verify packaged outputs without </w:t>
      </w:r>
      <w:proofErr w:type="spellStart"/>
      <w:r>
        <w:t>recomputation</w:t>
      </w:r>
      <w:proofErr w:type="spellEnd"/>
      <w:r>
        <w:t xml:space="preserve">, `python validation/experimental_database_validation/reproduce_experimental_validation.py` to regenerate </w:t>
      </w:r>
      <w:proofErr w:type="spellStart"/>
      <w:r>
        <w:t>FoRDy</w:t>
      </w:r>
      <w:proofErr w:type="spellEnd"/>
      <w:r>
        <w:t>/</w:t>
      </w:r>
      <w:proofErr w:type="spellStart"/>
      <w:r>
        <w:t>FoRCy</w:t>
      </w:r>
      <w:proofErr w:type="spellEnd"/>
      <w:r>
        <w:t xml:space="preserve"> metrics from bundled </w:t>
      </w:r>
      <w:proofErr w:type="spellStart"/>
      <w:r>
        <w:t>mastersheets</w:t>
      </w:r>
      <w:proofErr w:type="spellEnd"/>
      <w:r>
        <w:t xml:space="preserve">, and `optional online metadata-refresh scripts` only </w:t>
      </w:r>
      <w:r>
        <w:lastRenderedPageBreak/>
        <w:t xml:space="preserve">when refreshing public web metadata. The online refresh is not required to reproduce the reported </w:t>
      </w:r>
      <w:proofErr w:type="spellStart"/>
      <w:r>
        <w:t>FoRDy</w:t>
      </w:r>
      <w:proofErr w:type="spellEnd"/>
      <w:r>
        <w:t>/</w:t>
      </w:r>
      <w:proofErr w:type="spellStart"/>
      <w:r>
        <w:t>FoRCy</w:t>
      </w:r>
      <w:proofErr w:type="spellEnd"/>
      <w:r>
        <w:t xml:space="preserve"> results.</w:t>
      </w:r>
    </w:p>
    <w:p w:rsidR="00AF2D23" w:rsidRDefault="00AF2D23" w:rsidP="002A1247">
      <w:pPr>
        <w:pStyle w:val="Heading1"/>
      </w:pPr>
      <w:r>
        <w:t>Supplementary material</w:t>
      </w:r>
    </w:p>
    <w:p w:rsidR="00AF2D23" w:rsidRDefault="00AF2D23" w:rsidP="00C07FCD">
      <w:pPr>
        <w:jc w:val="both"/>
      </w:pPr>
      <w:r>
        <w:t xml:space="preserve">The complete supplementary material, including reproducibility scripts, packaged outputs, external literature consistency audit files, traceability tables and generated figures, is provided in the submitted </w:t>
      </w:r>
      <w:r w:rsidR="00E01150">
        <w:t>demand_polarity_map_v40_submission_reproducible</w:t>
      </w:r>
      <w:r>
        <w:t xml:space="preserve"> package and in the public GitHub repository: </w:t>
      </w:r>
      <w:hyperlink r:id="rId12">
        <w:r>
          <w:rPr>
            <w:color w:val="0563C1"/>
            <w:u w:val="single"/>
          </w:rPr>
          <w:t>https://github.com/gabrielmontufar/a-dimensionless-criterion-for-supplementary</w:t>
        </w:r>
      </w:hyperlink>
      <w:r>
        <w:t xml:space="preserve"> (tag </w:t>
      </w:r>
      <w:r w:rsidR="00E01150">
        <w:t>demand-polarity-map-v40-submission-reproducible</w:t>
      </w:r>
      <w:r>
        <w:t>).</w:t>
      </w:r>
    </w:p>
    <w:p w:rsidR="00AF2D23" w:rsidRDefault="00AF2D23" w:rsidP="002A1247">
      <w:pPr>
        <w:pStyle w:val="Heading1"/>
      </w:pPr>
    </w:p>
    <w:p w:rsidR="009C1914" w:rsidRDefault="001D6813">
      <w:pPr>
        <w:jc w:val="both"/>
      </w:pPr>
      <w:r>
        <w:rPr>
          <w:b/>
        </w:rPr>
        <w:t>Statements and Declarations</w:t>
      </w:r>
    </w:p>
    <w:p w:rsidR="00E01150" w:rsidRDefault="00E01150">
      <w:pPr>
        <w:jc w:val="both"/>
        <w:rPr>
          <w:b/>
        </w:rPr>
      </w:pPr>
      <w:r>
        <w:rPr>
          <w:b/>
        </w:rPr>
        <w:t xml:space="preserve">Funding details: </w:t>
      </w:r>
      <w:r w:rsidRPr="00C731F8">
        <w:t>This research received no specific grant from any funding agency in the public, commercial, or not-for-profit sectors</w:t>
      </w:r>
      <w:r w:rsidR="00C731F8">
        <w:rPr>
          <w:b/>
        </w:rPr>
        <w:t>.</w:t>
      </w:r>
    </w:p>
    <w:p w:rsidR="00E01150" w:rsidRPr="00C731F8" w:rsidRDefault="00E01150">
      <w:pPr>
        <w:jc w:val="both"/>
      </w:pPr>
      <w:r>
        <w:rPr>
          <w:b/>
        </w:rPr>
        <w:t xml:space="preserve">Disclosure statement: </w:t>
      </w:r>
      <w:r w:rsidRPr="00C731F8">
        <w:t>The author reports there are no competing interests to declare.</w:t>
      </w:r>
    </w:p>
    <w:p w:rsidR="009C1914" w:rsidRDefault="001D6813">
      <w:pPr>
        <w:jc w:val="both"/>
      </w:pPr>
      <w:r>
        <w:rPr>
          <w:b/>
        </w:rPr>
        <w:t>Author contribution statement:</w:t>
      </w:r>
      <w:r>
        <w:t xml:space="preserve"> G.J.M.C. conceived the study, developed the methodology, implemented the computational scripts, performed the formal analysis, verification, spectral consistency checks, external qualitative consistency checks and external quantitative consistency mapping, prepared the figures and tables, wrote the original manuscript draft, and reviewed and edited the final manuscript.</w:t>
      </w:r>
    </w:p>
    <w:p w:rsidR="009C1914" w:rsidRDefault="001D6813">
      <w:pPr>
        <w:jc w:val="both"/>
      </w:pPr>
      <w:r>
        <w:rPr>
          <w:b/>
        </w:rPr>
        <w:t>Generative AI and AI-assisted technologies:</w:t>
      </w:r>
      <w:r>
        <w:t xml:space="preserve"> Generative artificial intelligence tools </w:t>
      </w:r>
      <w:proofErr w:type="gramStart"/>
      <w:r>
        <w:t>were used</w:t>
      </w:r>
      <w:proofErr w:type="gramEnd"/>
      <w:r>
        <w:t xml:space="preserve"> to support language editing, organization and formatting. The author reviewed, verified and takes responsibility for the final content.</w:t>
      </w:r>
    </w:p>
    <w:p w:rsidR="005F2B6C" w:rsidRPr="001625B9" w:rsidRDefault="002066B3" w:rsidP="002A1247">
      <w:pPr>
        <w:pStyle w:val="Heading1"/>
      </w:pPr>
      <w:r w:rsidRPr="001625B9">
        <w:t>References</w:t>
      </w:r>
    </w:p>
    <w:p w:rsidR="00AF2D23" w:rsidRDefault="00AF2D23" w:rsidP="008B49BD">
      <w:pPr>
        <w:ind w:left="720" w:hanging="630"/>
        <w:jc w:val="both"/>
      </w:pPr>
      <w:proofErr w:type="spellStart"/>
      <w:r>
        <w:t>Allmond</w:t>
      </w:r>
      <w:proofErr w:type="spellEnd"/>
      <w:r>
        <w:t xml:space="preserve">, J., </w:t>
      </w:r>
      <w:proofErr w:type="spellStart"/>
      <w:r>
        <w:t>Kutter</w:t>
      </w:r>
      <w:proofErr w:type="spellEnd"/>
      <w:r>
        <w:t xml:space="preserve">, B., Bray, J., and Hayden, C. (2015). FLIQ-Foundation and Ground Performance in Liquefaction Experiments. </w:t>
      </w:r>
      <w:proofErr w:type="spellStart"/>
      <w:r>
        <w:t>DesignSafe</w:t>
      </w:r>
      <w:proofErr w:type="spellEnd"/>
      <w:r>
        <w:t xml:space="preserve">-CI. </w:t>
      </w:r>
      <w:hyperlink r:id="rId13">
        <w:r w:rsidRPr="008B49BD">
          <w:rPr>
            <w:color w:val="0563C1"/>
            <w:u w:val="single"/>
          </w:rPr>
          <w:t>https://doi.org/10.4231/D3M61BQ73</w:t>
        </w:r>
      </w:hyperlink>
    </w:p>
    <w:p w:rsidR="00AF2D23" w:rsidRDefault="00AF2D23" w:rsidP="008B49BD">
      <w:pPr>
        <w:ind w:left="720" w:hanging="630"/>
        <w:jc w:val="both"/>
      </w:pPr>
      <w:r>
        <w:lastRenderedPageBreak/>
        <w:t xml:space="preserve">Ancheta, T. D., </w:t>
      </w:r>
      <w:proofErr w:type="spellStart"/>
      <w:r>
        <w:t>Darragh</w:t>
      </w:r>
      <w:proofErr w:type="spellEnd"/>
      <w:r>
        <w:t xml:space="preserve">, R. B., Stewart, J. P., </w:t>
      </w:r>
      <w:proofErr w:type="spellStart"/>
      <w:r>
        <w:t>Seyhan</w:t>
      </w:r>
      <w:proofErr w:type="spellEnd"/>
      <w:r>
        <w:t xml:space="preserve">, E., Silva, W. J., </w:t>
      </w:r>
      <w:proofErr w:type="spellStart"/>
      <w:r>
        <w:t>Chiou</w:t>
      </w:r>
      <w:proofErr w:type="spellEnd"/>
      <w:r>
        <w:t xml:space="preserve">, B. S.-J., </w:t>
      </w:r>
      <w:proofErr w:type="spellStart"/>
      <w:r>
        <w:t>Wooddell</w:t>
      </w:r>
      <w:proofErr w:type="spellEnd"/>
      <w:r>
        <w:t xml:space="preserve">, K. E., Graves, R. W., </w:t>
      </w:r>
      <w:proofErr w:type="spellStart"/>
      <w:r>
        <w:t>Kottke</w:t>
      </w:r>
      <w:proofErr w:type="spellEnd"/>
      <w:r>
        <w:t xml:space="preserve">, A. R., </w:t>
      </w:r>
      <w:proofErr w:type="spellStart"/>
      <w:r>
        <w:t>Boore</w:t>
      </w:r>
      <w:proofErr w:type="spellEnd"/>
      <w:r>
        <w:t xml:space="preserve">, D. M., </w:t>
      </w:r>
      <w:proofErr w:type="spellStart"/>
      <w:r>
        <w:t>Kishida</w:t>
      </w:r>
      <w:proofErr w:type="spellEnd"/>
      <w:r>
        <w:t xml:space="preserve">, T., and Donahue, J. L. (2014). NGA-West2 database. Earthquake Spectra, 30(3), 989-1005. </w:t>
      </w:r>
      <w:hyperlink r:id="rId14">
        <w:r w:rsidRPr="008B49BD">
          <w:rPr>
            <w:color w:val="0563C1"/>
            <w:u w:val="single"/>
          </w:rPr>
          <w:t>https://doi.org/10.1193/070913EQS197M</w:t>
        </w:r>
      </w:hyperlink>
    </w:p>
    <w:p w:rsidR="00AF2D23" w:rsidRDefault="00AF2D23" w:rsidP="008B49BD">
      <w:pPr>
        <w:ind w:left="720" w:hanging="630"/>
        <w:jc w:val="both"/>
      </w:pPr>
      <w:proofErr w:type="spellStart"/>
      <w:r>
        <w:t>Ang</w:t>
      </w:r>
      <w:proofErr w:type="spellEnd"/>
      <w:r>
        <w:t xml:space="preserve">, A. H.-S., and Tang, W. H. (2007). Probability concepts in engineering: Emphasis on applications to civil and environmental engineering (2nd </w:t>
      </w:r>
      <w:proofErr w:type="gramStart"/>
      <w:r>
        <w:t>ed</w:t>
      </w:r>
      <w:proofErr w:type="gramEnd"/>
      <w:r>
        <w:t>.). Wiley.</w:t>
      </w:r>
    </w:p>
    <w:p w:rsidR="00AF2D23" w:rsidRDefault="00AF2D23" w:rsidP="008B49BD">
      <w:pPr>
        <w:ind w:left="720" w:hanging="630"/>
        <w:jc w:val="both"/>
      </w:pPr>
      <w:r>
        <w:t>ASCE/SEI. (2022). Minimum design loads and associated criteria for buildings and other structures (ASCE/SEI 7-22). American Society of Civil Engineers.</w:t>
      </w:r>
    </w:p>
    <w:p w:rsidR="00AF2D23" w:rsidRDefault="00AF2D23" w:rsidP="008B49BD">
      <w:pPr>
        <w:ind w:left="720" w:hanging="630"/>
        <w:jc w:val="both"/>
      </w:pPr>
      <w:r>
        <w:t xml:space="preserve">Aviles, J., and Perez-Rocha, L. E. (2003). Soil-structure interaction in yielding systems. Earthquake Engineering and Structural Dynamics, 32, 1749-1771. </w:t>
      </w:r>
      <w:hyperlink r:id="rId15">
        <w:r w:rsidRPr="008B49BD">
          <w:rPr>
            <w:color w:val="0563C1"/>
            <w:u w:val="single"/>
          </w:rPr>
          <w:t>https://doi.org/10.1002/eqe.300</w:t>
        </w:r>
      </w:hyperlink>
    </w:p>
    <w:p w:rsidR="00AF2D23" w:rsidRDefault="00AF2D23" w:rsidP="008B49BD">
      <w:pPr>
        <w:ind w:left="720" w:hanging="630"/>
        <w:jc w:val="both"/>
      </w:pPr>
      <w:proofErr w:type="spellStart"/>
      <w:r>
        <w:t>Bielak</w:t>
      </w:r>
      <w:proofErr w:type="spellEnd"/>
      <w:r>
        <w:t xml:space="preserve">, J. (1975). Dynamic behaviour of structures with embedded foundations. Earthquake Engineering and Structural Dynamics, 3, 259-274. </w:t>
      </w:r>
      <w:hyperlink r:id="rId16">
        <w:r w:rsidRPr="008B49BD">
          <w:rPr>
            <w:color w:val="0563C1"/>
            <w:u w:val="single"/>
          </w:rPr>
          <w:t>https://doi.org/10.1002/eqe.4290030305</w:t>
        </w:r>
      </w:hyperlink>
    </w:p>
    <w:p w:rsidR="00AF2D23" w:rsidRDefault="00AF2D23" w:rsidP="008B49BD">
      <w:pPr>
        <w:ind w:left="720" w:hanging="630"/>
        <w:jc w:val="both"/>
      </w:pPr>
      <w:proofErr w:type="spellStart"/>
      <w:r>
        <w:t>Boore</w:t>
      </w:r>
      <w:proofErr w:type="spellEnd"/>
      <w:r>
        <w:t xml:space="preserve">, D. M. (2003). Simulation of ground motion using the stochastic method. Pure and Applied Geophysics, 160, 635-676. </w:t>
      </w:r>
      <w:hyperlink r:id="rId17">
        <w:r w:rsidRPr="008B49BD">
          <w:rPr>
            <w:color w:val="0563C1"/>
            <w:u w:val="single"/>
          </w:rPr>
          <w:t>https://doi.org/10.1007/PL00012553</w:t>
        </w:r>
      </w:hyperlink>
    </w:p>
    <w:p w:rsidR="00AF2D23" w:rsidRDefault="00AF2D23" w:rsidP="008B49BD">
      <w:pPr>
        <w:ind w:left="720" w:hanging="630"/>
        <w:jc w:val="both"/>
      </w:pPr>
      <w:proofErr w:type="spellStart"/>
      <w:r>
        <w:t>Boore</w:t>
      </w:r>
      <w:proofErr w:type="spellEnd"/>
      <w:r>
        <w:t xml:space="preserve">, D. M., and </w:t>
      </w:r>
      <w:proofErr w:type="spellStart"/>
      <w:r>
        <w:t>Bommer</w:t>
      </w:r>
      <w:proofErr w:type="spellEnd"/>
      <w:r>
        <w:t xml:space="preserve">, J. J. (2005). Processing of strong-motion </w:t>
      </w:r>
      <w:proofErr w:type="spellStart"/>
      <w:r>
        <w:t>accelerograms</w:t>
      </w:r>
      <w:proofErr w:type="spellEnd"/>
      <w:r>
        <w:t xml:space="preserve">: Needs, options and consequences. Soil Dynamics and Earthquake Engineering, 25, 93-115. </w:t>
      </w:r>
      <w:hyperlink r:id="rId18">
        <w:r w:rsidRPr="008B49BD">
          <w:rPr>
            <w:color w:val="0563C1"/>
            <w:u w:val="single"/>
          </w:rPr>
          <w:t>https://doi.org/10.1016/j.soildyn.2004.10.007</w:t>
        </w:r>
      </w:hyperlink>
    </w:p>
    <w:p w:rsidR="00AF2D23" w:rsidRDefault="00AF2D23" w:rsidP="008B49BD">
      <w:pPr>
        <w:ind w:left="720" w:hanging="630"/>
        <w:jc w:val="both"/>
      </w:pPr>
      <w:r>
        <w:t xml:space="preserve">CEN. (2004). </w:t>
      </w:r>
      <w:proofErr w:type="spellStart"/>
      <w:r>
        <w:t>Eurocode</w:t>
      </w:r>
      <w:proofErr w:type="spellEnd"/>
      <w:r>
        <w:t xml:space="preserve"> 8: Design of structures for earthquake resistance. European Committee for Standardization.</w:t>
      </w:r>
    </w:p>
    <w:p w:rsidR="00AF2D23" w:rsidRDefault="00AF2D23" w:rsidP="008B49BD">
      <w:pPr>
        <w:ind w:left="720" w:hanging="630"/>
        <w:jc w:val="both"/>
      </w:pPr>
      <w:r>
        <w:t xml:space="preserve">Chopra, A. K. (2017). Dynamics of structures: Theory and applications to earthquake engineering (5th </w:t>
      </w:r>
      <w:proofErr w:type="gramStart"/>
      <w:r>
        <w:t>ed</w:t>
      </w:r>
      <w:proofErr w:type="gramEnd"/>
      <w:r>
        <w:t>.). Pearson.</w:t>
      </w:r>
    </w:p>
    <w:p w:rsidR="00AF2D23" w:rsidRDefault="00AF2D23" w:rsidP="008B49BD">
      <w:pPr>
        <w:ind w:left="720" w:hanging="630"/>
        <w:jc w:val="both"/>
      </w:pPr>
      <w:r>
        <w:t xml:space="preserve">Clough, R. W., and </w:t>
      </w:r>
      <w:proofErr w:type="spellStart"/>
      <w:r>
        <w:t>Penzien</w:t>
      </w:r>
      <w:proofErr w:type="spellEnd"/>
      <w:r>
        <w:t xml:space="preserve">, J. (1993). Dynamics of structures (2nd </w:t>
      </w:r>
      <w:proofErr w:type="gramStart"/>
      <w:r>
        <w:t>ed</w:t>
      </w:r>
      <w:proofErr w:type="gramEnd"/>
      <w:r>
        <w:t>.). McGraw-Hill.</w:t>
      </w:r>
    </w:p>
    <w:p w:rsidR="00AF2D23" w:rsidRDefault="00AF2D23" w:rsidP="008B49BD">
      <w:pPr>
        <w:ind w:left="720" w:hanging="630"/>
        <w:jc w:val="both"/>
      </w:pPr>
      <w:proofErr w:type="spellStart"/>
      <w:r>
        <w:t>Dobry</w:t>
      </w:r>
      <w:proofErr w:type="spellEnd"/>
      <w:r>
        <w:t xml:space="preserve">, R., and </w:t>
      </w:r>
      <w:proofErr w:type="spellStart"/>
      <w:r>
        <w:t>Gazetas</w:t>
      </w:r>
      <w:proofErr w:type="spellEnd"/>
      <w:r>
        <w:t xml:space="preserve">, G. (1986). Dynamic response of arbitrarily shaped foundations. Journal of Geotechnical Engineering, 112(2), 109-135. </w:t>
      </w:r>
      <w:hyperlink r:id="rId19">
        <w:r w:rsidRPr="008B49BD">
          <w:rPr>
            <w:color w:val="0563C1"/>
            <w:u w:val="single"/>
          </w:rPr>
          <w:t>https://doi.org/10.1061/(ASCE)0733-9410(1986</w:t>
        </w:r>
      </w:hyperlink>
      <w:r w:rsidR="00BF73EE">
        <w:t>)112:2(109)</w:t>
      </w:r>
    </w:p>
    <w:p w:rsidR="00AF2D23" w:rsidRDefault="00AF2D23" w:rsidP="008B49BD">
      <w:pPr>
        <w:ind w:left="720" w:hanging="630"/>
        <w:jc w:val="both"/>
      </w:pPr>
      <w:proofErr w:type="spellStart"/>
      <w:r>
        <w:t>Elsabee</w:t>
      </w:r>
      <w:proofErr w:type="spellEnd"/>
      <w:r>
        <w:t xml:space="preserve">, F., and </w:t>
      </w:r>
      <w:proofErr w:type="spellStart"/>
      <w:r>
        <w:t>Morray</w:t>
      </w:r>
      <w:proofErr w:type="spellEnd"/>
      <w:r>
        <w:t xml:space="preserve">, J. P. (1977). Dynamic </w:t>
      </w:r>
      <w:proofErr w:type="spellStart"/>
      <w:r>
        <w:t>behavior</w:t>
      </w:r>
      <w:proofErr w:type="spellEnd"/>
      <w:r>
        <w:t xml:space="preserve"> of embedded foundations. Massachusetts Institute of Technology.</w:t>
      </w:r>
    </w:p>
    <w:p w:rsidR="00AF2D23" w:rsidRDefault="00AF2D23" w:rsidP="008B49BD">
      <w:pPr>
        <w:ind w:left="720" w:hanging="630"/>
        <w:jc w:val="both"/>
      </w:pPr>
      <w:r>
        <w:lastRenderedPageBreak/>
        <w:t xml:space="preserve">FEMA. (2005). Improvement of nonlinear static seismic analysis procedures (FEMA 440). Federal Emergency Management Agency. </w:t>
      </w:r>
      <w:hyperlink r:id="rId20">
        <w:r w:rsidRPr="008B49BD">
          <w:rPr>
            <w:color w:val="0563C1"/>
            <w:u w:val="single"/>
          </w:rPr>
          <w:t>https://www.fema.gov/sites/default/files/2020-07/fema_440.pdf</w:t>
        </w:r>
      </w:hyperlink>
    </w:p>
    <w:p w:rsidR="00AF2D23" w:rsidRDefault="00AF2D23" w:rsidP="008B49BD">
      <w:pPr>
        <w:ind w:left="720" w:hanging="630"/>
        <w:jc w:val="both"/>
      </w:pPr>
      <w:r>
        <w:t xml:space="preserve">FEMA. (2020). A practical guide to soil-structure interaction (FEMA P-2091). Federal Emergency Management Agency. </w:t>
      </w:r>
      <w:hyperlink r:id="rId21">
        <w:r w:rsidRPr="008B49BD">
          <w:rPr>
            <w:color w:val="0563C1"/>
            <w:u w:val="single"/>
          </w:rPr>
          <w:t>https://www.fema.gov/sites/default/files/documents/fema-p-2091-soil-structure-interaction.pdf</w:t>
        </w:r>
      </w:hyperlink>
    </w:p>
    <w:p w:rsidR="00AF2D23" w:rsidRDefault="00AF2D23" w:rsidP="008B49BD">
      <w:pPr>
        <w:ind w:left="720" w:hanging="630"/>
        <w:jc w:val="both"/>
      </w:pPr>
      <w:proofErr w:type="spellStart"/>
      <w:r>
        <w:t>Gavras</w:t>
      </w:r>
      <w:proofErr w:type="spellEnd"/>
      <w:r>
        <w:t xml:space="preserve">, A. G., </w:t>
      </w:r>
      <w:proofErr w:type="spellStart"/>
      <w:r>
        <w:t>Kutter</w:t>
      </w:r>
      <w:proofErr w:type="spellEnd"/>
      <w:r>
        <w:t xml:space="preserve">, B. L., </w:t>
      </w:r>
      <w:proofErr w:type="spellStart"/>
      <w:r>
        <w:t>Hakhamaneshi</w:t>
      </w:r>
      <w:proofErr w:type="spellEnd"/>
      <w:r>
        <w:t xml:space="preserve">, M., </w:t>
      </w:r>
      <w:proofErr w:type="spellStart"/>
      <w:r>
        <w:t>Gajan</w:t>
      </w:r>
      <w:proofErr w:type="spellEnd"/>
      <w:r>
        <w:t xml:space="preserve">, S., </w:t>
      </w:r>
      <w:proofErr w:type="spellStart"/>
      <w:r>
        <w:t>Tsatsis</w:t>
      </w:r>
      <w:proofErr w:type="spellEnd"/>
      <w:r>
        <w:t xml:space="preserve">, A., Sharma, K., Kohno, T., Deng, L., </w:t>
      </w:r>
      <w:proofErr w:type="spellStart"/>
      <w:r>
        <w:t>Anastasopoulos</w:t>
      </w:r>
      <w:proofErr w:type="spellEnd"/>
      <w:r>
        <w:t xml:space="preserve">, I., </w:t>
      </w:r>
      <w:proofErr w:type="spellStart"/>
      <w:r>
        <w:t>Gazetas</w:t>
      </w:r>
      <w:proofErr w:type="spellEnd"/>
      <w:r>
        <w:t xml:space="preserve">, G., and </w:t>
      </w:r>
      <w:proofErr w:type="spellStart"/>
      <w:r>
        <w:t>Athipotta</w:t>
      </w:r>
      <w:proofErr w:type="spellEnd"/>
      <w:r>
        <w:t xml:space="preserve"> </w:t>
      </w:r>
      <w:proofErr w:type="spellStart"/>
      <w:r>
        <w:t>Variam</w:t>
      </w:r>
      <w:proofErr w:type="spellEnd"/>
      <w:r>
        <w:t xml:space="preserve">, K. (2023). </w:t>
      </w:r>
      <w:proofErr w:type="spellStart"/>
      <w:r>
        <w:t>FoRDy</w:t>
      </w:r>
      <w:proofErr w:type="spellEnd"/>
      <w:r>
        <w:t xml:space="preserve">: Rocking Shallow Foundation Performance in Dynamic Experiments. </w:t>
      </w:r>
      <w:proofErr w:type="spellStart"/>
      <w:r>
        <w:t>DesignSafe</w:t>
      </w:r>
      <w:proofErr w:type="spellEnd"/>
      <w:r>
        <w:t xml:space="preserve">-CI. </w:t>
      </w:r>
      <w:hyperlink r:id="rId22">
        <w:r w:rsidRPr="008B49BD">
          <w:rPr>
            <w:color w:val="0563C1"/>
            <w:u w:val="single"/>
          </w:rPr>
          <w:t>https://doi.org/10.13019/3rqyd929</w:t>
        </w:r>
      </w:hyperlink>
    </w:p>
    <w:p w:rsidR="00AF2D23" w:rsidRDefault="00AF2D23" w:rsidP="008B49BD">
      <w:pPr>
        <w:ind w:left="720" w:hanging="630"/>
        <w:jc w:val="both"/>
      </w:pPr>
      <w:proofErr w:type="spellStart"/>
      <w:r>
        <w:t>Gazetas</w:t>
      </w:r>
      <w:proofErr w:type="spellEnd"/>
      <w:r>
        <w:t>, G. (1983). Analysis of machine foundation vibrations: State of the art. Soil Dynamics and Earthquake Engineering, 2(1), 2-42.</w:t>
      </w:r>
    </w:p>
    <w:p w:rsidR="00AF2D23" w:rsidRDefault="00AF2D23" w:rsidP="008B49BD">
      <w:pPr>
        <w:ind w:left="720" w:hanging="630"/>
        <w:jc w:val="both"/>
      </w:pPr>
      <w:proofErr w:type="spellStart"/>
      <w:r>
        <w:t>Gazetas</w:t>
      </w:r>
      <w:proofErr w:type="spellEnd"/>
      <w:r>
        <w:t xml:space="preserve">, G. (1991). Foundation vibrations. In H.-Y. Fang (Ed.), Foundation engineering handbook (2nd ed., pp. 553-593). Van </w:t>
      </w:r>
      <w:proofErr w:type="spellStart"/>
      <w:r>
        <w:t>Nostrand</w:t>
      </w:r>
      <w:proofErr w:type="spellEnd"/>
      <w:r>
        <w:t xml:space="preserve"> Reinhold.</w:t>
      </w:r>
    </w:p>
    <w:p w:rsidR="00AF2D23" w:rsidRPr="008B49BD" w:rsidRDefault="00AF2D23" w:rsidP="008B49BD">
      <w:pPr>
        <w:ind w:left="720" w:hanging="630"/>
        <w:jc w:val="both"/>
        <w:rPr>
          <w:b/>
          <w:bCs/>
        </w:rPr>
      </w:pPr>
      <w:r>
        <w:t xml:space="preserve">Givens, M. J., Stewart, J. P., </w:t>
      </w:r>
      <w:proofErr w:type="spellStart"/>
      <w:r>
        <w:t>Boore</w:t>
      </w:r>
      <w:proofErr w:type="spellEnd"/>
      <w:r>
        <w:t>, D. M., and Atkinson, G. M. (2016). Transfer functions for estimating soil amplification of response spectra. Earthquake Spectra, 32(2), 1155-1177.</w:t>
      </w:r>
    </w:p>
    <w:p w:rsidR="00AF2D23" w:rsidRDefault="00AF2D23" w:rsidP="008B49BD">
      <w:pPr>
        <w:ind w:left="720" w:hanging="630"/>
        <w:jc w:val="both"/>
      </w:pPr>
      <w:proofErr w:type="spellStart"/>
      <w:r>
        <w:t>Hakhamaneshi</w:t>
      </w:r>
      <w:proofErr w:type="spellEnd"/>
      <w:r>
        <w:t xml:space="preserve">, M., </w:t>
      </w:r>
      <w:proofErr w:type="spellStart"/>
      <w:r>
        <w:t>Kutter</w:t>
      </w:r>
      <w:proofErr w:type="spellEnd"/>
      <w:r>
        <w:t xml:space="preserve">, B., </w:t>
      </w:r>
      <w:proofErr w:type="spellStart"/>
      <w:r>
        <w:t>Gavras</w:t>
      </w:r>
      <w:proofErr w:type="spellEnd"/>
      <w:r>
        <w:t xml:space="preserve">, A., </w:t>
      </w:r>
      <w:proofErr w:type="spellStart"/>
      <w:r>
        <w:t>Gajan</w:t>
      </w:r>
      <w:proofErr w:type="spellEnd"/>
      <w:r>
        <w:t xml:space="preserve">, S., </w:t>
      </w:r>
      <w:proofErr w:type="spellStart"/>
      <w:r>
        <w:t>Tsatsis</w:t>
      </w:r>
      <w:proofErr w:type="spellEnd"/>
      <w:r>
        <w:t xml:space="preserve">, A., </w:t>
      </w:r>
      <w:proofErr w:type="spellStart"/>
      <w:r>
        <w:t>Gazetas</w:t>
      </w:r>
      <w:proofErr w:type="spellEnd"/>
      <w:r>
        <w:t xml:space="preserve">, G., </w:t>
      </w:r>
      <w:proofErr w:type="spellStart"/>
      <w:r>
        <w:t>Anastasopoulos</w:t>
      </w:r>
      <w:proofErr w:type="spellEnd"/>
      <w:r>
        <w:t xml:space="preserve">, I., Kohno, T., </w:t>
      </w:r>
      <w:proofErr w:type="spellStart"/>
      <w:r>
        <w:t>Pianese</w:t>
      </w:r>
      <w:proofErr w:type="spellEnd"/>
      <w:r>
        <w:t xml:space="preserve">, G., Sharma, K., Deng, L., Liu, W., and </w:t>
      </w:r>
      <w:proofErr w:type="spellStart"/>
      <w:r>
        <w:t>Paolucci</w:t>
      </w:r>
      <w:proofErr w:type="spellEnd"/>
      <w:r>
        <w:t xml:space="preserve">, R. (2019). </w:t>
      </w:r>
      <w:proofErr w:type="spellStart"/>
      <w:r>
        <w:t>FoRCy</w:t>
      </w:r>
      <w:proofErr w:type="spellEnd"/>
      <w:r>
        <w:t xml:space="preserve">: Rocking Shallow Foundation Performance in Slow Cyclic and Monotonic Experiments. </w:t>
      </w:r>
      <w:proofErr w:type="spellStart"/>
      <w:r>
        <w:t>DesignSafe</w:t>
      </w:r>
      <w:proofErr w:type="spellEnd"/>
      <w:r>
        <w:t xml:space="preserve">-CI. </w:t>
      </w:r>
      <w:hyperlink r:id="rId23">
        <w:r w:rsidRPr="008B49BD">
          <w:rPr>
            <w:color w:val="0563C1"/>
            <w:u w:val="single"/>
          </w:rPr>
          <w:t>https://doi.org/10.13019/t0cq-qf64</w:t>
        </w:r>
      </w:hyperlink>
    </w:p>
    <w:p w:rsidR="00AF2D23" w:rsidRDefault="00AF2D23" w:rsidP="008B49BD">
      <w:pPr>
        <w:ind w:left="720" w:hanging="630"/>
        <w:jc w:val="both"/>
      </w:pPr>
      <w:r>
        <w:t xml:space="preserve">Jennings, P. C., and </w:t>
      </w:r>
      <w:proofErr w:type="spellStart"/>
      <w:r>
        <w:t>Bielak</w:t>
      </w:r>
      <w:proofErr w:type="spellEnd"/>
      <w:r>
        <w:t>, J. (1973). Dynamics of building-soil interaction. Bulletin of the Seismological Society of America, 63(1), 9-48.</w:t>
      </w:r>
    </w:p>
    <w:p w:rsidR="00AF2D23" w:rsidRDefault="00AF2D23" w:rsidP="008B49BD">
      <w:pPr>
        <w:ind w:left="720" w:hanging="630"/>
        <w:jc w:val="both"/>
      </w:pPr>
      <w:proofErr w:type="spellStart"/>
      <w:r>
        <w:t>Kausel</w:t>
      </w:r>
      <w:proofErr w:type="spellEnd"/>
      <w:r>
        <w:t xml:space="preserve">, E. (2010). Early history of soil-structure interaction. Soil Dynamics and Earthquake Engineering, 30, 822-832. </w:t>
      </w:r>
      <w:hyperlink r:id="rId24">
        <w:r w:rsidRPr="008B49BD">
          <w:rPr>
            <w:color w:val="0563C1"/>
            <w:u w:val="single"/>
          </w:rPr>
          <w:t>https://doi.org/10.1016/j.soildyn.2009.11.001</w:t>
        </w:r>
      </w:hyperlink>
    </w:p>
    <w:p w:rsidR="00AF2D23" w:rsidRDefault="00AF2D23" w:rsidP="008B49BD">
      <w:pPr>
        <w:ind w:left="720" w:hanging="630"/>
        <w:jc w:val="both"/>
      </w:pPr>
      <w:proofErr w:type="spellStart"/>
      <w:r>
        <w:t>Kausel</w:t>
      </w:r>
      <w:proofErr w:type="spellEnd"/>
      <w:r>
        <w:t xml:space="preserve">, E., and </w:t>
      </w:r>
      <w:proofErr w:type="spellStart"/>
      <w:r>
        <w:t>Roesset</w:t>
      </w:r>
      <w:proofErr w:type="spellEnd"/>
      <w:r>
        <w:t>, J. M. (1975). Dynamic stiffness of circular foundations. Journal of the Engineering Mechanics Division, 101(6), 771-785.</w:t>
      </w:r>
    </w:p>
    <w:p w:rsidR="00AF2D23" w:rsidRDefault="00AF2D23" w:rsidP="008B49BD">
      <w:pPr>
        <w:ind w:left="720" w:hanging="630"/>
        <w:jc w:val="both"/>
      </w:pPr>
      <w:r>
        <w:lastRenderedPageBreak/>
        <w:t xml:space="preserve">Kim, S., and Stewart, J. P. (2003). Kinematic soil-structure interaction from strong motion recordings. Journal of Geotechnical and </w:t>
      </w:r>
      <w:proofErr w:type="spellStart"/>
      <w:r>
        <w:t>Geoenvironmental</w:t>
      </w:r>
      <w:proofErr w:type="spellEnd"/>
      <w:r>
        <w:t xml:space="preserve"> Engineering, 129(4), 323-335. </w:t>
      </w:r>
      <w:hyperlink r:id="rId25">
        <w:r w:rsidRPr="008B49BD">
          <w:rPr>
            <w:color w:val="0563C1"/>
            <w:u w:val="single"/>
          </w:rPr>
          <w:t>https://doi.org/10.1061/(ASCE)1090-0241(2003</w:t>
        </w:r>
      </w:hyperlink>
      <w:r>
        <w:t>)129:4(323).</w:t>
      </w:r>
    </w:p>
    <w:p w:rsidR="00AF2D23" w:rsidRDefault="00AF2D23" w:rsidP="008B49BD">
      <w:pPr>
        <w:ind w:left="720" w:hanging="630"/>
        <w:jc w:val="both"/>
      </w:pPr>
      <w:r>
        <w:t>Kramer, S. L. (1996). Geotechnical earthquake engineering. Prentice Hall.</w:t>
      </w:r>
    </w:p>
    <w:p w:rsidR="00AF2D23" w:rsidRDefault="00AF2D23" w:rsidP="008B49BD">
      <w:pPr>
        <w:ind w:left="720" w:hanging="630"/>
        <w:jc w:val="both"/>
      </w:pPr>
      <w:proofErr w:type="spellStart"/>
      <w:r>
        <w:t>Luco</w:t>
      </w:r>
      <w:proofErr w:type="spellEnd"/>
      <w:r>
        <w:t xml:space="preserve">, J. E., and </w:t>
      </w:r>
      <w:proofErr w:type="spellStart"/>
      <w:r>
        <w:t>Westmann</w:t>
      </w:r>
      <w:proofErr w:type="spellEnd"/>
      <w:r>
        <w:t>, R. A. (1971). Dynamic response of circular footings. Journal of the Engineering Mechanics Division, 97(5), 1381-1395.</w:t>
      </w:r>
    </w:p>
    <w:p w:rsidR="00AF2D23" w:rsidRDefault="00AF2D23" w:rsidP="008B49BD">
      <w:pPr>
        <w:ind w:left="720" w:hanging="630"/>
        <w:jc w:val="both"/>
      </w:pPr>
      <w:r>
        <w:t xml:space="preserve">Melchers, R. E., and Beck, A. T. (2018). Structural reliability analysis and prediction (3rd </w:t>
      </w:r>
      <w:proofErr w:type="gramStart"/>
      <w:r>
        <w:t>ed</w:t>
      </w:r>
      <w:proofErr w:type="gramEnd"/>
      <w:r>
        <w:t>.). Wiley.</w:t>
      </w:r>
    </w:p>
    <w:p w:rsidR="00AF2D23" w:rsidRDefault="00AF2D23" w:rsidP="008B49BD">
      <w:pPr>
        <w:ind w:left="720" w:hanging="630"/>
        <w:jc w:val="both"/>
      </w:pPr>
      <w:r>
        <w:t xml:space="preserve">Montgomery, D. C. (2017). Design and analysis of experiments (9th </w:t>
      </w:r>
      <w:proofErr w:type="gramStart"/>
      <w:r>
        <w:t>ed</w:t>
      </w:r>
      <w:proofErr w:type="gramEnd"/>
      <w:r>
        <w:t>.). Wiley.</w:t>
      </w:r>
    </w:p>
    <w:p w:rsidR="00AF2D23" w:rsidRDefault="00AF2D23" w:rsidP="008B49BD">
      <w:pPr>
        <w:ind w:left="720" w:hanging="630"/>
        <w:jc w:val="both"/>
      </w:pPr>
      <w:proofErr w:type="spellStart"/>
      <w:r>
        <w:t>Mylonakis</w:t>
      </w:r>
      <w:proofErr w:type="spellEnd"/>
      <w:r>
        <w:t xml:space="preserve">, G., and </w:t>
      </w:r>
      <w:proofErr w:type="spellStart"/>
      <w:r>
        <w:t>Gazetas</w:t>
      </w:r>
      <w:proofErr w:type="spellEnd"/>
      <w:r>
        <w:t xml:space="preserve">, G. (2000). Seismic soil-structure interaction: Beneficial or detrimental? Journal of Earthquake Engineering, 4(3), 277-301. </w:t>
      </w:r>
      <w:hyperlink r:id="rId26">
        <w:r w:rsidRPr="008B49BD">
          <w:rPr>
            <w:color w:val="0563C1"/>
            <w:u w:val="single"/>
          </w:rPr>
          <w:t>https://doi.org/10.1080/13632460009350372</w:t>
        </w:r>
      </w:hyperlink>
    </w:p>
    <w:p w:rsidR="00AF2D23" w:rsidRDefault="00AF2D23" w:rsidP="008B49BD">
      <w:pPr>
        <w:ind w:left="720" w:hanging="630"/>
        <w:jc w:val="both"/>
      </w:pPr>
      <w:r>
        <w:t>NEES@UCSB. (</w:t>
      </w:r>
      <w:proofErr w:type="spellStart"/>
      <w:r>
        <w:t>n.d.</w:t>
      </w:r>
      <w:proofErr w:type="spellEnd"/>
      <w:r>
        <w:t xml:space="preserve">). Garner Valley Downhole Array and Soil-Foundation-Structure Interaction Test Structure. Earthquake Engineering Group, Earth Research Institute, University of California, Santa Barbara. Accessed 27 May 2026. </w:t>
      </w:r>
      <w:hyperlink r:id="rId27">
        <w:r w:rsidRPr="008B49BD">
          <w:rPr>
            <w:color w:val="0563C1"/>
            <w:u w:val="single"/>
          </w:rPr>
          <w:t>https://www.nees.ucsb.edu/facilities/GVDA</w:t>
        </w:r>
      </w:hyperlink>
      <w:r>
        <w:t xml:space="preserve">; </w:t>
      </w:r>
      <w:hyperlink r:id="rId28">
        <w:r w:rsidRPr="008B49BD">
          <w:rPr>
            <w:color w:val="0563C1"/>
            <w:u w:val="single"/>
          </w:rPr>
          <w:t>https://www.nees.ucsb.edu/facilities/sfsi</w:t>
        </w:r>
      </w:hyperlink>
    </w:p>
    <w:p w:rsidR="00AF2D23" w:rsidRDefault="00AF2D23" w:rsidP="008B49BD">
      <w:pPr>
        <w:ind w:left="720" w:hanging="630"/>
        <w:jc w:val="both"/>
      </w:pPr>
      <w:proofErr w:type="spellStart"/>
      <w:r>
        <w:t>Newmark</w:t>
      </w:r>
      <w:proofErr w:type="spellEnd"/>
      <w:r>
        <w:t xml:space="preserve">, N. M., and </w:t>
      </w:r>
      <w:proofErr w:type="spellStart"/>
      <w:r>
        <w:t>Rosenblueth</w:t>
      </w:r>
      <w:proofErr w:type="spellEnd"/>
      <w:r>
        <w:t>, E. (1971). Fundamentals of earthquake engineering. Prentice-Hall.</w:t>
      </w:r>
    </w:p>
    <w:p w:rsidR="00AF2D23" w:rsidRDefault="00AF2D23" w:rsidP="008B49BD">
      <w:pPr>
        <w:ind w:left="720" w:hanging="630"/>
        <w:jc w:val="both"/>
      </w:pPr>
      <w:r>
        <w:t xml:space="preserve">NIST. (2012). Soil-structure interaction for building structures (NIST GCR 12-917-21). National Institute of Standards and Technology. </w:t>
      </w:r>
      <w:hyperlink r:id="rId29">
        <w:r w:rsidRPr="008B49BD">
          <w:rPr>
            <w:color w:val="0563C1"/>
            <w:u w:val="single"/>
          </w:rPr>
          <w:t>https://nehrp.gov/pdf/nistgcr12-917-21.pdf</w:t>
        </w:r>
      </w:hyperlink>
    </w:p>
    <w:p w:rsidR="00AF2D23" w:rsidRDefault="00AF2D23" w:rsidP="008B49BD">
      <w:pPr>
        <w:ind w:left="720" w:hanging="630"/>
        <w:jc w:val="both"/>
      </w:pPr>
      <w:r>
        <w:t xml:space="preserve">Novak, M., and </w:t>
      </w:r>
      <w:proofErr w:type="spellStart"/>
      <w:r>
        <w:t>Beredugo</w:t>
      </w:r>
      <w:proofErr w:type="spellEnd"/>
      <w:r>
        <w:t xml:space="preserve">, Y. O. (1972). Vertical vibration of embedded footings. Journal of the Soil Mechanics and Foundations Division, 98(12), 1291-1310. </w:t>
      </w:r>
      <w:hyperlink r:id="rId30">
        <w:r w:rsidRPr="008B49BD">
          <w:rPr>
            <w:color w:val="0563C1"/>
            <w:u w:val="single"/>
          </w:rPr>
          <w:t>https://doi.org/10.1061/JSFEAQ.0001815</w:t>
        </w:r>
      </w:hyperlink>
    </w:p>
    <w:p w:rsidR="00AF2D23" w:rsidRPr="008B49BD" w:rsidRDefault="00AF2D23" w:rsidP="008B49BD">
      <w:pPr>
        <w:ind w:left="720" w:hanging="630"/>
        <w:jc w:val="both"/>
        <w:rPr>
          <w:lang w:val="es-PA"/>
        </w:rPr>
      </w:pPr>
      <w:proofErr w:type="spellStart"/>
      <w:r>
        <w:t>Pais</w:t>
      </w:r>
      <w:proofErr w:type="spellEnd"/>
      <w:r>
        <w:t xml:space="preserve">, A., and </w:t>
      </w:r>
      <w:proofErr w:type="spellStart"/>
      <w:r>
        <w:t>Kausel</w:t>
      </w:r>
      <w:proofErr w:type="spellEnd"/>
      <w:r>
        <w:t xml:space="preserve">, E. (1988). Approximate formulas for dynamic </w:t>
      </w:r>
      <w:proofErr w:type="spellStart"/>
      <w:r>
        <w:t>stiffnesses</w:t>
      </w:r>
      <w:proofErr w:type="spellEnd"/>
      <w:r>
        <w:t xml:space="preserve"> of rigid foundations. Soil Dynamics and Earthquake Engineering, 7(4), 213-227. </w:t>
      </w:r>
      <w:hyperlink r:id="rId31">
        <w:r w:rsidRPr="008B49BD">
          <w:rPr>
            <w:color w:val="0563C1"/>
            <w:u w:val="single"/>
            <w:lang w:val="es-PA"/>
          </w:rPr>
          <w:t>https://doi.org/10.1016/0267-7261(88)80005-8</w:t>
        </w:r>
      </w:hyperlink>
    </w:p>
    <w:p w:rsidR="00AF2D23" w:rsidRDefault="00AF2D23" w:rsidP="008B49BD">
      <w:pPr>
        <w:ind w:left="720" w:hanging="630"/>
        <w:jc w:val="both"/>
      </w:pPr>
      <w:proofErr w:type="spellStart"/>
      <w:r w:rsidRPr="008B49BD">
        <w:rPr>
          <w:lang w:val="es-PA"/>
        </w:rPr>
        <w:t>Pitilakis</w:t>
      </w:r>
      <w:proofErr w:type="spellEnd"/>
      <w:r w:rsidRPr="008B49BD">
        <w:rPr>
          <w:lang w:val="es-PA"/>
        </w:rPr>
        <w:t xml:space="preserve">, D., </w:t>
      </w:r>
      <w:proofErr w:type="spellStart"/>
      <w:r w:rsidRPr="008B49BD">
        <w:rPr>
          <w:lang w:val="es-PA"/>
        </w:rPr>
        <w:t>Bilotta</w:t>
      </w:r>
      <w:proofErr w:type="spellEnd"/>
      <w:r w:rsidRPr="008B49BD">
        <w:rPr>
          <w:lang w:val="es-PA"/>
        </w:rPr>
        <w:t xml:space="preserve">, E., </w:t>
      </w:r>
      <w:proofErr w:type="spellStart"/>
      <w:r w:rsidRPr="008B49BD">
        <w:rPr>
          <w:lang w:val="es-PA"/>
        </w:rPr>
        <w:t>Anastasiadis</w:t>
      </w:r>
      <w:proofErr w:type="spellEnd"/>
      <w:r w:rsidRPr="008B49BD">
        <w:rPr>
          <w:lang w:val="es-PA"/>
        </w:rPr>
        <w:t xml:space="preserve">, A., </w:t>
      </w:r>
      <w:proofErr w:type="spellStart"/>
      <w:r w:rsidRPr="008B49BD">
        <w:rPr>
          <w:lang w:val="es-PA"/>
        </w:rPr>
        <w:t>Fasano</w:t>
      </w:r>
      <w:proofErr w:type="spellEnd"/>
      <w:r w:rsidRPr="008B49BD">
        <w:rPr>
          <w:lang w:val="es-PA"/>
        </w:rPr>
        <w:t xml:space="preserve">, G., Astuto, G., </w:t>
      </w:r>
      <w:proofErr w:type="spellStart"/>
      <w:r w:rsidRPr="008B49BD">
        <w:rPr>
          <w:lang w:val="es-PA"/>
        </w:rPr>
        <w:t>Filoglou</w:t>
      </w:r>
      <w:proofErr w:type="spellEnd"/>
      <w:r w:rsidRPr="008B49BD">
        <w:rPr>
          <w:lang w:val="es-PA"/>
        </w:rPr>
        <w:t xml:space="preserve">, E., et al. </w:t>
      </w:r>
      <w:r>
        <w:t xml:space="preserve">(2025a). Geotechnical Innovative Seismic Isolation System - ERIES-GISIS. </w:t>
      </w:r>
      <w:proofErr w:type="spellStart"/>
      <w:r>
        <w:t>Zenodo</w:t>
      </w:r>
      <w:proofErr w:type="spellEnd"/>
      <w:r>
        <w:t xml:space="preserve">. </w:t>
      </w:r>
      <w:hyperlink r:id="rId32">
        <w:r w:rsidRPr="008B49BD">
          <w:rPr>
            <w:color w:val="0563C1"/>
            <w:u w:val="single"/>
          </w:rPr>
          <w:t>https://doi.org/10.5281/zenodo.17721150</w:t>
        </w:r>
      </w:hyperlink>
    </w:p>
    <w:p w:rsidR="00AF2D23" w:rsidRDefault="00AF2D23" w:rsidP="008B49BD">
      <w:pPr>
        <w:ind w:left="720" w:hanging="630"/>
        <w:jc w:val="both"/>
      </w:pPr>
      <w:proofErr w:type="spellStart"/>
      <w:r>
        <w:lastRenderedPageBreak/>
        <w:t>Pitilakis</w:t>
      </w:r>
      <w:proofErr w:type="spellEnd"/>
      <w:r>
        <w:t xml:space="preserve">, D., Dietz, M., Wood, D. M., </w:t>
      </w:r>
      <w:proofErr w:type="spellStart"/>
      <w:r>
        <w:t>Clouteau</w:t>
      </w:r>
      <w:proofErr w:type="spellEnd"/>
      <w:r>
        <w:t xml:space="preserve">, D., and </w:t>
      </w:r>
      <w:proofErr w:type="spellStart"/>
      <w:r>
        <w:t>Modaressi</w:t>
      </w:r>
      <w:proofErr w:type="spellEnd"/>
      <w:r>
        <w:t xml:space="preserve">, A. (2008). Numerical simulation of dynamic soil-structure interaction in shaking table testing. Soil Dynamics and Earthquake Engineering, 28, 453-467. </w:t>
      </w:r>
      <w:hyperlink r:id="rId33">
        <w:r w:rsidRPr="008B49BD">
          <w:rPr>
            <w:color w:val="0563C1"/>
            <w:u w:val="single"/>
          </w:rPr>
          <w:t>https://doi.org/10.1016/j.soildyn.2007.07.001</w:t>
        </w:r>
      </w:hyperlink>
    </w:p>
    <w:p w:rsidR="00AF2D23" w:rsidRDefault="00AF2D23" w:rsidP="008B49BD">
      <w:pPr>
        <w:ind w:left="720" w:hanging="630"/>
        <w:jc w:val="both"/>
      </w:pPr>
      <w:proofErr w:type="spellStart"/>
      <w:r>
        <w:t>Pitilakis</w:t>
      </w:r>
      <w:proofErr w:type="spellEnd"/>
      <w:r>
        <w:t xml:space="preserve">, D., </w:t>
      </w:r>
      <w:proofErr w:type="spellStart"/>
      <w:r>
        <w:t>Montrasio</w:t>
      </w:r>
      <w:proofErr w:type="spellEnd"/>
      <w:r>
        <w:t xml:space="preserve">, L., </w:t>
      </w:r>
      <w:proofErr w:type="spellStart"/>
      <w:r>
        <w:t>Anastasiadis</w:t>
      </w:r>
      <w:proofErr w:type="spellEnd"/>
      <w:r>
        <w:t xml:space="preserve">, A., </w:t>
      </w:r>
      <w:proofErr w:type="spellStart"/>
      <w:r>
        <w:t>Gatto</w:t>
      </w:r>
      <w:proofErr w:type="spellEnd"/>
      <w:r>
        <w:t xml:space="preserve">, M. P. A., Tsang, H.-H., </w:t>
      </w:r>
      <w:proofErr w:type="spellStart"/>
      <w:r>
        <w:t>Filoglou</w:t>
      </w:r>
      <w:proofErr w:type="spellEnd"/>
      <w:r>
        <w:t xml:space="preserve">, E., </w:t>
      </w:r>
      <w:proofErr w:type="spellStart"/>
      <w:r>
        <w:t>Kroupi</w:t>
      </w:r>
      <w:proofErr w:type="spellEnd"/>
      <w:r>
        <w:t xml:space="preserve">, G., and </w:t>
      </w:r>
      <w:proofErr w:type="spellStart"/>
      <w:r>
        <w:t>Kapouniaris</w:t>
      </w:r>
      <w:proofErr w:type="spellEnd"/>
      <w:r>
        <w:t xml:space="preserve">, A. (2025b). Polystyrene for seismic isolation: large-scale </w:t>
      </w:r>
      <w:proofErr w:type="gramStart"/>
      <w:r>
        <w:t>field testing</w:t>
      </w:r>
      <w:proofErr w:type="gramEnd"/>
      <w:r>
        <w:t xml:space="preserve"> of dynamic soil-foundation-structure interaction of geotechnical seismic isolation systems founded on expanded polystyrene. </w:t>
      </w:r>
      <w:proofErr w:type="spellStart"/>
      <w:r>
        <w:t>Zenodo</w:t>
      </w:r>
      <w:proofErr w:type="spellEnd"/>
      <w:r>
        <w:t xml:space="preserve">. </w:t>
      </w:r>
      <w:hyperlink r:id="rId34">
        <w:r w:rsidRPr="008B49BD">
          <w:rPr>
            <w:color w:val="0563C1"/>
            <w:u w:val="single"/>
          </w:rPr>
          <w:t>https://doi.org/10.5281/zenodo.15575887</w:t>
        </w:r>
      </w:hyperlink>
    </w:p>
    <w:p w:rsidR="00AF2D23" w:rsidRDefault="00AF2D23" w:rsidP="008B49BD">
      <w:pPr>
        <w:ind w:left="720" w:hanging="630"/>
        <w:jc w:val="both"/>
      </w:pPr>
      <w:proofErr w:type="spellStart"/>
      <w:r>
        <w:t>Richart</w:t>
      </w:r>
      <w:proofErr w:type="spellEnd"/>
      <w:r>
        <w:t>, F. E., Hall, J. R., and Woods, R. D. (1970). Vibrations of soils and foundations. Prentice-Hall.</w:t>
      </w:r>
    </w:p>
    <w:p w:rsidR="00AF2D23" w:rsidRPr="008B49BD" w:rsidRDefault="00AF2D23" w:rsidP="008B49BD">
      <w:pPr>
        <w:ind w:left="720" w:hanging="630"/>
        <w:jc w:val="both"/>
        <w:rPr>
          <w:b/>
          <w:bCs/>
        </w:rPr>
      </w:pPr>
      <w:proofErr w:type="spellStart"/>
      <w:r>
        <w:t>Roesset</w:t>
      </w:r>
      <w:proofErr w:type="spellEnd"/>
      <w:r>
        <w:t xml:space="preserve">, J. M. (1980). Stiffness and damping coefficients of foundations. In R. V. Whitman and R. </w:t>
      </w:r>
      <w:proofErr w:type="spellStart"/>
      <w:r>
        <w:t>Dobry</w:t>
      </w:r>
      <w:proofErr w:type="spellEnd"/>
      <w:r>
        <w:t xml:space="preserve"> (Eds.), Dynamic response of pile foundations: Analytical aspects (pp. 1-30). ASCE.</w:t>
      </w:r>
    </w:p>
    <w:p w:rsidR="00AF2D23" w:rsidRDefault="00AF2D23" w:rsidP="008B49BD">
      <w:pPr>
        <w:ind w:left="720" w:hanging="630"/>
        <w:jc w:val="both"/>
      </w:pPr>
      <w:proofErr w:type="spellStart"/>
      <w:r>
        <w:t>Saltelli</w:t>
      </w:r>
      <w:proofErr w:type="spellEnd"/>
      <w:r>
        <w:t xml:space="preserve">, A., </w:t>
      </w:r>
      <w:proofErr w:type="spellStart"/>
      <w:r>
        <w:t>Ratto</w:t>
      </w:r>
      <w:proofErr w:type="spellEnd"/>
      <w:r>
        <w:t xml:space="preserve">, M., Andres, T., </w:t>
      </w:r>
      <w:proofErr w:type="spellStart"/>
      <w:r>
        <w:t>Campolongo</w:t>
      </w:r>
      <w:proofErr w:type="spellEnd"/>
      <w:r>
        <w:t xml:space="preserve">, F., </w:t>
      </w:r>
      <w:proofErr w:type="spellStart"/>
      <w:r>
        <w:t>Cariboni</w:t>
      </w:r>
      <w:proofErr w:type="spellEnd"/>
      <w:r>
        <w:t xml:space="preserve">, J., </w:t>
      </w:r>
      <w:proofErr w:type="spellStart"/>
      <w:r>
        <w:t>Saisana</w:t>
      </w:r>
      <w:proofErr w:type="spellEnd"/>
      <w:r>
        <w:t xml:space="preserve">, M., and </w:t>
      </w:r>
      <w:proofErr w:type="spellStart"/>
      <w:r>
        <w:t>Tarantola</w:t>
      </w:r>
      <w:proofErr w:type="spellEnd"/>
      <w:r>
        <w:t>, S. (2008). Global sensitivity analysis: The primer. Wiley.</w:t>
      </w:r>
    </w:p>
    <w:p w:rsidR="00AF2D23" w:rsidRPr="008B49BD" w:rsidRDefault="00AF2D23" w:rsidP="008B49BD">
      <w:pPr>
        <w:ind w:left="720" w:hanging="630"/>
        <w:jc w:val="both"/>
        <w:rPr>
          <w:b/>
          <w:bCs/>
        </w:rPr>
      </w:pPr>
      <w:r>
        <w:t xml:space="preserve">Seed, H. B., and </w:t>
      </w:r>
      <w:proofErr w:type="spellStart"/>
      <w:r>
        <w:t>Idriss</w:t>
      </w:r>
      <w:proofErr w:type="spellEnd"/>
      <w:r>
        <w:t xml:space="preserve">, I. M. (1970). Soil moduli and damping factors for dynamic response analyses. Earthquake Engineering Research </w:t>
      </w:r>
      <w:proofErr w:type="spellStart"/>
      <w:r>
        <w:t>Center</w:t>
      </w:r>
      <w:proofErr w:type="spellEnd"/>
      <w:r>
        <w:t>, University of California, Berkeley.</w:t>
      </w:r>
    </w:p>
    <w:p w:rsidR="00AF2D23" w:rsidRDefault="00AF2D23" w:rsidP="008B49BD">
      <w:pPr>
        <w:ind w:left="720" w:hanging="630"/>
        <w:jc w:val="both"/>
      </w:pPr>
      <w:r>
        <w:t xml:space="preserve">Stewart, J. P., Fenves, G. L., and Seed, R. B. (1999). Seismic soil-structure interaction in buildings. I: Analytical methods. Journal of Geotechnical and </w:t>
      </w:r>
      <w:proofErr w:type="spellStart"/>
      <w:r>
        <w:t>Geoenvironmental</w:t>
      </w:r>
      <w:proofErr w:type="spellEnd"/>
      <w:r>
        <w:t xml:space="preserve"> Engineering, 125(1), 26-37. </w:t>
      </w:r>
      <w:hyperlink r:id="rId35">
        <w:r w:rsidRPr="008B49BD">
          <w:rPr>
            <w:color w:val="0563C1"/>
            <w:u w:val="single"/>
          </w:rPr>
          <w:t>https://doi.org/10.1061/(ASCE)1090-0241(1999</w:t>
        </w:r>
      </w:hyperlink>
      <w:r>
        <w:t>)125:1(26).</w:t>
      </w:r>
    </w:p>
    <w:p w:rsidR="00AF2D23" w:rsidRPr="008B49BD" w:rsidRDefault="00AF2D23" w:rsidP="008B49BD">
      <w:pPr>
        <w:ind w:left="720" w:hanging="630"/>
        <w:jc w:val="both"/>
        <w:rPr>
          <w:b/>
          <w:bCs/>
        </w:rPr>
      </w:pPr>
      <w:r>
        <w:t xml:space="preserve">Stewart, J. P., Seed, R. B., and Fenves, G. L. (2003). Empirical evaluation of inertial soil-structure interaction effects. Pacific Earthquake Engineering Research </w:t>
      </w:r>
      <w:proofErr w:type="spellStart"/>
      <w:r>
        <w:t>Center</w:t>
      </w:r>
      <w:proofErr w:type="spellEnd"/>
      <w:r>
        <w:t>.</w:t>
      </w:r>
    </w:p>
    <w:p w:rsidR="00AF2D23" w:rsidRDefault="00AF2D23" w:rsidP="008B49BD">
      <w:pPr>
        <w:ind w:left="720" w:hanging="630"/>
        <w:jc w:val="both"/>
      </w:pPr>
      <w:r>
        <w:t xml:space="preserve">Tao, W., Fu, J., and Li, Y. (2024). The possibility of detrimental effects </w:t>
      </w:r>
      <w:proofErr w:type="gramStart"/>
      <w:r>
        <w:t>on soil-structure interaction in seismic design due to a shift in system frequency</w:t>
      </w:r>
      <w:proofErr w:type="gramEnd"/>
      <w:r>
        <w:t xml:space="preserve">. Applied Sciences, 14(17), 7519. </w:t>
      </w:r>
      <w:hyperlink r:id="rId36">
        <w:r w:rsidRPr="008B49BD">
          <w:rPr>
            <w:color w:val="0563C1"/>
            <w:u w:val="single"/>
          </w:rPr>
          <w:t>https://doi.org/10.3390/app14177519</w:t>
        </w:r>
      </w:hyperlink>
    </w:p>
    <w:p w:rsidR="00AF2D23" w:rsidRDefault="00AF2D23" w:rsidP="008B49BD">
      <w:pPr>
        <w:ind w:left="720" w:hanging="630"/>
        <w:jc w:val="both"/>
      </w:pPr>
      <w:proofErr w:type="spellStart"/>
      <w:r>
        <w:t>Tileylioglu</w:t>
      </w:r>
      <w:proofErr w:type="spellEnd"/>
      <w:r>
        <w:t xml:space="preserve">, S., Stewart, J. P., and </w:t>
      </w:r>
      <w:proofErr w:type="spellStart"/>
      <w:r>
        <w:t>Nigbor</w:t>
      </w:r>
      <w:proofErr w:type="spellEnd"/>
      <w:r>
        <w:t xml:space="preserve">, R. L. (2011). Dynamic stiffness and damping of a shallow foundation from forced vibration of a </w:t>
      </w:r>
      <w:proofErr w:type="gramStart"/>
      <w:r>
        <w:t>field test</w:t>
      </w:r>
      <w:proofErr w:type="gramEnd"/>
      <w:r>
        <w:t xml:space="preserve"> structure. Journal of Geotechnical and </w:t>
      </w:r>
      <w:proofErr w:type="spellStart"/>
      <w:r>
        <w:t>Geoenvironmental</w:t>
      </w:r>
      <w:proofErr w:type="spellEnd"/>
      <w:r>
        <w:t xml:space="preserve"> Engineering, 137(4), 344-353. </w:t>
      </w:r>
      <w:hyperlink r:id="rId37">
        <w:r w:rsidRPr="008B49BD">
          <w:rPr>
            <w:color w:val="0563C1"/>
            <w:u w:val="single"/>
          </w:rPr>
          <w:t>https://doi.org/10.1061/(ASCE)GT.1943-5606.0000430</w:t>
        </w:r>
      </w:hyperlink>
    </w:p>
    <w:p w:rsidR="00AF2D23" w:rsidRDefault="00AF2D23" w:rsidP="008B49BD">
      <w:pPr>
        <w:ind w:left="720" w:hanging="630"/>
        <w:jc w:val="both"/>
      </w:pPr>
      <w:proofErr w:type="spellStart"/>
      <w:r>
        <w:lastRenderedPageBreak/>
        <w:t>Veletsos</w:t>
      </w:r>
      <w:proofErr w:type="spellEnd"/>
      <w:r>
        <w:t xml:space="preserve">, A. </w:t>
      </w:r>
      <w:proofErr w:type="gramStart"/>
      <w:r>
        <w:t>S.,</w:t>
      </w:r>
      <w:proofErr w:type="gramEnd"/>
      <w:r>
        <w:t xml:space="preserve"> and Meek, J. W. (1974). Dynamic behaviour of building-foundation systems. Earthquake Engineering and Structural Dynamics, 3, 121-138. </w:t>
      </w:r>
      <w:hyperlink r:id="rId38">
        <w:r w:rsidRPr="008B49BD">
          <w:rPr>
            <w:color w:val="0563C1"/>
            <w:u w:val="single"/>
          </w:rPr>
          <w:t>https://doi.org/10.1002/eqe.4290030203</w:t>
        </w:r>
      </w:hyperlink>
    </w:p>
    <w:p w:rsidR="00AF2D23" w:rsidRDefault="00AF2D23" w:rsidP="008B49BD">
      <w:pPr>
        <w:ind w:left="720" w:hanging="630"/>
        <w:jc w:val="both"/>
      </w:pPr>
      <w:proofErr w:type="spellStart"/>
      <w:r>
        <w:t>Veletsos</w:t>
      </w:r>
      <w:proofErr w:type="spellEnd"/>
      <w:r>
        <w:t>, A. S., and Nair, V. V. D. (1975). Seismic interaction of structures on hysteretic foundations. Journal of the Structural Division, 101(1), 109-129.</w:t>
      </w:r>
    </w:p>
    <w:p w:rsidR="00AF2D23" w:rsidRDefault="00AF2D23" w:rsidP="008B49BD">
      <w:pPr>
        <w:ind w:left="720" w:hanging="630"/>
        <w:jc w:val="both"/>
      </w:pPr>
      <w:r>
        <w:t>Wolf, J. P. (1985). Dynamic soil-structure interaction. Prentice-Hall.</w:t>
      </w:r>
    </w:p>
    <w:p w:rsidR="00AF2D23" w:rsidRDefault="00AF2D23" w:rsidP="008B49BD">
      <w:pPr>
        <w:ind w:left="720" w:hanging="630"/>
        <w:jc w:val="both"/>
      </w:pPr>
      <w:r>
        <w:t xml:space="preserve">Wolf, J. P., and </w:t>
      </w:r>
      <w:proofErr w:type="spellStart"/>
      <w:r>
        <w:t>Deeks</w:t>
      </w:r>
      <w:proofErr w:type="spellEnd"/>
      <w:r>
        <w:t>, A. J. (2004). Foundation vibration analysis: A strength-of-materials approach. Elsevier.</w:t>
      </w:r>
    </w:p>
    <w:p w:rsidR="00AF2D23" w:rsidRDefault="00AF2D23" w:rsidP="008B49BD">
      <w:pPr>
        <w:ind w:left="720" w:hanging="630"/>
        <w:jc w:val="both"/>
      </w:pPr>
      <w:r>
        <w:t xml:space="preserve">Yang, K., </w:t>
      </w:r>
      <w:proofErr w:type="spellStart"/>
      <w:proofErr w:type="gramStart"/>
      <w:r>
        <w:t>Cai</w:t>
      </w:r>
      <w:proofErr w:type="spellEnd"/>
      <w:proofErr w:type="gramEnd"/>
      <w:r>
        <w:t xml:space="preserve">, P., Zhang, Z., </w:t>
      </w:r>
      <w:proofErr w:type="spellStart"/>
      <w:r>
        <w:t>Hou</w:t>
      </w:r>
      <w:proofErr w:type="spellEnd"/>
      <w:r>
        <w:t xml:space="preserve">, Q., Zheng, R., </w:t>
      </w:r>
      <w:proofErr w:type="spellStart"/>
      <w:r>
        <w:t>Hao</w:t>
      </w:r>
      <w:proofErr w:type="spellEnd"/>
      <w:r>
        <w:t xml:space="preserve">, B., and Wang, B. (2024). Effects of soil-structure interaction on the seismic response of RC frame-shear wall building structures under </w:t>
      </w:r>
      <w:proofErr w:type="gramStart"/>
      <w:r>
        <w:t>far-field</w:t>
      </w:r>
      <w:proofErr w:type="gramEnd"/>
      <w:r>
        <w:t xml:space="preserve"> long-period ground motions. Buildings, 14(12), 3796. </w:t>
      </w:r>
      <w:hyperlink r:id="rId39">
        <w:r w:rsidRPr="008B49BD">
          <w:rPr>
            <w:color w:val="0563C1"/>
            <w:u w:val="single"/>
          </w:rPr>
          <w:t>https://doi.org/10.3390/buildings14123796</w:t>
        </w:r>
      </w:hyperlink>
    </w:p>
    <w:p w:rsidR="00AF2D23" w:rsidRDefault="00AF2D23" w:rsidP="008B49BD">
      <w:pPr>
        <w:ind w:left="720" w:hanging="630"/>
        <w:jc w:val="both"/>
      </w:pPr>
      <w:r>
        <w:t xml:space="preserve">Zhang, X., and Far, H. (2024). Beneficial and detrimental impacts of soil-structure interaction on seismic response of high-rise buildings. Advances in Structural Engineering. </w:t>
      </w:r>
      <w:hyperlink r:id="rId40">
        <w:r w:rsidRPr="008B49BD">
          <w:rPr>
            <w:color w:val="0563C1"/>
            <w:u w:val="single"/>
          </w:rPr>
          <w:t>https://doi.org/10.1177/13694332241255747</w:t>
        </w:r>
      </w:hyperlink>
    </w:p>
    <w:sectPr w:rsidR="00AF2D23" w:rsidSect="001625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5DC819A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9D82908"/>
    <w:multiLevelType w:val="hybridMultilevel"/>
    <w:tmpl w:val="A148EC44"/>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4"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7"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C5D0C07"/>
    <w:multiLevelType w:val="hybridMultilevel"/>
    <w:tmpl w:val="4CA02766"/>
    <w:lvl w:ilvl="0" w:tplc="79367BA0">
      <w:start w:val="1"/>
      <w:numFmt w:val="decimal"/>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BD96BF8"/>
    <w:multiLevelType w:val="hybridMultilevel"/>
    <w:tmpl w:val="76D2C65A"/>
    <w:lvl w:ilvl="0" w:tplc="0456C42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6"/>
  </w:num>
  <w:num w:numId="2">
    <w:abstractNumId w:val="20"/>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8"/>
  </w:num>
  <w:num w:numId="14">
    <w:abstractNumId w:val="21"/>
  </w:num>
  <w:num w:numId="15">
    <w:abstractNumId w:val="15"/>
  </w:num>
  <w:num w:numId="16">
    <w:abstractNumId w:val="17"/>
  </w:num>
  <w:num w:numId="17">
    <w:abstractNumId w:val="11"/>
  </w:num>
  <w:num w:numId="18">
    <w:abstractNumId w:val="0"/>
  </w:num>
  <w:num w:numId="19">
    <w:abstractNumId w:val="12"/>
  </w:num>
  <w:num w:numId="20">
    <w:abstractNumId w:val="19"/>
  </w:num>
  <w:num w:numId="21">
    <w:abstractNumId w:val="22"/>
  </w:num>
  <w:num w:numId="22">
    <w:abstractNumId w:val="23"/>
  </w:num>
  <w:num w:numId="23">
    <w:abstractNumId w:val="14"/>
  </w:num>
  <w:num w:numId="24">
    <w:abstractNumId w:val="24"/>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DF9"/>
    <w:rsid w:val="000115C0"/>
    <w:rsid w:val="000F4662"/>
    <w:rsid w:val="001625B9"/>
    <w:rsid w:val="0019582F"/>
    <w:rsid w:val="001A1198"/>
    <w:rsid w:val="001A3905"/>
    <w:rsid w:val="001A58DF"/>
    <w:rsid w:val="001C4407"/>
    <w:rsid w:val="001D6813"/>
    <w:rsid w:val="002066B3"/>
    <w:rsid w:val="0021229A"/>
    <w:rsid w:val="00221290"/>
    <w:rsid w:val="00266737"/>
    <w:rsid w:val="00275DBB"/>
    <w:rsid w:val="002A1247"/>
    <w:rsid w:val="002C738F"/>
    <w:rsid w:val="00322461"/>
    <w:rsid w:val="00340CFE"/>
    <w:rsid w:val="003740FA"/>
    <w:rsid w:val="003974EA"/>
    <w:rsid w:val="003C1264"/>
    <w:rsid w:val="00430263"/>
    <w:rsid w:val="0059574D"/>
    <w:rsid w:val="005C700E"/>
    <w:rsid w:val="005E22CF"/>
    <w:rsid w:val="005F2B6C"/>
    <w:rsid w:val="006013F6"/>
    <w:rsid w:val="006A1028"/>
    <w:rsid w:val="006C4118"/>
    <w:rsid w:val="006D48C7"/>
    <w:rsid w:val="006E456B"/>
    <w:rsid w:val="00755DF9"/>
    <w:rsid w:val="007B2C2E"/>
    <w:rsid w:val="007E7D7B"/>
    <w:rsid w:val="007F669B"/>
    <w:rsid w:val="007F70F4"/>
    <w:rsid w:val="0080145F"/>
    <w:rsid w:val="00881253"/>
    <w:rsid w:val="00884B43"/>
    <w:rsid w:val="008B49BD"/>
    <w:rsid w:val="008B5BD0"/>
    <w:rsid w:val="00917AD2"/>
    <w:rsid w:val="009C0624"/>
    <w:rsid w:val="009C1914"/>
    <w:rsid w:val="009E506E"/>
    <w:rsid w:val="00AF2D23"/>
    <w:rsid w:val="00B43BDD"/>
    <w:rsid w:val="00B46B13"/>
    <w:rsid w:val="00B530E8"/>
    <w:rsid w:val="00BA55F9"/>
    <w:rsid w:val="00BF2E98"/>
    <w:rsid w:val="00BF73EE"/>
    <w:rsid w:val="00BF7867"/>
    <w:rsid w:val="00C07FCD"/>
    <w:rsid w:val="00C11273"/>
    <w:rsid w:val="00C731F8"/>
    <w:rsid w:val="00CB57E0"/>
    <w:rsid w:val="00D07F1C"/>
    <w:rsid w:val="00D3410C"/>
    <w:rsid w:val="00D52E97"/>
    <w:rsid w:val="00D91122"/>
    <w:rsid w:val="00DA35F6"/>
    <w:rsid w:val="00DC0D23"/>
    <w:rsid w:val="00DC1036"/>
    <w:rsid w:val="00E010A7"/>
    <w:rsid w:val="00E01150"/>
    <w:rsid w:val="00E62C7D"/>
    <w:rsid w:val="00E6320B"/>
    <w:rsid w:val="00E831DA"/>
    <w:rsid w:val="00EC2BC6"/>
    <w:rsid w:val="00F03495"/>
    <w:rsid w:val="00F227FE"/>
    <w:rsid w:val="00F8281D"/>
    <w:rsid w:val="00FA5476"/>
    <w:rsid w:val="00FD685C"/>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3B518E"/>
  <w15:chartTrackingRefBased/>
  <w15:docId w15:val="{202A0978-D6A3-45D2-ABED-09E765B65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25B9"/>
    <w:pPr>
      <w:spacing w:after="0" w:line="480" w:lineRule="auto"/>
    </w:pPr>
    <w:rPr>
      <w:rFonts w:ascii="Times New Roman" w:eastAsia="Times New Roman" w:hAnsi="Times New Roman" w:cs="Times New Roman"/>
      <w:szCs w:val="24"/>
      <w:lang w:val="en-GB" w:eastAsia="en-GB"/>
    </w:rPr>
  </w:style>
  <w:style w:type="paragraph" w:styleId="Heading1">
    <w:name w:val="heading 1"/>
    <w:basedOn w:val="Normal"/>
    <w:next w:val="Paragraph"/>
    <w:link w:val="Heading1Char"/>
    <w:qFormat/>
    <w:rsid w:val="001625B9"/>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1625B9"/>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1625B9"/>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1625B9"/>
    <w:pPr>
      <w:spacing w:before="360"/>
      <w:outlineLvl w:val="3"/>
    </w:pPr>
    <w:rPr>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55DF9"/>
    <w:pPr>
      <w:spacing w:after="160"/>
      <w:contextualSpacing/>
    </w:pPr>
    <w:rPr>
      <w:rFonts w:eastAsiaTheme="majorEastAsia"/>
      <w:b/>
      <w:spacing w:val="-10"/>
      <w:kern w:val="28"/>
      <w:sz w:val="28"/>
      <w:szCs w:val="56"/>
    </w:rPr>
  </w:style>
  <w:style w:type="character" w:customStyle="1" w:styleId="TitleChar">
    <w:name w:val="Title Char"/>
    <w:basedOn w:val="DefaultParagraphFont"/>
    <w:link w:val="Title"/>
    <w:uiPriority w:val="10"/>
    <w:rsid w:val="00755DF9"/>
    <w:rPr>
      <w:rFonts w:ascii="Times New Roman" w:eastAsiaTheme="majorEastAsia" w:hAnsi="Times New Roman" w:cs="Times New Roman"/>
      <w:b/>
      <w:color w:val="000000"/>
      <w:spacing w:val="-10"/>
      <w:kern w:val="28"/>
      <w:sz w:val="28"/>
      <w:szCs w:val="56"/>
    </w:rPr>
  </w:style>
  <w:style w:type="character" w:customStyle="1" w:styleId="Heading1Char">
    <w:name w:val="Heading 1 Char"/>
    <w:basedOn w:val="DefaultParagraphFont"/>
    <w:link w:val="Heading1"/>
    <w:rsid w:val="001625B9"/>
    <w:rPr>
      <w:rFonts w:ascii="Times New Roman" w:eastAsia="Times New Roman" w:hAnsi="Times New Roman" w:cs="Arial"/>
      <w:b/>
      <w:bCs/>
      <w:kern w:val="32"/>
      <w:sz w:val="24"/>
      <w:szCs w:val="32"/>
      <w:lang w:val="en-GB" w:eastAsia="en-GB"/>
    </w:rPr>
  </w:style>
  <w:style w:type="character" w:customStyle="1" w:styleId="Heading2Char">
    <w:name w:val="Heading 2 Char"/>
    <w:basedOn w:val="DefaultParagraphFont"/>
    <w:link w:val="Heading2"/>
    <w:rsid w:val="001625B9"/>
    <w:rPr>
      <w:rFonts w:ascii="Times New Roman" w:eastAsia="Times New Roman" w:hAnsi="Times New Roman" w:cs="Arial"/>
      <w:b/>
      <w:bCs/>
      <w:i/>
      <w:iCs/>
      <w:sz w:val="24"/>
      <w:szCs w:val="28"/>
      <w:lang w:val="en-GB" w:eastAsia="en-GB"/>
    </w:rPr>
  </w:style>
  <w:style w:type="character" w:customStyle="1" w:styleId="Heading3Char">
    <w:name w:val="Heading 3 Char"/>
    <w:basedOn w:val="DefaultParagraphFont"/>
    <w:link w:val="Heading3"/>
    <w:rsid w:val="001625B9"/>
    <w:rPr>
      <w:rFonts w:ascii="Times New Roman" w:eastAsia="Times New Roman" w:hAnsi="Times New Roman" w:cs="Arial"/>
      <w:bCs/>
      <w:i/>
      <w:sz w:val="24"/>
      <w:szCs w:val="26"/>
      <w:lang w:val="en-GB" w:eastAsia="en-GB"/>
    </w:rPr>
  </w:style>
  <w:style w:type="table" w:styleId="TableGrid">
    <w:name w:val="Table Grid"/>
    <w:basedOn w:val="TableNormal"/>
    <w:uiPriority w:val="39"/>
    <w:rsid w:val="00D52E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2066B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rsid w:val="001625B9"/>
    <w:rPr>
      <w:rFonts w:ascii="Times New Roman" w:eastAsia="Times New Roman" w:hAnsi="Times New Roman" w:cs="Times New Roman"/>
      <w:bCs/>
      <w:sz w:val="24"/>
      <w:szCs w:val="28"/>
      <w:lang w:val="en-GB" w:eastAsia="en-GB"/>
    </w:rPr>
  </w:style>
  <w:style w:type="paragraph" w:customStyle="1" w:styleId="Articletitle">
    <w:name w:val="Article title"/>
    <w:basedOn w:val="Normal"/>
    <w:next w:val="Normal"/>
    <w:qFormat/>
    <w:rsid w:val="001625B9"/>
    <w:pPr>
      <w:spacing w:after="120" w:line="360" w:lineRule="auto"/>
    </w:pPr>
    <w:rPr>
      <w:b/>
      <w:sz w:val="28"/>
    </w:rPr>
  </w:style>
  <w:style w:type="paragraph" w:customStyle="1" w:styleId="Authornames">
    <w:name w:val="Author names"/>
    <w:basedOn w:val="Normal"/>
    <w:next w:val="Normal"/>
    <w:qFormat/>
    <w:rsid w:val="001625B9"/>
    <w:pPr>
      <w:spacing w:before="240" w:line="360" w:lineRule="auto"/>
    </w:pPr>
    <w:rPr>
      <w:sz w:val="28"/>
    </w:rPr>
  </w:style>
  <w:style w:type="paragraph" w:customStyle="1" w:styleId="Affiliation">
    <w:name w:val="Affiliation"/>
    <w:basedOn w:val="Normal"/>
    <w:qFormat/>
    <w:rsid w:val="001625B9"/>
    <w:pPr>
      <w:spacing w:before="240" w:line="360" w:lineRule="auto"/>
    </w:pPr>
    <w:rPr>
      <w:i/>
    </w:rPr>
  </w:style>
  <w:style w:type="paragraph" w:customStyle="1" w:styleId="Receiveddates">
    <w:name w:val="Received dates"/>
    <w:basedOn w:val="Affiliation"/>
    <w:next w:val="Normal"/>
    <w:qFormat/>
    <w:rsid w:val="001625B9"/>
  </w:style>
  <w:style w:type="paragraph" w:customStyle="1" w:styleId="Abstract">
    <w:name w:val="Abstract"/>
    <w:basedOn w:val="Normal"/>
    <w:next w:val="Keywords"/>
    <w:qFormat/>
    <w:rsid w:val="001625B9"/>
    <w:pPr>
      <w:spacing w:before="360" w:after="300" w:line="360" w:lineRule="auto"/>
      <w:ind w:left="720" w:right="567"/>
    </w:pPr>
  </w:style>
  <w:style w:type="paragraph" w:customStyle="1" w:styleId="Keywords">
    <w:name w:val="Keywords"/>
    <w:basedOn w:val="Normal"/>
    <w:next w:val="Paragraph"/>
    <w:qFormat/>
    <w:rsid w:val="001625B9"/>
    <w:pPr>
      <w:spacing w:before="240" w:after="240" w:line="360" w:lineRule="auto"/>
      <w:ind w:left="720" w:right="567"/>
    </w:pPr>
  </w:style>
  <w:style w:type="paragraph" w:customStyle="1" w:styleId="Correspondencedetails">
    <w:name w:val="Correspondence details"/>
    <w:basedOn w:val="Normal"/>
    <w:qFormat/>
    <w:rsid w:val="001625B9"/>
    <w:pPr>
      <w:spacing w:before="240" w:line="360" w:lineRule="auto"/>
    </w:pPr>
  </w:style>
  <w:style w:type="paragraph" w:customStyle="1" w:styleId="Displayedquotation">
    <w:name w:val="Displayed quotation"/>
    <w:basedOn w:val="Normal"/>
    <w:qFormat/>
    <w:rsid w:val="001625B9"/>
    <w:pPr>
      <w:tabs>
        <w:tab w:val="left" w:pos="1077"/>
        <w:tab w:val="left" w:pos="1440"/>
        <w:tab w:val="left" w:pos="1797"/>
        <w:tab w:val="left" w:pos="2155"/>
        <w:tab w:val="left" w:pos="2512"/>
      </w:tabs>
      <w:spacing w:before="240" w:after="360" w:line="360" w:lineRule="auto"/>
      <w:ind w:left="709" w:right="425"/>
      <w:contextualSpacing/>
    </w:pPr>
  </w:style>
  <w:style w:type="paragraph" w:customStyle="1" w:styleId="Numberedlist">
    <w:name w:val="Numbered list"/>
    <w:basedOn w:val="Paragraph"/>
    <w:next w:val="Paragraph"/>
    <w:qFormat/>
    <w:rsid w:val="001625B9"/>
    <w:pPr>
      <w:widowControl/>
      <w:spacing w:after="240"/>
      <w:ind w:left="720" w:hanging="153"/>
      <w:contextualSpacing/>
    </w:pPr>
  </w:style>
  <w:style w:type="paragraph" w:customStyle="1" w:styleId="Displayedequation">
    <w:name w:val="Displayed equation"/>
    <w:basedOn w:val="Normal"/>
    <w:next w:val="Paragraph"/>
    <w:qFormat/>
    <w:rsid w:val="001625B9"/>
    <w:pPr>
      <w:tabs>
        <w:tab w:val="center" w:pos="4253"/>
        <w:tab w:val="right" w:pos="8222"/>
      </w:tabs>
      <w:spacing w:before="240" w:after="240"/>
      <w:jc w:val="center"/>
    </w:pPr>
  </w:style>
  <w:style w:type="paragraph" w:customStyle="1" w:styleId="Acknowledgements">
    <w:name w:val="Acknowledgements"/>
    <w:basedOn w:val="Normal"/>
    <w:next w:val="Normal"/>
    <w:qFormat/>
    <w:rsid w:val="001625B9"/>
    <w:pPr>
      <w:spacing w:before="120" w:line="360" w:lineRule="auto"/>
    </w:pPr>
  </w:style>
  <w:style w:type="paragraph" w:customStyle="1" w:styleId="Tabletitle">
    <w:name w:val="Table title"/>
    <w:basedOn w:val="Normal"/>
    <w:next w:val="Normal"/>
    <w:qFormat/>
    <w:rsid w:val="001625B9"/>
    <w:pPr>
      <w:spacing w:before="240" w:line="360" w:lineRule="auto"/>
    </w:pPr>
  </w:style>
  <w:style w:type="paragraph" w:customStyle="1" w:styleId="Figurecaption">
    <w:name w:val="Figure caption"/>
    <w:basedOn w:val="Normal"/>
    <w:next w:val="Normal"/>
    <w:qFormat/>
    <w:rsid w:val="001625B9"/>
    <w:pPr>
      <w:spacing w:before="240" w:line="360" w:lineRule="auto"/>
    </w:pPr>
  </w:style>
  <w:style w:type="paragraph" w:customStyle="1" w:styleId="Footnotes">
    <w:name w:val="Footnotes"/>
    <w:basedOn w:val="Normal"/>
    <w:qFormat/>
    <w:rsid w:val="001625B9"/>
    <w:pPr>
      <w:spacing w:before="120" w:line="360" w:lineRule="auto"/>
      <w:ind w:left="482" w:hanging="482"/>
      <w:contextualSpacing/>
    </w:pPr>
  </w:style>
  <w:style w:type="paragraph" w:customStyle="1" w:styleId="Notesoncontributors">
    <w:name w:val="Notes on contributors"/>
    <w:basedOn w:val="Normal"/>
    <w:qFormat/>
    <w:rsid w:val="001625B9"/>
    <w:pPr>
      <w:spacing w:before="240" w:line="360" w:lineRule="auto"/>
    </w:pPr>
  </w:style>
  <w:style w:type="paragraph" w:customStyle="1" w:styleId="Normalparagraphstyle">
    <w:name w:val="Normal paragraph style"/>
    <w:basedOn w:val="Normal"/>
    <w:next w:val="Normal"/>
    <w:rsid w:val="001625B9"/>
  </w:style>
  <w:style w:type="paragraph" w:customStyle="1" w:styleId="Paragraph">
    <w:name w:val="Paragraph"/>
    <w:basedOn w:val="Normal"/>
    <w:next w:val="Newparagraph"/>
    <w:qFormat/>
    <w:rsid w:val="001625B9"/>
    <w:pPr>
      <w:widowControl w:val="0"/>
      <w:spacing w:before="240"/>
    </w:pPr>
  </w:style>
  <w:style w:type="paragraph" w:customStyle="1" w:styleId="Newparagraph">
    <w:name w:val="New paragraph"/>
    <w:basedOn w:val="Normal"/>
    <w:qFormat/>
    <w:rsid w:val="001625B9"/>
    <w:pPr>
      <w:ind w:firstLine="720"/>
    </w:pPr>
  </w:style>
  <w:style w:type="paragraph" w:styleId="NormalIndent">
    <w:name w:val="Normal Indent"/>
    <w:basedOn w:val="Normal"/>
    <w:rsid w:val="001625B9"/>
    <w:pPr>
      <w:ind w:left="720"/>
    </w:pPr>
  </w:style>
  <w:style w:type="paragraph" w:customStyle="1" w:styleId="References">
    <w:name w:val="References"/>
    <w:basedOn w:val="Normal"/>
    <w:qFormat/>
    <w:rsid w:val="001625B9"/>
    <w:pPr>
      <w:spacing w:before="120" w:line="360" w:lineRule="auto"/>
      <w:ind w:left="720" w:hanging="720"/>
      <w:contextualSpacing/>
    </w:pPr>
  </w:style>
  <w:style w:type="paragraph" w:customStyle="1" w:styleId="Subjectcodes">
    <w:name w:val="Subject codes"/>
    <w:basedOn w:val="Keywords"/>
    <w:next w:val="Paragraph"/>
    <w:qFormat/>
    <w:rsid w:val="001625B9"/>
  </w:style>
  <w:style w:type="paragraph" w:customStyle="1" w:styleId="Bulletedlist">
    <w:name w:val="Bulleted list"/>
    <w:basedOn w:val="Paragraph"/>
    <w:next w:val="Paragraph"/>
    <w:qFormat/>
    <w:rsid w:val="001625B9"/>
    <w:pPr>
      <w:widowControl/>
      <w:spacing w:after="240"/>
      <w:ind w:left="720" w:hanging="360"/>
      <w:contextualSpacing/>
    </w:pPr>
  </w:style>
  <w:style w:type="paragraph" w:styleId="FootnoteText">
    <w:name w:val="footnote text"/>
    <w:basedOn w:val="Normal"/>
    <w:link w:val="FootnoteTextChar"/>
    <w:autoRedefine/>
    <w:rsid w:val="001625B9"/>
    <w:pPr>
      <w:ind w:left="284" w:hanging="284"/>
    </w:pPr>
    <w:rPr>
      <w:szCs w:val="20"/>
    </w:rPr>
  </w:style>
  <w:style w:type="character" w:customStyle="1" w:styleId="FootnoteTextChar">
    <w:name w:val="Footnote Text Char"/>
    <w:basedOn w:val="DefaultParagraphFont"/>
    <w:link w:val="FootnoteText"/>
    <w:rsid w:val="001625B9"/>
    <w:rPr>
      <w:rFonts w:ascii="Times New Roman" w:eastAsia="Times New Roman" w:hAnsi="Times New Roman" w:cs="Times New Roman"/>
      <w:szCs w:val="20"/>
      <w:lang w:val="en-GB" w:eastAsia="en-GB"/>
    </w:rPr>
  </w:style>
  <w:style w:type="character" w:styleId="FootnoteReference">
    <w:name w:val="footnote reference"/>
    <w:basedOn w:val="DefaultParagraphFont"/>
    <w:rsid w:val="001625B9"/>
    <w:rPr>
      <w:vertAlign w:val="superscript"/>
    </w:rPr>
  </w:style>
  <w:style w:type="paragraph" w:styleId="EndnoteText">
    <w:name w:val="endnote text"/>
    <w:basedOn w:val="Normal"/>
    <w:link w:val="EndnoteTextChar"/>
    <w:autoRedefine/>
    <w:rsid w:val="001625B9"/>
    <w:pPr>
      <w:ind w:left="284" w:hanging="284"/>
    </w:pPr>
    <w:rPr>
      <w:szCs w:val="20"/>
    </w:rPr>
  </w:style>
  <w:style w:type="character" w:customStyle="1" w:styleId="EndnoteTextChar">
    <w:name w:val="Endnote Text Char"/>
    <w:basedOn w:val="DefaultParagraphFont"/>
    <w:link w:val="EndnoteText"/>
    <w:rsid w:val="001625B9"/>
    <w:rPr>
      <w:rFonts w:ascii="Times New Roman" w:eastAsia="Times New Roman" w:hAnsi="Times New Roman" w:cs="Times New Roman"/>
      <w:szCs w:val="20"/>
      <w:lang w:val="en-GB" w:eastAsia="en-GB"/>
    </w:rPr>
  </w:style>
  <w:style w:type="character" w:styleId="EndnoteReference">
    <w:name w:val="endnote reference"/>
    <w:basedOn w:val="DefaultParagraphFont"/>
    <w:rsid w:val="001625B9"/>
    <w:rPr>
      <w:vertAlign w:val="superscript"/>
    </w:rPr>
  </w:style>
  <w:style w:type="paragraph" w:styleId="Header">
    <w:name w:val="header"/>
    <w:basedOn w:val="Normal"/>
    <w:link w:val="HeaderChar"/>
    <w:rsid w:val="001625B9"/>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1625B9"/>
    <w:rPr>
      <w:rFonts w:ascii="Times New Roman" w:eastAsia="Times New Roman" w:hAnsi="Times New Roman" w:cs="Times New Roman"/>
      <w:sz w:val="24"/>
      <w:szCs w:val="24"/>
      <w:lang w:val="en-GB" w:eastAsia="en-GB"/>
    </w:rPr>
  </w:style>
  <w:style w:type="paragraph" w:styleId="Footer">
    <w:name w:val="footer"/>
    <w:basedOn w:val="Normal"/>
    <w:link w:val="FooterChar"/>
    <w:rsid w:val="001625B9"/>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1625B9"/>
    <w:rPr>
      <w:rFonts w:ascii="Times New Roman" w:eastAsia="Times New Roman" w:hAnsi="Times New Roman" w:cs="Times New Roman"/>
      <w:sz w:val="24"/>
      <w:szCs w:val="24"/>
      <w:lang w:val="en-GB" w:eastAsia="en-GB"/>
    </w:rPr>
  </w:style>
  <w:style w:type="paragraph" w:customStyle="1" w:styleId="Heading4Paragraph">
    <w:name w:val="Heading 4 + Paragraph"/>
    <w:basedOn w:val="Paragraph"/>
    <w:next w:val="Newparagraph"/>
    <w:qFormat/>
    <w:rsid w:val="001625B9"/>
    <w:pPr>
      <w:widowControl/>
      <w:spacing w:before="360"/>
    </w:pPr>
  </w:style>
  <w:style w:type="paragraph" w:styleId="ListParagraph">
    <w:name w:val="List Paragraph"/>
    <w:basedOn w:val="Normal"/>
    <w:uiPriority w:val="34"/>
    <w:qFormat/>
    <w:rsid w:val="008B49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4231/D3M61BQ73" TargetMode="External"/><Relationship Id="rId18" Type="http://schemas.openxmlformats.org/officeDocument/2006/relationships/hyperlink" Target="https://doi.org/10.1016/j.soildyn.2004.10.007" TargetMode="External"/><Relationship Id="rId26" Type="http://schemas.openxmlformats.org/officeDocument/2006/relationships/hyperlink" Target="https://doi.org/10.1080/13632460009350372" TargetMode="External"/><Relationship Id="rId39" Type="http://schemas.openxmlformats.org/officeDocument/2006/relationships/hyperlink" Target="https://doi.org/10.3390/buildings14123796" TargetMode="External"/><Relationship Id="rId21" Type="http://schemas.openxmlformats.org/officeDocument/2006/relationships/hyperlink" Target="https://www.fema.gov/sites/default/files/documents/fema-p-2091-soil-structure-interaction.pdf" TargetMode="External"/><Relationship Id="rId34" Type="http://schemas.openxmlformats.org/officeDocument/2006/relationships/hyperlink" Target="https://doi.org/10.5281/zenodo.15575887" TargetMode="External"/><Relationship Id="rId42" Type="http://schemas.openxmlformats.org/officeDocument/2006/relationships/theme" Target="theme/theme1.xml"/><Relationship Id="rId7" Type="http://schemas.openxmlformats.org/officeDocument/2006/relationships/hyperlink" Target="https://github.com/gabrielmontufar/a-dimensionless-criterion-for-supplementary" TargetMode="External"/><Relationship Id="rId2" Type="http://schemas.openxmlformats.org/officeDocument/2006/relationships/styles" Target="styles.xml"/><Relationship Id="rId16" Type="http://schemas.openxmlformats.org/officeDocument/2006/relationships/hyperlink" Target="https://doi.org/10.1002/eqe.4290030305" TargetMode="External"/><Relationship Id="rId20" Type="http://schemas.openxmlformats.org/officeDocument/2006/relationships/hyperlink" Target="https://www.fema.gov/sites/default/files/2020-07/fema_440.pdf" TargetMode="External"/><Relationship Id="rId29" Type="http://schemas.openxmlformats.org/officeDocument/2006/relationships/hyperlink" Target="https://nehrp.gov/pdf/nistgcr12-917-21.pdf"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gabrielmontufar/a-dimensionless-criterion-for-supplementary" TargetMode="External"/><Relationship Id="rId24" Type="http://schemas.openxmlformats.org/officeDocument/2006/relationships/hyperlink" Target="https://doi.org/10.1016/j.soildyn.2009.11.001" TargetMode="External"/><Relationship Id="rId32" Type="http://schemas.openxmlformats.org/officeDocument/2006/relationships/hyperlink" Target="https://doi.org/10.5281/zenodo.17721150" TargetMode="External"/><Relationship Id="rId37" Type="http://schemas.openxmlformats.org/officeDocument/2006/relationships/hyperlink" Target="https://doi.org/10.1061/(ASCE)GT.1943-5606.0000430" TargetMode="External"/><Relationship Id="rId40" Type="http://schemas.openxmlformats.org/officeDocument/2006/relationships/hyperlink" Target="https://doi.org/10.1177/13694332241255747" TargetMode="External"/><Relationship Id="rId5" Type="http://schemas.openxmlformats.org/officeDocument/2006/relationships/hyperlink" Target="https://orcid.org/0000-0003-3392-3728" TargetMode="External"/><Relationship Id="rId15" Type="http://schemas.openxmlformats.org/officeDocument/2006/relationships/hyperlink" Target="https://doi.org/10.1002/eqe.300" TargetMode="External"/><Relationship Id="rId23" Type="http://schemas.openxmlformats.org/officeDocument/2006/relationships/hyperlink" Target="https://doi.org/10.13019/t0cq-qf64" TargetMode="External"/><Relationship Id="rId28" Type="http://schemas.openxmlformats.org/officeDocument/2006/relationships/hyperlink" Target="https://www.nees.ucsb.edu/facilities/sfsi" TargetMode="External"/><Relationship Id="rId36" Type="http://schemas.openxmlformats.org/officeDocument/2006/relationships/hyperlink" Target="https://doi.org/10.3390/app14177519" TargetMode="External"/><Relationship Id="rId10" Type="http://schemas.openxmlformats.org/officeDocument/2006/relationships/image" Target="media/image4.png"/><Relationship Id="rId19" Type="http://schemas.openxmlformats.org/officeDocument/2006/relationships/hyperlink" Target="https://doi.org/10.1061/(ASCE)0733-9410(1986" TargetMode="External"/><Relationship Id="rId31" Type="http://schemas.openxmlformats.org/officeDocument/2006/relationships/hyperlink" Target="https://doi.org/10.1016/0267-7261(88)80005-8"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93/070913EQS197M" TargetMode="External"/><Relationship Id="rId22" Type="http://schemas.openxmlformats.org/officeDocument/2006/relationships/hyperlink" Target="https://doi.org/10.13019/3rqyd929" TargetMode="External"/><Relationship Id="rId27" Type="http://schemas.openxmlformats.org/officeDocument/2006/relationships/hyperlink" Target="https://www.nees.ucsb.edu/facilities/GVDA" TargetMode="External"/><Relationship Id="rId30" Type="http://schemas.openxmlformats.org/officeDocument/2006/relationships/hyperlink" Target="https://doi.org/10.1061/JSFEAQ.0001815" TargetMode="External"/><Relationship Id="rId35" Type="http://schemas.openxmlformats.org/officeDocument/2006/relationships/hyperlink" Target="https://doi.org/10.1061/(ASCE)1090-0241(1999"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github.com/gabrielmontufar/a-dimensionless-criterion-for-supplementary" TargetMode="External"/><Relationship Id="rId17" Type="http://schemas.openxmlformats.org/officeDocument/2006/relationships/hyperlink" Target="https://doi.org/10.1007/PL00012553" TargetMode="External"/><Relationship Id="rId25" Type="http://schemas.openxmlformats.org/officeDocument/2006/relationships/hyperlink" Target="https://doi.org/10.1061/(ASCE)1090-0241(2003" TargetMode="External"/><Relationship Id="rId33" Type="http://schemas.openxmlformats.org/officeDocument/2006/relationships/hyperlink" Target="https://doi.org/10.1016/j.soildyn.2007.07.001" TargetMode="External"/><Relationship Id="rId38" Type="http://schemas.openxmlformats.org/officeDocument/2006/relationships/hyperlink" Target="https://doi.org/10.1002/eqe.42900302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jm31\Downloads\TF_Template_Word_Windows_2016\TF_Template_Word_Window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TF_Template_Word_Windows.dotx</Template>
  <TotalTime>16</TotalTime>
  <Pages>36</Pages>
  <Words>9655</Words>
  <Characters>53108</Characters>
  <Application>Microsoft Office Word</Application>
  <DocSecurity>0</DocSecurity>
  <Lines>442</Lines>
  <Paragraphs>125</Paragraphs>
  <ScaleCrop>false</ScaleCrop>
  <Company/>
  <LinksUpToDate>false</LinksUpToDate>
  <CharactersWithSpaces>62638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Dimensionless Criterion for Evaluating Flexible Foundations under Earthquake Excitation</dc:title>
  <dc:subject>Journal of Earthquake Engineering research paper</dc:subject>
  <dc:creator>Gabriel Montufar</dc:creator>
  <cp:keywords>soil-structure interaction; flexible foundation; earthquake engineering; dimensionless criterion; seismic demand; foundation rocking</cp:keywords>
  <dc:description/>
  <cp:lastModifiedBy>yo yo</cp:lastModifiedBy>
  <cp:revision>64</cp:revision>
  <cp:lastPrinted>2026-05-28T05:49:00Z</cp:lastPrinted>
  <dcterms:created xsi:type="dcterms:W3CDTF">2026-05-09T16:49:00Z</dcterms:created>
  <dcterms:modified xsi:type="dcterms:W3CDTF">2026-05-30T21:36:00Z</dcterms:modified>
</cp:coreProperties>
</file>