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01AE" w:rsidRDefault="00C54BB4">
      <w:pPr>
        <w:jc w:val="both"/>
        <w:rPr>
          <w:rFonts w:ascii="Verdana" w:hAnsi="Verdana"/>
          <w:b/>
        </w:rPr>
      </w:pPr>
      <w:bookmarkStart w:id="0" w:name="_GoBack"/>
      <w:bookmarkEnd w:id="0"/>
      <w:r>
        <w:rPr>
          <w:rFonts w:ascii="Verdana" w:hAnsi="Verdana"/>
          <w:b/>
          <w:sz w:val="22"/>
        </w:rPr>
        <w:t>Supplementary Material</w:t>
      </w:r>
    </w:p>
    <w:p w:rsidR="00C54BB4" w:rsidRDefault="00C54BB4">
      <w:pPr>
        <w:jc w:val="both"/>
        <w:rPr>
          <w:rFonts w:ascii="Verdana" w:hAnsi="Verdana"/>
        </w:rPr>
      </w:pPr>
      <w:r>
        <w:rPr>
          <w:rFonts w:ascii="Verdana" w:hAnsi="Verdana"/>
          <w:sz w:val="22"/>
        </w:rPr>
        <w:t>A falsification-aware demand-polarity map for seismic soil-structure interaction: when flexible foundations reduce force but increase displacement demand</w:t>
      </w:r>
    </w:p>
    <w:p w:rsidR="00C54BB4" w:rsidRDefault="00C54BB4">
      <w:pPr>
        <w:rPr>
          <w:rFonts w:ascii="Verdana" w:hAnsi="Verdana"/>
        </w:rPr>
      </w:pPr>
    </w:p>
    <w:p w:rsidR="00C54BB4" w:rsidRDefault="00C54BB4">
      <w:pPr>
        <w:jc w:val="both"/>
        <w:rPr>
          <w:rFonts w:ascii="Verdana" w:hAnsi="Verdana"/>
        </w:rPr>
      </w:pPr>
      <w:r>
        <w:rPr>
          <w:rFonts w:ascii="Verdana" w:hAnsi="Verdana"/>
          <w:sz w:val="22"/>
        </w:rPr>
        <w:t>This supplementary material records the external literature consistency audit added to support the validation/comparison layer. Supplementary tables are numbered independently from the main manuscript as Table S1, Table S2, and so on. The full machine-readable CSV files are included in the supplementary_material/literature_external_consistency_audit_20260530 folder.</w:t>
      </w:r>
    </w:p>
    <w:p w:rsidR="00C54BB4" w:rsidRDefault="00C54BB4">
      <w:pPr>
        <w:rPr>
          <w:rFonts w:ascii="Verdana" w:hAnsi="Verdana"/>
        </w:rPr>
      </w:pPr>
    </w:p>
    <w:p w:rsidR="00C54BB4" w:rsidRDefault="00C54BB4">
      <w:pPr>
        <w:keepNext/>
        <w:jc w:val="both"/>
        <w:rPr>
          <w:rFonts w:ascii="Verdana" w:hAnsi="Verdana"/>
          <w:b/>
        </w:rPr>
      </w:pPr>
      <w:r>
        <w:rPr>
          <w:rFonts w:ascii="Verdana" w:hAnsi="Verdana"/>
          <w:b w:val="0"/>
          <w:sz w:val="22"/>
        </w:rPr>
        <w:t>Table S1. External literature evidence classes used in the consistency audit.</w:t>
      </w:r>
    </w:p>
    <w:tbl>
      <w:tblPr>
        <w:tblStyle w:val="PlainTable2"/>
        <w:tblW w:w="0" w:type="auto"/>
        <w:jc w:val="center"/>
        <w:tblLayout w:type="fixed"/>
        <w:tblLook w:val="0420" w:firstRow="1" w:lastRow="0" w:firstColumn="0" w:lastColumn="0" w:noHBand="0" w:noVBand="1"/>
      </w:tblPr>
      <w:tblGrid>
        <w:gridCol w:w="1767"/>
        <w:gridCol w:w="1767"/>
        <w:gridCol w:w="1768"/>
        <w:gridCol w:w="1768"/>
        <w:gridCol w:w="1768"/>
      </w:tblGrid>
      <w:tr w:rsidR="00C54BB4" w:rsidRPr="001F4785" w:rsidTr="001F4785">
        <w:trPr>
          <w:cnfStyle w:val="100000000000" w:firstRow="1" w:lastRow="0" w:firstColumn="0" w:lastColumn="0" w:oddVBand="0" w:evenVBand="0" w:oddHBand="0" w:evenHBand="0" w:firstRowFirstColumn="0" w:firstRowLastColumn="0" w:lastRowFirstColumn="0" w:lastRowLastColumn="0"/>
          <w:tblHeader w:val="true"/>
        </w:trPr>
        <w:tc>
          <w:tcPr>
            <w:tcW w:w="1767" w:type="dxa"/>
            <w:vAlign w:val="center"/>
          </w:tcPr>
          <w:p w:rsidR="00C54BB4" w:rsidRPr="001F4785" w:rsidRDefault="00C54BB4">
            <w:pPr>
              <w:jc w:val="left"/>
              <w:rPr>
                <w:rFonts w:ascii="Verdana" w:hAnsi="Verdana"/>
                <w:sz w:val="20"/>
              </w:rPr>
            </w:pPr>
            <w:r w:rsidRPr="001F4785">
              <w:rPr>
                <w:rFonts w:ascii="Verdana" w:hAnsi="Verdana"/>
                <w:b/>
                <w:sz w:val="20"/>
              </w:rPr>
              <w:t>Source</w:t>
            </w:r>
          </w:p>
        </w:tc>
        <w:tc>
          <w:tcPr>
            <w:tcW w:w="1767" w:type="dxa"/>
            <w:vAlign w:val="center"/>
          </w:tcPr>
          <w:p w:rsidR="00C54BB4" w:rsidRPr="001F4785" w:rsidRDefault="00C54BB4">
            <w:pPr>
              <w:jc w:val="left"/>
              <w:rPr>
                <w:rFonts w:ascii="Verdana" w:hAnsi="Verdana"/>
                <w:sz w:val="20"/>
              </w:rPr>
            </w:pPr>
            <w:r w:rsidRPr="001F4785">
              <w:rPr>
                <w:rFonts w:ascii="Verdana" w:hAnsi="Verdana"/>
                <w:b/>
                <w:sz w:val="20"/>
              </w:rPr>
              <w:t>Year</w:t>
            </w:r>
          </w:p>
        </w:tc>
        <w:tc>
          <w:tcPr>
            <w:tcW w:w="1768" w:type="dxa"/>
            <w:vAlign w:val="center"/>
          </w:tcPr>
          <w:p w:rsidR="00C54BB4" w:rsidRPr="001F4785" w:rsidRDefault="00C54BB4">
            <w:pPr>
              <w:jc w:val="left"/>
              <w:rPr>
                <w:rFonts w:ascii="Verdana" w:hAnsi="Verdana"/>
                <w:sz w:val="20"/>
              </w:rPr>
            </w:pPr>
            <w:r w:rsidRPr="001F4785">
              <w:rPr>
                <w:rFonts w:ascii="Verdana" w:hAnsi="Verdana"/>
                <w:b/>
                <w:sz w:val="20"/>
              </w:rPr>
              <w:t>Evidence tier</w:t>
            </w:r>
          </w:p>
        </w:tc>
        <w:tc>
          <w:tcPr>
            <w:tcW w:w="1768" w:type="dxa"/>
            <w:vAlign w:val="center"/>
          </w:tcPr>
          <w:p w:rsidR="00C54BB4" w:rsidRPr="001F4785" w:rsidRDefault="00C54BB4">
            <w:pPr>
              <w:jc w:val="left"/>
              <w:rPr>
                <w:rFonts w:ascii="Verdana" w:hAnsi="Verdana"/>
                <w:sz w:val="20"/>
              </w:rPr>
            </w:pPr>
            <w:r w:rsidRPr="001F4785">
              <w:rPr>
                <w:rFonts w:ascii="Verdana" w:hAnsi="Verdana"/>
                <w:b/>
                <w:sz w:val="20"/>
              </w:rPr>
              <w:t>Comparable quantity</w:t>
            </w:r>
          </w:p>
        </w:tc>
        <w:tc>
          <w:tcPr>
            <w:tcW w:w="1768" w:type="dxa"/>
            <w:vAlign w:val="center"/>
          </w:tcPr>
          <w:p w:rsidR="00C54BB4" w:rsidRPr="001F4785" w:rsidRDefault="00C54BB4">
            <w:pPr>
              <w:jc w:val="left"/>
              <w:rPr>
                <w:rFonts w:ascii="Verdana" w:hAnsi="Verdana"/>
                <w:sz w:val="20"/>
              </w:rPr>
            </w:pPr>
            <w:r w:rsidRPr="001F4785">
              <w:rPr>
                <w:rFonts w:ascii="Verdana" w:hAnsi="Verdana"/>
                <w:b/>
                <w:sz w:val="20"/>
              </w:rPr>
              <w:t>Claim boundary</w:t>
            </w:r>
          </w:p>
        </w:tc>
      </w:tr>
      <w:tr w:rsidR="00C54BB4" w:rsidRPr="001F4785" w:rsidTr="001F4785">
        <w:trPr>
          <w:cnfStyle w:val="000000100000" w:firstRow="0" w:lastRow="0" w:firstColumn="0" w:lastColumn="0" w:oddVBand="0" w:evenVBand="0" w:oddHBand="1" w:evenHBand="0" w:firstRowFirstColumn="0" w:firstRowLastColumn="0" w:lastRowFirstColumn="0" w:lastRowLastColumn="0"/>
        </w:trPr>
        <w:tc>
          <w:tcPr>
            <w:tcW w:w="1767" w:type="dxa"/>
            <w:vAlign w:val="center"/>
          </w:tcPr>
          <w:p w:rsidR="00C54BB4" w:rsidRPr="001F4785" w:rsidRDefault="00C54BB4">
            <w:pPr>
              <w:jc w:val="left"/>
              <w:rPr>
                <w:rFonts w:ascii="Verdana" w:hAnsi="Verdana"/>
                <w:sz w:val="20"/>
              </w:rPr>
            </w:pPr>
            <w:r w:rsidRPr="001F4785">
              <w:rPr>
                <w:rFonts w:ascii="Verdana" w:hAnsi="Verdana"/>
                <w:b w:val="0"/>
                <w:sz w:val="20"/>
              </w:rPr>
              <w:t>Zhang and Far, Beneficial and detrimental impacts of soil-structure interaction on seismic response of high-rise buildings</w:t>
            </w:r>
          </w:p>
        </w:tc>
        <w:tc>
          <w:tcPr>
            <w:tcW w:w="1767" w:type="dxa"/>
            <w:vAlign w:val="center"/>
          </w:tcPr>
          <w:p w:rsidR="00C54BB4" w:rsidRPr="001F4785" w:rsidRDefault="00C54BB4">
            <w:pPr>
              <w:jc w:val="left"/>
              <w:rPr>
                <w:rFonts w:ascii="Verdana" w:hAnsi="Verdana"/>
                <w:sz w:val="20"/>
              </w:rPr>
            </w:pPr>
            <w:r w:rsidRPr="001F4785">
              <w:rPr>
                <w:rFonts w:ascii="Verdana" w:hAnsi="Verdana"/>
                <w:b w:val="0"/>
                <w:sz w:val="20"/>
              </w:rPr>
              <w:t>2024</w:t>
            </w:r>
          </w:p>
        </w:tc>
        <w:tc>
          <w:tcPr>
            <w:tcW w:w="1768" w:type="dxa"/>
            <w:vAlign w:val="center"/>
          </w:tcPr>
          <w:p w:rsidR="00C54BB4" w:rsidRPr="001F4785" w:rsidRDefault="00C54BB4">
            <w:pPr>
              <w:jc w:val="left"/>
              <w:rPr>
                <w:rFonts w:ascii="Verdana" w:hAnsi="Verdana"/>
                <w:sz w:val="20"/>
              </w:rPr>
            </w:pPr>
            <w:r w:rsidRPr="001F4785">
              <w:rPr>
                <w:rFonts w:ascii="Verdana" w:hAnsi="Verdana"/>
                <w:b w:val="0"/>
                <w:sz w:val="20"/>
              </w:rPr>
              <w:t>high</w:t>
            </w:r>
          </w:p>
        </w:tc>
        <w:tc>
          <w:tcPr>
            <w:tcW w:w="1768" w:type="dxa"/>
            <w:vAlign w:val="center"/>
          </w:tcPr>
          <w:p w:rsidR="00C54BB4" w:rsidRPr="001F4785" w:rsidRDefault="00C54BB4">
            <w:pPr>
              <w:jc w:val="left"/>
              <w:rPr>
                <w:rFonts w:ascii="Verdana" w:hAnsi="Verdana"/>
                <w:sz w:val="20"/>
              </w:rPr>
            </w:pPr>
            <w:r w:rsidRPr="001F4785">
              <w:rPr>
                <w:rFonts w:ascii="Verdana" w:hAnsi="Verdana"/>
                <w:b w:val="0"/>
                <w:sz w:val="20"/>
              </w:rPr>
              <w:t>base-shear ratio, inter-storey drift ratio, period elongation</w:t>
            </w:r>
          </w:p>
        </w:tc>
        <w:tc>
          <w:tcPr>
            <w:tcW w:w="1768" w:type="dxa"/>
            <w:vAlign w:val="center"/>
          </w:tcPr>
          <w:p w:rsidR="00C54BB4" w:rsidRPr="001F4785" w:rsidRDefault="00C54BB4">
            <w:pPr>
              <w:jc w:val="left"/>
              <w:rPr>
                <w:rFonts w:ascii="Verdana" w:hAnsi="Verdana"/>
                <w:sz w:val="20"/>
              </w:rPr>
            </w:pPr>
            <w:r w:rsidRPr="001F4785">
              <w:rPr>
                <w:rFonts w:ascii="Verdana" w:hAnsi="Verdana"/>
                <w:b w:val="0"/>
                <w:sz w:val="20"/>
              </w:rPr>
              <w:t>Consistency mapping, not independent validation of article 116 predictions</w:t>
            </w:r>
          </w:p>
        </w:tc>
      </w:tr>
      <w:tr w:rsidR="00C54BB4" w:rsidRPr="001F4785" w:rsidTr="001F4785">
        <w:tc>
          <w:tcPr>
            <w:tcW w:w="1767" w:type="dxa"/>
            <w:vAlign w:val="center"/>
          </w:tcPr>
          <w:p w:rsidR="00C54BB4" w:rsidRPr="001F4785" w:rsidRDefault="00C54BB4">
            <w:pPr>
              <w:jc w:val="left"/>
              <w:rPr>
                <w:rFonts w:ascii="Verdana" w:hAnsi="Verdana"/>
                <w:sz w:val="20"/>
              </w:rPr>
            </w:pPr>
            <w:r w:rsidRPr="001F4785">
              <w:rPr>
                <w:rFonts w:ascii="Verdana" w:hAnsi="Verdana"/>
                <w:b w:val="0"/>
                <w:sz w:val="20"/>
              </w:rPr>
              <w:t>Yang et al., Effects of soil-structure interaction on the seismic response of RC frame-shear wall building structures under far-field long-period ground motions</w:t>
            </w:r>
          </w:p>
        </w:tc>
        <w:tc>
          <w:tcPr>
            <w:tcW w:w="1767" w:type="dxa"/>
            <w:vAlign w:val="center"/>
          </w:tcPr>
          <w:p w:rsidR="00C54BB4" w:rsidRPr="001F4785" w:rsidRDefault="00C54BB4">
            <w:pPr>
              <w:jc w:val="left"/>
              <w:rPr>
                <w:rFonts w:ascii="Verdana" w:hAnsi="Verdana"/>
                <w:sz w:val="20"/>
              </w:rPr>
            </w:pPr>
            <w:r w:rsidRPr="001F4785">
              <w:rPr>
                <w:rFonts w:ascii="Verdana" w:hAnsi="Verdana"/>
                <w:b w:val="0"/>
                <w:sz w:val="20"/>
              </w:rPr>
              <w:t>2024</w:t>
            </w:r>
          </w:p>
        </w:tc>
        <w:tc>
          <w:tcPr>
            <w:tcW w:w="1768" w:type="dxa"/>
            <w:vAlign w:val="center"/>
          </w:tcPr>
          <w:p w:rsidR="00C54BB4" w:rsidRPr="001F4785" w:rsidRDefault="00C54BB4">
            <w:pPr>
              <w:jc w:val="left"/>
              <w:rPr>
                <w:rFonts w:ascii="Verdana" w:hAnsi="Verdana"/>
                <w:sz w:val="20"/>
              </w:rPr>
            </w:pPr>
            <w:r w:rsidRPr="001F4785">
              <w:rPr>
                <w:rFonts w:ascii="Verdana" w:hAnsi="Verdana"/>
                <w:b w:val="0"/>
                <w:sz w:val="20"/>
              </w:rPr>
              <w:t>high</w:t>
            </w:r>
          </w:p>
        </w:tc>
        <w:tc>
          <w:tcPr>
            <w:tcW w:w="1768" w:type="dxa"/>
            <w:vAlign w:val="center"/>
          </w:tcPr>
          <w:p w:rsidR="00C54BB4" w:rsidRPr="001F4785" w:rsidRDefault="00C54BB4">
            <w:pPr>
              <w:jc w:val="left"/>
              <w:rPr>
                <w:rFonts w:ascii="Verdana" w:hAnsi="Verdana"/>
                <w:sz w:val="20"/>
              </w:rPr>
            </w:pPr>
            <w:r w:rsidRPr="001F4785">
              <w:rPr>
                <w:rFonts w:ascii="Verdana" w:hAnsi="Verdana"/>
                <w:b w:val="0"/>
                <w:sz w:val="20"/>
              </w:rPr>
              <w:t>base-shear influence coefficient, top-displacement coefficient, maximum inter-story drift coefficient</w:t>
            </w:r>
          </w:p>
        </w:tc>
        <w:tc>
          <w:tcPr>
            <w:tcW w:w="1768" w:type="dxa"/>
            <w:vAlign w:val="center"/>
          </w:tcPr>
          <w:p w:rsidR="00C54BB4" w:rsidRPr="001F4785" w:rsidRDefault="00C54BB4">
            <w:pPr>
              <w:jc w:val="left"/>
              <w:rPr>
                <w:rFonts w:ascii="Verdana" w:hAnsi="Verdana"/>
                <w:sz w:val="20"/>
              </w:rPr>
            </w:pPr>
            <w:r w:rsidRPr="001F4785">
              <w:rPr>
                <w:rFonts w:ascii="Verdana" w:hAnsi="Verdana"/>
                <w:b w:val="0"/>
                <w:sz w:val="20"/>
              </w:rPr>
              <w:t>Not a validation of the reduced closed-form formula; it is a cross-study range and mechanism check</w:t>
            </w:r>
          </w:p>
        </w:tc>
      </w:tr>
      <w:tr w:rsidR="00C54BB4" w:rsidRPr="001F4785" w:rsidTr="001F4785">
        <w:trPr>
          <w:cnfStyle w:val="000000100000" w:firstRow="0" w:lastRow="0" w:firstColumn="0" w:lastColumn="0" w:oddVBand="0" w:evenVBand="0" w:oddHBand="1" w:evenHBand="0" w:firstRowFirstColumn="0" w:firstRowLastColumn="0" w:lastRowFirstColumn="0" w:lastRowLastColumn="0"/>
        </w:trPr>
        <w:tc>
          <w:tcPr>
            <w:tcW w:w="1767" w:type="dxa"/>
            <w:vAlign w:val="center"/>
          </w:tcPr>
          <w:p w:rsidR="00C54BB4" w:rsidRPr="001F4785" w:rsidRDefault="00C54BB4">
            <w:pPr>
              <w:jc w:val="left"/>
              <w:rPr>
                <w:rFonts w:ascii="Verdana" w:hAnsi="Verdana"/>
                <w:sz w:val="20"/>
              </w:rPr>
            </w:pPr>
            <w:r w:rsidRPr="001F4785">
              <w:rPr>
                <w:rFonts w:ascii="Verdana" w:hAnsi="Verdana"/>
                <w:b w:val="0"/>
                <w:sz w:val="20"/>
              </w:rPr>
              <w:t xml:space="preserve">Tao, Fu and Li, The possibility of detrimental effects on soil-structure interaction in seismic design </w:t>
            </w:r>
            <w:r w:rsidRPr="001F4785">
              <w:rPr>
                <w:rFonts w:ascii="Verdana" w:hAnsi="Verdana"/>
                <w:b w:val="0"/>
                <w:sz w:val="20"/>
              </w:rPr>
              <w:t>due to a shift in system frequency</w:t>
            </w:r>
          </w:p>
        </w:tc>
        <w:tc>
          <w:tcPr>
            <w:tcW w:w="1767" w:type="dxa"/>
            <w:vAlign w:val="center"/>
          </w:tcPr>
          <w:p w:rsidR="00C54BB4" w:rsidRPr="001F4785" w:rsidRDefault="00C54BB4">
            <w:pPr>
              <w:jc w:val="left"/>
              <w:rPr>
                <w:rFonts w:ascii="Verdana" w:hAnsi="Verdana"/>
                <w:sz w:val="20"/>
              </w:rPr>
            </w:pPr>
            <w:r w:rsidRPr="001F4785">
              <w:rPr>
                <w:rFonts w:ascii="Verdana" w:hAnsi="Verdana"/>
                <w:b w:val="0"/>
                <w:sz w:val="20"/>
              </w:rPr>
              <w:t>2024</w:t>
            </w:r>
          </w:p>
        </w:tc>
        <w:tc>
          <w:tcPr>
            <w:tcW w:w="1768" w:type="dxa"/>
            <w:vAlign w:val="center"/>
          </w:tcPr>
          <w:p w:rsidR="00C54BB4" w:rsidRPr="001F4785" w:rsidRDefault="00C54BB4">
            <w:pPr>
              <w:jc w:val="left"/>
              <w:rPr>
                <w:rFonts w:ascii="Verdana" w:hAnsi="Verdana"/>
                <w:sz w:val="20"/>
              </w:rPr>
            </w:pPr>
            <w:r w:rsidRPr="001F4785">
              <w:rPr>
                <w:rFonts w:ascii="Verdana" w:hAnsi="Verdana"/>
                <w:b w:val="0"/>
                <w:sz w:val="20"/>
              </w:rPr>
              <w:t>medium-high</w:t>
            </w:r>
          </w:p>
        </w:tc>
        <w:tc>
          <w:tcPr>
            <w:tcW w:w="1768" w:type="dxa"/>
            <w:vAlign w:val="center"/>
          </w:tcPr>
          <w:p w:rsidR="00C54BB4" w:rsidRPr="001F4785" w:rsidRDefault="00C54BB4">
            <w:pPr>
              <w:jc w:val="left"/>
              <w:rPr>
                <w:rFonts w:ascii="Verdana" w:hAnsi="Verdana"/>
                <w:sz w:val="20"/>
              </w:rPr>
            </w:pPr>
            <w:r w:rsidRPr="001F4785">
              <w:rPr>
                <w:rFonts w:ascii="Verdana" w:hAnsi="Verdana"/>
                <w:b w:val="0"/>
                <w:sz w:val="20"/>
              </w:rPr>
              <w:t>system-frequency shift and detrimental response occurrence</w:t>
            </w:r>
          </w:p>
        </w:tc>
        <w:tc>
          <w:tcPr>
            <w:tcW w:w="1768" w:type="dxa"/>
            <w:vAlign w:val="center"/>
          </w:tcPr>
          <w:p w:rsidR="00C54BB4" w:rsidRPr="001F4785" w:rsidRDefault="00C54BB4">
            <w:pPr>
              <w:jc w:val="left"/>
              <w:rPr>
                <w:rFonts w:ascii="Verdana" w:hAnsi="Verdana"/>
                <w:sz w:val="20"/>
              </w:rPr>
            </w:pPr>
            <w:r>
              <w:rPr>
                <w:b w:val="0"/>
                <w:sz w:val="20"/>
              </w:rPr>
              <w:t>Does not directly provide article-116 class predictions or Rᵥ/error pairs</w:t>
            </w:r>
          </w:p>
        </w:tc>
      </w:tr>
      <w:tr w:rsidR="00C54BB4" w:rsidRPr="001F4785" w:rsidTr="001F4785">
        <w:tc>
          <w:tcPr>
            <w:tcW w:w="1767" w:type="dxa"/>
            <w:vAlign w:val="center"/>
          </w:tcPr>
          <w:p w:rsidR="00C54BB4" w:rsidRPr="001F4785" w:rsidRDefault="00C54BB4">
            <w:pPr>
              <w:jc w:val="left"/>
              <w:rPr>
                <w:rFonts w:ascii="Verdana" w:hAnsi="Verdana"/>
                <w:sz w:val="20"/>
              </w:rPr>
            </w:pPr>
            <w:r w:rsidRPr="001F4785">
              <w:rPr>
                <w:rFonts w:ascii="Verdana" w:hAnsi="Verdana"/>
                <w:b w:val="0"/>
                <w:sz w:val="20"/>
              </w:rPr>
              <w:t>Mylonakis and Gazetas, Seismic soil-structure interaction: Beneficial or detrimental?</w:t>
            </w:r>
          </w:p>
        </w:tc>
        <w:tc>
          <w:tcPr>
            <w:tcW w:w="1767" w:type="dxa"/>
            <w:vAlign w:val="center"/>
          </w:tcPr>
          <w:p w:rsidR="00C54BB4" w:rsidRPr="001F4785" w:rsidRDefault="00C54BB4">
            <w:pPr>
              <w:jc w:val="left"/>
              <w:rPr>
                <w:rFonts w:ascii="Verdana" w:hAnsi="Verdana"/>
                <w:sz w:val="20"/>
              </w:rPr>
            </w:pPr>
            <w:r w:rsidRPr="001F4785">
              <w:rPr>
                <w:rFonts w:ascii="Verdana" w:hAnsi="Verdana"/>
                <w:b w:val="0"/>
                <w:sz w:val="20"/>
              </w:rPr>
              <w:t>2000</w:t>
            </w:r>
          </w:p>
        </w:tc>
        <w:tc>
          <w:tcPr>
            <w:tcW w:w="1768" w:type="dxa"/>
            <w:vAlign w:val="center"/>
          </w:tcPr>
          <w:p w:rsidR="00C54BB4" w:rsidRPr="001F4785" w:rsidRDefault="00C54BB4">
            <w:pPr>
              <w:jc w:val="left"/>
              <w:rPr>
                <w:rFonts w:ascii="Verdana" w:hAnsi="Verdana"/>
                <w:sz w:val="20"/>
              </w:rPr>
            </w:pPr>
            <w:r w:rsidRPr="001F4785">
              <w:rPr>
                <w:rFonts w:ascii="Verdana" w:hAnsi="Verdana"/>
                <w:b w:val="0"/>
                <w:sz w:val="20"/>
              </w:rPr>
              <w:t>medium-high</w:t>
            </w:r>
          </w:p>
        </w:tc>
        <w:tc>
          <w:tcPr>
            <w:tcW w:w="1768" w:type="dxa"/>
            <w:vAlign w:val="center"/>
          </w:tcPr>
          <w:p w:rsidR="00C54BB4" w:rsidRPr="001F4785" w:rsidRDefault="00C54BB4">
            <w:pPr>
              <w:jc w:val="left"/>
              <w:rPr>
                <w:rFonts w:ascii="Verdana" w:hAnsi="Verdana"/>
                <w:sz w:val="20"/>
              </w:rPr>
            </w:pPr>
            <w:r w:rsidRPr="001F4785">
              <w:rPr>
                <w:rFonts w:ascii="Verdana" w:hAnsi="Verdana"/>
                <w:b w:val="0"/>
                <w:sz w:val="20"/>
              </w:rPr>
              <w:t>period elongation, damping, seismic demand</w:t>
            </w:r>
          </w:p>
        </w:tc>
        <w:tc>
          <w:tcPr>
            <w:tcW w:w="1768" w:type="dxa"/>
            <w:vAlign w:val="center"/>
          </w:tcPr>
          <w:p w:rsidR="00C54BB4" w:rsidRPr="001F4785" w:rsidRDefault="00C54BB4">
            <w:pPr>
              <w:jc w:val="left"/>
              <w:rPr>
                <w:rFonts w:ascii="Verdana" w:hAnsi="Verdana"/>
                <w:sz w:val="20"/>
              </w:rPr>
            </w:pPr>
            <w:r w:rsidRPr="001F4785">
              <w:rPr>
                <w:rFonts w:ascii="Verdana" w:hAnsi="Verdana"/>
                <w:b w:val="0"/>
                <w:sz w:val="20"/>
              </w:rPr>
              <w:t>Conceptual/theoretical external support, not a case-level benchmark</w:t>
            </w:r>
          </w:p>
        </w:tc>
      </w:tr>
      <w:tr w:rsidR="00C54BB4" w:rsidRPr="001F4785" w:rsidTr="001F4785">
        <w:trPr>
          <w:cnfStyle w:val="000000100000" w:firstRow="0" w:lastRow="0" w:firstColumn="0" w:lastColumn="0" w:oddVBand="0" w:evenVBand="0" w:oddHBand="1" w:evenHBand="0" w:firstRowFirstColumn="0" w:firstRowLastColumn="0" w:lastRowFirstColumn="0" w:lastRowLastColumn="0"/>
        </w:trPr>
        <w:tc>
          <w:tcPr>
            <w:tcW w:w="1767" w:type="dxa"/>
            <w:vAlign w:val="center"/>
          </w:tcPr>
          <w:p w:rsidR="00C54BB4" w:rsidRPr="001F4785" w:rsidRDefault="00C54BB4">
            <w:pPr>
              <w:jc w:val="left"/>
              <w:rPr>
                <w:rFonts w:ascii="Verdana" w:hAnsi="Verdana"/>
                <w:sz w:val="20"/>
              </w:rPr>
            </w:pPr>
            <w:r w:rsidRPr="001F4785">
              <w:rPr>
                <w:rFonts w:ascii="Verdana" w:hAnsi="Verdana"/>
                <w:b w:val="0"/>
                <w:sz w:val="20"/>
              </w:rPr>
              <w:t>Tileylioglu, Stewart and Nigbor, Dynamic stiffness and damping of a shallow foundation from forced vibration of a field test structure</w:t>
            </w:r>
          </w:p>
        </w:tc>
        <w:tc>
          <w:tcPr>
            <w:tcW w:w="1767" w:type="dxa"/>
            <w:vAlign w:val="center"/>
          </w:tcPr>
          <w:p w:rsidR="00C54BB4" w:rsidRPr="001F4785" w:rsidRDefault="00C54BB4">
            <w:pPr>
              <w:jc w:val="left"/>
              <w:rPr>
                <w:rFonts w:ascii="Verdana" w:hAnsi="Verdana"/>
                <w:sz w:val="20"/>
              </w:rPr>
            </w:pPr>
            <w:r w:rsidRPr="001F4785">
              <w:rPr>
                <w:rFonts w:ascii="Verdana" w:hAnsi="Verdana"/>
                <w:b w:val="0"/>
                <w:sz w:val="20"/>
              </w:rPr>
              <w:t>2011</w:t>
            </w:r>
          </w:p>
        </w:tc>
        <w:tc>
          <w:tcPr>
            <w:tcW w:w="1768" w:type="dxa"/>
            <w:vAlign w:val="center"/>
          </w:tcPr>
          <w:p w:rsidR="00C54BB4" w:rsidRPr="001F4785" w:rsidRDefault="00C54BB4">
            <w:pPr>
              <w:jc w:val="left"/>
              <w:rPr>
                <w:rFonts w:ascii="Verdana" w:hAnsi="Verdana"/>
                <w:sz w:val="20"/>
              </w:rPr>
            </w:pPr>
            <w:r w:rsidRPr="001F4785">
              <w:rPr>
                <w:rFonts w:ascii="Verdana" w:hAnsi="Verdana"/>
                <w:b w:val="0"/>
                <w:sz w:val="20"/>
              </w:rPr>
              <w:t>medium-high</w:t>
            </w:r>
          </w:p>
        </w:tc>
        <w:tc>
          <w:tcPr>
            <w:tcW w:w="1768" w:type="dxa"/>
            <w:vAlign w:val="center"/>
          </w:tcPr>
          <w:p w:rsidR="00C54BB4" w:rsidRPr="001F4785" w:rsidRDefault="00C54BB4">
            <w:pPr>
              <w:jc w:val="left"/>
              <w:rPr>
                <w:rFonts w:ascii="Verdana" w:hAnsi="Verdana"/>
                <w:sz w:val="20"/>
              </w:rPr>
            </w:pPr>
            <w:r w:rsidRPr="001F4785">
              <w:rPr>
                <w:rFonts w:ascii="Verdana" w:hAnsi="Verdana"/>
                <w:b w:val="0"/>
                <w:sz w:val="20"/>
              </w:rPr>
              <w:t>foundation stiffness, damping, frequency dependence, impedance consistency</w:t>
            </w:r>
          </w:p>
        </w:tc>
        <w:tc>
          <w:tcPr>
            <w:tcW w:w="1768" w:type="dxa"/>
            <w:vAlign w:val="center"/>
          </w:tcPr>
          <w:p w:rsidR="00C54BB4" w:rsidRPr="001F4785" w:rsidRDefault="00C54BB4">
            <w:pPr>
              <w:jc w:val="left"/>
              <w:rPr>
                <w:rFonts w:ascii="Verdana" w:hAnsi="Verdana"/>
                <w:sz w:val="20"/>
              </w:rPr>
            </w:pPr>
            <w:r w:rsidRPr="001F4785">
              <w:rPr>
                <w:rFonts w:ascii="Verdana" w:hAnsi="Verdana"/>
                <w:b w:val="0"/>
                <w:sz w:val="20"/>
              </w:rPr>
              <w:t>Field impedance support only; not nonlinear 3D response-history validation</w:t>
            </w:r>
          </w:p>
        </w:tc>
      </w:tr>
      <w:tr w:rsidR="00C54BB4" w:rsidRPr="001F4785" w:rsidTr="001F4785">
        <w:tc>
          <w:tcPr>
            <w:tcW w:w="1767" w:type="dxa"/>
            <w:vAlign w:val="center"/>
          </w:tcPr>
          <w:p w:rsidR="00C54BB4" w:rsidRPr="001F4785" w:rsidRDefault="00C54BB4">
            <w:pPr>
              <w:jc w:val="left"/>
              <w:rPr>
                <w:rFonts w:ascii="Verdana" w:hAnsi="Verdana"/>
                <w:sz w:val="20"/>
              </w:rPr>
            </w:pPr>
            <w:r w:rsidRPr="001F4785">
              <w:rPr>
                <w:rFonts w:ascii="Verdana" w:hAnsi="Verdana"/>
                <w:b w:val="0"/>
                <w:sz w:val="20"/>
              </w:rPr>
              <w:t>Zhang and Far, Effects of dynamic soil-structure interaction on seismic behaviour of high-rise buildings</w:t>
            </w:r>
          </w:p>
        </w:tc>
        <w:tc>
          <w:tcPr>
            <w:tcW w:w="1767" w:type="dxa"/>
            <w:vAlign w:val="center"/>
          </w:tcPr>
          <w:p w:rsidR="00C54BB4" w:rsidRPr="001F4785" w:rsidRDefault="00C54BB4">
            <w:pPr>
              <w:jc w:val="left"/>
              <w:rPr>
                <w:rFonts w:ascii="Verdana" w:hAnsi="Verdana"/>
                <w:sz w:val="20"/>
              </w:rPr>
            </w:pPr>
            <w:r w:rsidRPr="001F4785">
              <w:rPr>
                <w:rFonts w:ascii="Verdana" w:hAnsi="Verdana"/>
                <w:b w:val="0"/>
                <w:sz w:val="20"/>
              </w:rPr>
              <w:t>2022</w:t>
            </w:r>
          </w:p>
        </w:tc>
        <w:tc>
          <w:tcPr>
            <w:tcW w:w="1768" w:type="dxa"/>
            <w:vAlign w:val="center"/>
          </w:tcPr>
          <w:p w:rsidR="00C54BB4" w:rsidRPr="001F4785" w:rsidRDefault="00C54BB4">
            <w:pPr>
              <w:jc w:val="left"/>
              <w:rPr>
                <w:rFonts w:ascii="Verdana" w:hAnsi="Verdana"/>
                <w:sz w:val="20"/>
              </w:rPr>
            </w:pPr>
            <w:r w:rsidRPr="001F4785">
              <w:rPr>
                <w:rFonts w:ascii="Verdana" w:hAnsi="Verdana"/>
                <w:b w:val="0"/>
                <w:sz w:val="20"/>
              </w:rPr>
              <w:t>medium</w:t>
            </w:r>
          </w:p>
        </w:tc>
        <w:tc>
          <w:tcPr>
            <w:tcW w:w="1768" w:type="dxa"/>
            <w:vAlign w:val="center"/>
          </w:tcPr>
          <w:p w:rsidR="00C54BB4" w:rsidRPr="001F4785" w:rsidRDefault="00C54BB4">
            <w:pPr>
              <w:jc w:val="left"/>
              <w:rPr>
                <w:rFonts w:ascii="Verdana" w:hAnsi="Verdana"/>
                <w:sz w:val="20"/>
              </w:rPr>
            </w:pPr>
            <w:r w:rsidRPr="001F4785">
              <w:rPr>
                <w:rFonts w:ascii="Verdana" w:hAnsi="Verdana"/>
                <w:b w:val="0"/>
                <w:sz w:val="20"/>
              </w:rPr>
              <w:t>seismic response under dynamic SSI</w:t>
            </w:r>
          </w:p>
        </w:tc>
        <w:tc>
          <w:tcPr>
            <w:tcW w:w="1768" w:type="dxa"/>
            <w:vAlign w:val="center"/>
          </w:tcPr>
          <w:p w:rsidR="00C54BB4" w:rsidRPr="001F4785" w:rsidRDefault="00C54BB4">
            <w:pPr>
              <w:jc w:val="left"/>
              <w:rPr>
                <w:rFonts w:ascii="Verdana" w:hAnsi="Verdana"/>
                <w:sz w:val="20"/>
              </w:rPr>
            </w:pPr>
            <w:r w:rsidRPr="001F4785">
              <w:rPr>
                <w:rFonts w:ascii="Verdana" w:hAnsi="Verdana"/>
                <w:b w:val="0"/>
                <w:sz w:val="20"/>
              </w:rPr>
              <w:t>Secondary support only</w:t>
            </w:r>
          </w:p>
        </w:tc>
      </w:tr>
    </w:tbl>
    <w:p w:rsidR="00C54BB4" w:rsidRDefault="00C54BB4">
      <w:pPr>
        <w:rPr>
          <w:rFonts w:ascii="Verdana" w:hAnsi="Verdana"/>
        </w:rPr>
      </w:pPr>
    </w:p>
    <w:p w:rsidR="00C54BB4" w:rsidRDefault="00C54BB4">
      <w:pPr>
        <w:rPr>
          <w:rFonts w:ascii="Verdana" w:hAnsi="Verdana"/>
        </w:rPr>
      </w:pPr>
    </w:p>
    <w:p w:rsidR="00C54BB4" w:rsidRDefault="00C54BB4">
      <w:pPr>
        <w:keepNext/>
        <w:jc w:val="both"/>
        <w:rPr>
          <w:rFonts w:ascii="Verdana" w:hAnsi="Verdana"/>
          <w:b/>
        </w:rPr>
      </w:pPr>
      <w:r>
        <w:rPr>
          <w:rFonts w:ascii="Verdana" w:hAnsi="Verdana"/>
          <w:b w:val="0"/>
          <w:sz w:val="22"/>
        </w:rPr>
        <w:t>Table S2. Zhang and Far (2024) period-ratio extraction summary.</w:t>
      </w:r>
    </w:p>
    <w:tbl>
      <w:tblPr>
        <w:tblStyle w:val="PlainTable2"/>
        <w:tblW w:w="0" w:type="auto"/>
        <w:jc w:val="center"/>
        <w:tblLayout w:type="fixed"/>
        <w:tblLook w:val="0420" w:firstRow="1" w:lastRow="0" w:firstColumn="0" w:lastColumn="0" w:noHBand="0" w:noVBand="1"/>
      </w:tblPr>
      <w:tblGrid>
        <w:gridCol w:w="1262"/>
        <w:gridCol w:w="1262"/>
        <w:gridCol w:w="1262"/>
        <w:gridCol w:w="1263"/>
        <w:gridCol w:w="1263"/>
        <w:gridCol w:w="1263"/>
        <w:gridCol w:w="1263"/>
      </w:tblGrid>
      <w:tr w:rsidR="00C54BB4" w:rsidRPr="001F4785" w:rsidTr="001F4785">
        <w:trPr>
          <w:cnfStyle w:val="100000000000" w:firstRow="1" w:lastRow="0" w:firstColumn="0" w:lastColumn="0" w:oddVBand="0" w:evenVBand="0" w:oddHBand="0" w:evenHBand="0" w:firstRowFirstColumn="0" w:firstRowLastColumn="0" w:lastRowFirstColumn="0" w:lastRowLastColumn="0"/>
          <w:tblHeader w:val="true"/>
        </w:trPr>
        <w:tc>
          <w:tcPr>
            <w:tcW w:w="1262" w:type="dxa"/>
            <w:vAlign w:val="center"/>
          </w:tcPr>
          <w:p w:rsidR="00C54BB4" w:rsidRPr="001F4785" w:rsidRDefault="00C54BB4">
            <w:pPr>
              <w:jc w:val="left"/>
              <w:rPr>
                <w:rFonts w:ascii="Verdana" w:hAnsi="Verdana"/>
                <w:sz w:val="20"/>
              </w:rPr>
            </w:pPr>
            <w:r w:rsidRPr="001F4785">
              <w:rPr>
                <w:rFonts w:ascii="Verdana" w:hAnsi="Verdana"/>
                <w:b/>
                <w:sz w:val="20"/>
              </w:rPr>
              <w:t>Extracted cases</w:t>
            </w:r>
          </w:p>
        </w:tc>
        <w:tc>
          <w:tcPr>
            <w:tcW w:w="1262" w:type="dxa"/>
            <w:vAlign w:val="center"/>
          </w:tcPr>
          <w:p w:rsidR="00C54BB4" w:rsidRPr="001F4785" w:rsidRDefault="00C54BB4">
            <w:pPr>
              <w:jc w:val="left"/>
              <w:rPr>
                <w:rFonts w:ascii="Verdana" w:hAnsi="Verdana"/>
                <w:sz w:val="20"/>
              </w:rPr>
            </w:pPr>
            <w:r>
              <w:rPr>
                <w:b/>
                <w:sz w:val="20"/>
              </w:rPr>
              <w:t>λ min</w:t>
            </w:r>
          </w:p>
        </w:tc>
        <w:tc>
          <w:tcPr>
            <w:tcW w:w="1262" w:type="dxa"/>
            <w:vAlign w:val="center"/>
          </w:tcPr>
          <w:p w:rsidR="00C54BB4" w:rsidRPr="001F4785" w:rsidRDefault="00C54BB4">
            <w:pPr>
              <w:jc w:val="left"/>
              <w:rPr>
                <w:rFonts w:ascii="Verdana" w:hAnsi="Verdana"/>
                <w:sz w:val="20"/>
              </w:rPr>
            </w:pPr>
            <w:r>
              <w:rPr>
                <w:b/>
                <w:sz w:val="20"/>
              </w:rPr>
              <w:t>λ max</w:t>
            </w:r>
          </w:p>
        </w:tc>
        <w:tc>
          <w:tcPr>
            <w:tcW w:w="1263" w:type="dxa"/>
            <w:vAlign w:val="center"/>
          </w:tcPr>
          <w:p w:rsidR="00C54BB4" w:rsidRPr="001F4785" w:rsidRDefault="00C54BB4">
            <w:pPr>
              <w:jc w:val="left"/>
              <w:rPr>
                <w:rFonts w:ascii="Verdana" w:hAnsi="Verdana"/>
                <w:sz w:val="20"/>
              </w:rPr>
            </w:pPr>
            <w:r>
              <w:rPr>
                <w:b/>
                <w:sz w:val="20"/>
              </w:rPr>
              <w:t>λ mean</w:t>
            </w:r>
          </w:p>
        </w:tc>
        <w:tc>
          <w:tcPr>
            <w:tcW w:w="1263" w:type="dxa"/>
            <w:vAlign w:val="center"/>
          </w:tcPr>
          <w:p w:rsidR="00C54BB4" w:rsidRPr="001F4785" w:rsidRDefault="00C54BB4">
            <w:pPr>
              <w:jc w:val="left"/>
              <w:rPr>
                <w:rFonts w:ascii="Verdana" w:hAnsi="Verdana"/>
                <w:sz w:val="20"/>
              </w:rPr>
            </w:pPr>
            <w:r>
              <w:rPr>
                <w:b/>
                <w:sz w:val="20"/>
              </w:rPr>
              <w:t>η min</w:t>
            </w:r>
          </w:p>
        </w:tc>
        <w:tc>
          <w:tcPr>
            <w:tcW w:w="1263" w:type="dxa"/>
            <w:vAlign w:val="center"/>
          </w:tcPr>
          <w:p w:rsidR="00C54BB4" w:rsidRPr="001F4785" w:rsidRDefault="00C54BB4">
            <w:pPr>
              <w:jc w:val="left"/>
              <w:rPr>
                <w:rFonts w:ascii="Verdana" w:hAnsi="Verdana"/>
                <w:sz w:val="20"/>
              </w:rPr>
            </w:pPr>
            <w:r>
              <w:rPr>
                <w:b/>
                <w:sz w:val="20"/>
              </w:rPr>
              <w:t>η max</w:t>
            </w:r>
          </w:p>
        </w:tc>
        <w:tc>
          <w:tcPr>
            <w:tcW w:w="1263" w:type="dxa"/>
            <w:vAlign w:val="center"/>
          </w:tcPr>
          <w:p w:rsidR="00C54BB4" w:rsidRPr="001F4785" w:rsidRDefault="00C54BB4">
            <w:pPr>
              <w:jc w:val="left"/>
              <w:rPr>
                <w:rFonts w:ascii="Verdana" w:hAnsi="Verdana"/>
                <w:sz w:val="20"/>
              </w:rPr>
            </w:pPr>
            <w:r>
              <w:rPr>
                <w:b/>
                <w:sz w:val="20"/>
              </w:rPr>
              <w:t>η mean</w:t>
            </w:r>
          </w:p>
        </w:tc>
      </w:tr>
      <w:tr w:rsidR="00C54BB4" w:rsidRPr="001F4785" w:rsidTr="001F4785">
        <w:trPr>
          <w:cnfStyle w:val="000000100000" w:firstRow="0" w:lastRow="0" w:firstColumn="0" w:lastColumn="0" w:oddVBand="0" w:evenVBand="0" w:oddHBand="1" w:evenHBand="0" w:firstRowFirstColumn="0" w:firstRowLastColumn="0" w:lastRowFirstColumn="0" w:lastRowLastColumn="0"/>
        </w:trPr>
        <w:tc>
          <w:tcPr>
            <w:tcW w:w="1262" w:type="dxa"/>
            <w:vAlign w:val="center"/>
          </w:tcPr>
          <w:p w:rsidR="00C54BB4" w:rsidRPr="001F4785" w:rsidRDefault="00C54BB4">
            <w:pPr>
              <w:jc w:val="left"/>
              <w:rPr>
                <w:rFonts w:ascii="Verdana" w:hAnsi="Verdana"/>
                <w:sz w:val="20"/>
              </w:rPr>
            </w:pPr>
            <w:r w:rsidRPr="001F4785">
              <w:rPr>
                <w:rFonts w:ascii="Verdana" w:hAnsi="Verdana"/>
                <w:b w:val="0"/>
                <w:sz w:val="20"/>
              </w:rPr>
              <w:t>108</w:t>
            </w:r>
          </w:p>
        </w:tc>
        <w:tc>
          <w:tcPr>
            <w:tcW w:w="1262" w:type="dxa"/>
            <w:vAlign w:val="center"/>
          </w:tcPr>
          <w:p w:rsidR="00C54BB4" w:rsidRPr="001F4785" w:rsidRDefault="00C54BB4">
            <w:pPr>
              <w:jc w:val="left"/>
              <w:rPr>
                <w:rFonts w:ascii="Verdana" w:hAnsi="Verdana"/>
                <w:sz w:val="20"/>
              </w:rPr>
            </w:pPr>
            <w:r w:rsidRPr="001F4785">
              <w:rPr>
                <w:rFonts w:ascii="Verdana" w:hAnsi="Verdana"/>
                <w:b w:val="0"/>
                <w:sz w:val="20"/>
              </w:rPr>
              <w:t>1.044</w:t>
            </w:r>
          </w:p>
        </w:tc>
        <w:tc>
          <w:tcPr>
            <w:tcW w:w="1262" w:type="dxa"/>
            <w:vAlign w:val="center"/>
          </w:tcPr>
          <w:p w:rsidR="00C54BB4" w:rsidRPr="001F4785" w:rsidRDefault="00C54BB4">
            <w:pPr>
              <w:jc w:val="left"/>
              <w:rPr>
                <w:rFonts w:ascii="Verdana" w:hAnsi="Verdana"/>
                <w:sz w:val="20"/>
              </w:rPr>
            </w:pPr>
            <w:r w:rsidRPr="001F4785">
              <w:rPr>
                <w:rFonts w:ascii="Verdana" w:hAnsi="Verdana"/>
                <w:b w:val="0"/>
                <w:sz w:val="20"/>
              </w:rPr>
              <w:t>1.745</w:t>
            </w:r>
          </w:p>
        </w:tc>
        <w:tc>
          <w:tcPr>
            <w:tcW w:w="1263" w:type="dxa"/>
            <w:vAlign w:val="center"/>
          </w:tcPr>
          <w:p w:rsidR="00C54BB4" w:rsidRPr="001F4785" w:rsidRDefault="00C54BB4">
            <w:pPr>
              <w:jc w:val="left"/>
              <w:rPr>
                <w:rFonts w:ascii="Verdana" w:hAnsi="Verdana"/>
                <w:sz w:val="20"/>
              </w:rPr>
            </w:pPr>
            <w:r w:rsidRPr="001F4785">
              <w:rPr>
                <w:rFonts w:ascii="Verdana" w:hAnsi="Verdana"/>
                <w:b w:val="0"/>
                <w:sz w:val="20"/>
              </w:rPr>
              <w:t>1.212</w:t>
            </w:r>
          </w:p>
        </w:tc>
        <w:tc>
          <w:tcPr>
            <w:tcW w:w="1263" w:type="dxa"/>
            <w:vAlign w:val="center"/>
          </w:tcPr>
          <w:p w:rsidR="00C54BB4" w:rsidRPr="001F4785" w:rsidRDefault="00C54BB4">
            <w:pPr>
              <w:jc w:val="left"/>
              <w:rPr>
                <w:rFonts w:ascii="Verdana" w:hAnsi="Verdana"/>
                <w:sz w:val="20"/>
              </w:rPr>
            </w:pPr>
            <w:r w:rsidRPr="001F4785">
              <w:rPr>
                <w:rFonts w:ascii="Verdana" w:hAnsi="Verdana"/>
                <w:b w:val="0"/>
                <w:sz w:val="20"/>
              </w:rPr>
              <w:t>0.091</w:t>
            </w:r>
          </w:p>
        </w:tc>
        <w:tc>
          <w:tcPr>
            <w:tcW w:w="1263" w:type="dxa"/>
            <w:vAlign w:val="center"/>
          </w:tcPr>
          <w:p w:rsidR="00C54BB4" w:rsidRPr="001F4785" w:rsidRDefault="00C54BB4">
            <w:pPr>
              <w:jc w:val="left"/>
              <w:rPr>
                <w:rFonts w:ascii="Verdana" w:hAnsi="Verdana"/>
                <w:sz w:val="20"/>
              </w:rPr>
            </w:pPr>
            <w:r w:rsidRPr="001F4785">
              <w:rPr>
                <w:rFonts w:ascii="Verdana" w:hAnsi="Verdana"/>
                <w:b w:val="0"/>
                <w:sz w:val="20"/>
              </w:rPr>
              <w:t>2.044</w:t>
            </w:r>
          </w:p>
        </w:tc>
        <w:tc>
          <w:tcPr>
            <w:tcW w:w="1263" w:type="dxa"/>
            <w:vAlign w:val="center"/>
          </w:tcPr>
          <w:p w:rsidR="00C54BB4" w:rsidRPr="001F4785" w:rsidRDefault="00C54BB4">
            <w:pPr>
              <w:jc w:val="left"/>
              <w:rPr>
                <w:rFonts w:ascii="Verdana" w:hAnsi="Verdana"/>
                <w:sz w:val="20"/>
              </w:rPr>
            </w:pPr>
            <w:r w:rsidRPr="001F4785">
              <w:rPr>
                <w:rFonts w:ascii="Verdana" w:hAnsi="Verdana"/>
                <w:b w:val="0"/>
                <w:sz w:val="20"/>
              </w:rPr>
              <w:t>0.494</w:t>
            </w:r>
          </w:p>
        </w:tc>
      </w:tr>
    </w:tbl>
    <w:p w:rsidR="00C54BB4" w:rsidRDefault="00C54BB4">
      <w:pPr>
        <w:rPr>
          <w:rFonts w:ascii="Verdana" w:hAnsi="Verdana"/>
        </w:rPr>
      </w:pPr>
    </w:p>
    <w:p w:rsidR="00C54BB4" w:rsidRDefault="00C54BB4">
      <w:pPr>
        <w:rPr>
          <w:rFonts w:ascii="Verdana" w:hAnsi="Verdana"/>
        </w:rPr>
      </w:pPr>
    </w:p>
    <w:p w:rsidR="00C54BB4" w:rsidRDefault="00C54BB4">
      <w:pPr>
        <w:jc w:val="both"/>
        <w:rPr>
          <w:rFonts w:ascii="Verdana" w:hAnsi="Verdana"/>
        </w:rPr>
      </w:pPr>
      <w:r>
        <w:rPr>
          <w:rFonts w:ascii="Verdana" w:hAnsi="Verdana"/>
          <w:sz w:val="22"/>
        </w:rPr>
        <w:t>The external literature layer is used as consistency evidence only. It does not establish independent nonlinear three-dimensional response-history validation of the screening criterion.</w:t>
      </w:r>
    </w:p>
    <w:p w:rsidR="00A81312" w:rsidRDefault="00A81312">
      <w:pPr>
        <w:rPr>
          <w:rFonts w:ascii="Verdana" w:hAnsi="Verdana"/>
        </w:rPr>
      </w:pPr>
    </w:p>
    <w:p w:rsidR="00A81312" w:rsidRDefault="00A81312">
      <w:pPr>
        <w:keepNext/>
        <w:jc w:val="both"/>
        <w:rPr>
          <w:rFonts w:ascii="Verdana" w:hAnsi="Verdana"/>
        </w:rPr>
      </w:pPr>
      <w:r>
        <w:rPr>
          <w:rFonts w:ascii="Verdana" w:hAnsi="Verdana"/>
          <w:b w:val="0"/>
          <w:sz w:val="22"/>
        </w:rPr>
        <w:t>Table S3. Claim gap matrix for screening-level contribution.</w:t>
      </w:r>
    </w:p>
    <w:tbl>
      <w:tblPr>
        <w:tblStyle w:val="PlainTable2"/>
        <w:tblW w:w="5000" w:type="pct"/>
        <w:jc w:val="center"/>
        <w:tblLook w:val="0420" w:firstRow="1" w:lastRow="0" w:firstColumn="0" w:lastColumn="0" w:noHBand="0" w:noVBand="1"/>
      </w:tblPr>
      <w:tblGrid>
        <w:gridCol w:w="2133"/>
        <w:gridCol w:w="1676"/>
        <w:gridCol w:w="1676"/>
        <w:gridCol w:w="1676"/>
        <w:gridCol w:w="1677"/>
      </w:tblGrid>
      <w:tr w:rsidR="00A81312" w:rsidRPr="001F4785" w:rsidTr="001F4785">
        <w:trPr>
          <w:cnfStyle w:val="100000000000" w:firstRow="1" w:lastRow="0" w:firstColumn="0" w:lastColumn="0" w:oddVBand="0" w:evenVBand="0" w:oddHBand="0" w:evenHBand="0" w:firstRowFirstColumn="0" w:firstRowLastColumn="0" w:lastRowFirstColumn="0" w:lastRowLastColumn="0"/>
          <w:tblHeader w:val="true"/>
        </w:trPr>
        <w:tc>
          <w:tcPr>
            <w:tcW w:w="1000" w:type="pct"/>
            <w:vAlign w:val="center"/>
          </w:tcPr>
          <w:p w:rsidR="00A81312" w:rsidRPr="001F4785" w:rsidRDefault="00A81312">
            <w:pPr>
              <w:jc w:val="left"/>
              <w:rPr>
                <w:rFonts w:ascii="Verdana" w:hAnsi="Verdana"/>
                <w:sz w:val="20"/>
              </w:rPr>
            </w:pPr>
            <w:r w:rsidRPr="001F4785">
              <w:rPr>
                <w:rFonts w:ascii="Verdana" w:hAnsi="Verdana"/>
                <w:b/>
                <w:sz w:val="20"/>
              </w:rPr>
              <w:t>Claim needed for screening</w:t>
            </w:r>
          </w:p>
        </w:tc>
        <w:tc>
          <w:tcPr>
            <w:tcW w:w="1000" w:type="pct"/>
            <w:vAlign w:val="center"/>
          </w:tcPr>
          <w:p w:rsidR="00A81312" w:rsidRPr="001F4785" w:rsidRDefault="00A81312">
            <w:pPr>
              <w:jc w:val="left"/>
              <w:rPr>
                <w:rFonts w:ascii="Verdana" w:hAnsi="Verdana"/>
                <w:sz w:val="20"/>
              </w:rPr>
            </w:pPr>
            <w:r w:rsidRPr="001F4785">
              <w:rPr>
                <w:rFonts w:ascii="Verdana" w:hAnsi="Verdana"/>
                <w:b/>
                <w:sz w:val="20"/>
              </w:rPr>
              <w:t>Existing guidance</w:t>
            </w:r>
          </w:p>
        </w:tc>
        <w:tc>
          <w:tcPr>
            <w:tcW w:w="1000" w:type="pct"/>
            <w:vAlign w:val="center"/>
          </w:tcPr>
          <w:p w:rsidR="00A81312" w:rsidRPr="001F4785" w:rsidRDefault="00A81312">
            <w:pPr>
              <w:jc w:val="left"/>
              <w:rPr>
                <w:rFonts w:ascii="Verdana" w:hAnsi="Verdana"/>
                <w:sz w:val="20"/>
              </w:rPr>
            </w:pPr>
            <w:r w:rsidRPr="001F4785">
              <w:rPr>
                <w:rFonts w:ascii="Verdana" w:hAnsi="Verdana"/>
                <w:b/>
                <w:sz w:val="20"/>
              </w:rPr>
              <w:t>FE/SSI simulations</w:t>
            </w:r>
          </w:p>
        </w:tc>
        <w:tc>
          <w:tcPr>
            <w:tcW w:w="1000" w:type="pct"/>
            <w:vAlign w:val="center"/>
          </w:tcPr>
          <w:p w:rsidR="00A81312" w:rsidRPr="001F4785" w:rsidRDefault="00A81312">
            <w:pPr>
              <w:jc w:val="left"/>
              <w:rPr>
                <w:rFonts w:ascii="Verdana" w:hAnsi="Verdana"/>
                <w:sz w:val="20"/>
              </w:rPr>
            </w:pPr>
            <w:r w:rsidRPr="001F4785">
              <w:rPr>
                <w:rFonts w:ascii="Verdana" w:hAnsi="Verdana"/>
                <w:b/>
                <w:sz w:val="20"/>
              </w:rPr>
              <w:t>Rocking databases</w:t>
            </w:r>
          </w:p>
        </w:tc>
        <w:tc>
          <w:tcPr>
            <w:tcW w:w="1000" w:type="pct"/>
            <w:vAlign w:val="center"/>
          </w:tcPr>
          <w:p w:rsidR="00A81312" w:rsidRPr="001F4785" w:rsidRDefault="00A81312">
            <w:pPr>
              <w:jc w:val="left"/>
              <w:rPr>
                <w:rFonts w:ascii="Verdana" w:hAnsi="Verdana"/>
                <w:sz w:val="20"/>
              </w:rPr>
            </w:pPr>
            <w:r w:rsidRPr="001F4785">
              <w:rPr>
                <w:rFonts w:ascii="Verdana" w:hAnsi="Verdana"/>
                <w:b/>
                <w:sz w:val="20"/>
              </w:rPr>
              <w:t>This paper</w:t>
            </w:r>
          </w:p>
        </w:tc>
      </w:tr>
      <w:tr w:rsidR="00A81312" w:rsidRPr="001F4785" w:rsidTr="001F4785">
        <w:trPr>
          <w:cnfStyle w:val="000000100000" w:firstRow="0" w:lastRow="0" w:firstColumn="0" w:lastColumn="0" w:oddVBand="0" w:evenVBand="0" w:oddHBand="1" w:evenHBand="0" w:firstRowFirstColumn="0" w:firstRowLastColumn="0" w:lastRowFirstColumn="0" w:lastRowLastColumn="0"/>
        </w:trPr>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Closed force/displacement boundary</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No</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No</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No</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Yes</w:t>
            </w:r>
          </w:p>
        </w:tc>
      </w:tr>
      <w:tr w:rsidR="00A81312" w:rsidRPr="001F4785" w:rsidTr="001F4785">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Spectral slope window</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No</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Implicit</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No</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Yes</w:t>
            </w:r>
          </w:p>
        </w:tc>
      </w:tr>
      <w:tr w:rsidR="00A81312" w:rsidRPr="001F4785" w:rsidTr="001F4785">
        <w:trPr>
          <w:cnfStyle w:val="000000100000" w:firstRow="0" w:lastRow="0" w:firstColumn="0" w:lastColumn="0" w:oddVBand="0" w:evenVBand="0" w:oddHBand="1" w:evenHBand="0" w:firstRowFirstColumn="0" w:firstRowLastColumn="0" w:lastRowFirstColumn="0" w:lastRowLastColumn="0"/>
        </w:trPr>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False-safe metric</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No</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Rare</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No</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Yes</w:t>
            </w:r>
          </w:p>
        </w:tc>
      </w:tr>
      <w:tr w:rsidR="00A81312" w:rsidRPr="001F4785" w:rsidTr="001F4785">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Robust/marginal classification</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No</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Case-specific</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No</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Yes</w:t>
            </w:r>
          </w:p>
        </w:tc>
      </w:tr>
      <w:tr w:rsidR="00A81312" w:rsidRPr="001F4785" w:rsidTr="001F4785">
        <w:trPr>
          <w:cnfStyle w:val="000000100000" w:firstRow="0" w:lastRow="0" w:firstColumn="0" w:lastColumn="0" w:oddVBand="0" w:evenVBand="0" w:oddHBand="1" w:evenHBand="0" w:firstRowFirstColumn="0" w:firstRowLastColumn="0" w:lastRowFirstColumn="0" w:lastRowLastColumn="0"/>
        </w:trPr>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Experimental proxy class audit</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No</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No</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Data only</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Yes</w:t>
            </w:r>
          </w:p>
        </w:tc>
      </w:tr>
      <w:tr w:rsidR="00A81312" w:rsidRPr="001F4785" w:rsidTr="001F4785">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Reproducible scripts/hashes</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No</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Rare</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Data only</w:t>
            </w:r>
          </w:p>
        </w:tc>
        <w:tc>
          <w:tcPr>
            <w:tcW w:w="1000" w:type="pct"/>
            <w:vAlign w:val="center"/>
          </w:tcPr>
          <w:p w:rsidR="00A81312" w:rsidRPr="001F4785" w:rsidRDefault="00A81312">
            <w:pPr>
              <w:jc w:val="left"/>
              <w:rPr>
                <w:rFonts w:ascii="Verdana" w:hAnsi="Verdana"/>
                <w:sz w:val="20"/>
              </w:rPr>
            </w:pPr>
            <w:r w:rsidRPr="001F4785">
              <w:rPr>
                <w:rFonts w:ascii="Verdana" w:hAnsi="Verdana"/>
                <w:b w:val="0"/>
                <w:sz w:val="20"/>
              </w:rPr>
              <w:t>Yes</w:t>
            </w:r>
          </w:p>
        </w:tc>
      </w:tr>
    </w:tbl>
    <w:p w:rsidR="00C54BB4" w:rsidRPr="00C54BB4" w:rsidRDefault="00C54BB4">
      <w:pPr>
        <w:rPr>
          <w:rFonts w:ascii="Verdana" w:hAnsi="Verdana"/>
        </w:rPr>
      </w:pPr>
    </w:p>
    <w:p>
      <w:r>
        <w:br w:type="page"/>
      </w:r>
    </w:p>
    <w:p>
      <w:pPr>
        <w:jc w:val="both"/>
      </w:pPr>
      <w:r>
        <w:rPr>
          <w:b/>
          <w:sz w:val="22"/>
        </w:rPr>
        <w:t>S4. Detailed methodological hierarchy and claim-boundary gates moved from main text</w:t>
      </w:r>
    </w:p>
    <w:p w:rsidR="00BF7867" w:rsidRDefault="00AF2D23">
      <w:pPr>
        <w:pStyle w:val="Heading1"/>
        <w:jc w:val="both"/>
      </w:pPr>
      <w:r>
        <w:rPr>
          <w:sz w:val="22"/>
        </w:rPr>
        <w:t>5 Methodological framework</w:t>
      </w:r>
    </w:p>
    <w:p w:rsidR="00BF7867" w:rsidRDefault="00AF2D23">
      <w:pPr>
        <w:jc w:val="both"/>
      </w:pPr>
      <w:r>
        <w:rPr>
          <w:sz w:val="22"/>
        </w:rPr>
        <w:t>This study evaluates the SSI Demand-Polarity Map through a hierarchical, falsable protocol rather than through an undifferentiated collection of checks. Each layer has a distinct purpose, data type, independence level, pass/fail gate and claim boundary. Verification, spectral consistency, synthetic stress testing, external mapping, solver consistency and field benchmark falsification are therefore treated as separate evidence classes.</w:t>
      </w:r>
    </w:p>
    <w:p w:rsidR="00BF7867" w:rsidRDefault="00AF2D23">
      <w:pPr>
        <w:pStyle w:val="Heading2"/>
        <w:jc w:val="both"/>
      </w:pPr>
      <w:r>
        <w:rPr>
          <w:sz w:val="22"/>
        </w:rPr>
        <w:t>5.1 Evidence hierarchy and claim boundaries</w:t>
      </w:r>
    </w:p>
    <w:p w:rsidR="00BF7867" w:rsidRDefault="00AF2D23">
      <w:pPr>
        <w:keepNext/>
        <w:jc w:val="both"/>
      </w:pPr>
      <w:r>
        <w:rPr>
          <w:b w:val="0"/>
          <w:sz w:val="22"/>
        </w:rPr>
        <w:t>Table M1. Methodological evidence hierarchy and claim boundaries.</w:t>
      </w:r>
    </w:p>
    <w:tbl>
      <w:tblPr>
        <w:tblStyle w:val="PlainTable2"/>
        <w:tblW w:w="0" w:type="auto"/>
        <w:jc w:val="center"/>
        <w:tblLook w:val="0420" w:firstRow="1" w:lastRow="0" w:firstColumn="0" w:lastColumn="0" w:noHBand="0" w:noVBand="1"/>
      </w:tblPr>
      <w:tblGrid>
        <w:gridCol w:w="1041"/>
        <w:gridCol w:w="1107"/>
        <w:gridCol w:w="2056"/>
        <w:gridCol w:w="1232"/>
        <w:gridCol w:w="1078"/>
        <w:gridCol w:w="1145"/>
        <w:gridCol w:w="1701"/>
      </w:tblGrid>
      <w:tr w:rsidR="00BF7867" w:rsidRPr="00EC2BC6" w:rsidTr="00EC2BC6">
        <w:trPr>
          <w:cnfStyle w:val="100000000000" w:firstRow="1" w:lastRow="0" w:firstColumn="0" w:lastColumn="0" w:oddVBand="0" w:evenVBand="0" w:oddHBand="0" w:evenHBand="0" w:firstRowFirstColumn="0" w:firstRowLastColumn="0" w:lastRowFirstColumn="0" w:lastRowLastColumn="0"/>
          <w:tblHeader w:val="true"/>
        </w:trPr>
        <w:tc>
          <w:tcPr>
            <w:tcW w:w="1337" w:type="dxa"/>
            <w:vAlign w:val="center"/>
          </w:tcPr>
          <w:p w:rsidR="00BF7867" w:rsidRPr="00EC2BC6" w:rsidRDefault="00AF2D23">
            <w:pPr>
              <w:jc w:val="left"/>
              <w:rPr>
                <w:sz w:val="20"/>
              </w:rPr>
            </w:pPr>
            <w:r w:rsidRPr="00EC2BC6">
              <w:rPr>
                <w:b/>
                <w:sz w:val="20"/>
              </w:rPr>
              <w:t>Layer</w:t>
            </w:r>
          </w:p>
        </w:tc>
        <w:tc>
          <w:tcPr>
            <w:tcW w:w="1337" w:type="dxa"/>
            <w:vAlign w:val="center"/>
          </w:tcPr>
          <w:p w:rsidR="00BF7867" w:rsidRPr="00EC2BC6" w:rsidRDefault="00AF2D23">
            <w:pPr>
              <w:jc w:val="left"/>
              <w:rPr>
                <w:sz w:val="20"/>
              </w:rPr>
            </w:pPr>
            <w:r w:rsidRPr="00EC2BC6">
              <w:rPr>
                <w:b/>
                <w:sz w:val="20"/>
              </w:rPr>
              <w:t>Purpose</w:t>
            </w:r>
          </w:p>
        </w:tc>
        <w:tc>
          <w:tcPr>
            <w:tcW w:w="1337" w:type="dxa"/>
            <w:vAlign w:val="center"/>
          </w:tcPr>
          <w:p w:rsidR="00BF7867" w:rsidRPr="00EC2BC6" w:rsidRDefault="00AF2D23">
            <w:pPr>
              <w:jc w:val="left"/>
              <w:rPr>
                <w:sz w:val="20"/>
              </w:rPr>
            </w:pPr>
            <w:r w:rsidRPr="00EC2BC6">
              <w:rPr>
                <w:b/>
                <w:sz w:val="20"/>
              </w:rPr>
              <w:t>Data type</w:t>
            </w:r>
          </w:p>
        </w:tc>
        <w:tc>
          <w:tcPr>
            <w:tcW w:w="1337" w:type="dxa"/>
            <w:vAlign w:val="center"/>
          </w:tcPr>
          <w:p w:rsidR="00BF7867" w:rsidRPr="00EC2BC6" w:rsidRDefault="00AF2D23">
            <w:pPr>
              <w:jc w:val="left"/>
              <w:rPr>
                <w:sz w:val="20"/>
              </w:rPr>
            </w:pPr>
            <w:r w:rsidRPr="00EC2BC6">
              <w:rPr>
                <w:b/>
                <w:sz w:val="20"/>
              </w:rPr>
              <w:t>Independent?</w:t>
            </w:r>
          </w:p>
        </w:tc>
        <w:tc>
          <w:tcPr>
            <w:tcW w:w="1337" w:type="dxa"/>
            <w:vAlign w:val="center"/>
          </w:tcPr>
          <w:p w:rsidR="00BF7867" w:rsidRPr="00EC2BC6" w:rsidRDefault="00AF2D23">
            <w:pPr>
              <w:jc w:val="left"/>
              <w:rPr>
                <w:sz w:val="20"/>
              </w:rPr>
            </w:pPr>
            <w:r w:rsidRPr="00EC2BC6">
              <w:rPr>
                <w:b/>
                <w:sz w:val="20"/>
              </w:rPr>
              <w:t>Gate</w:t>
            </w:r>
          </w:p>
        </w:tc>
        <w:tc>
          <w:tcPr>
            <w:tcW w:w="1337" w:type="dxa"/>
            <w:vAlign w:val="center"/>
          </w:tcPr>
          <w:p w:rsidR="00BF7867" w:rsidRPr="00EC2BC6" w:rsidRDefault="00AF2D23">
            <w:pPr>
              <w:jc w:val="left"/>
              <w:rPr>
                <w:sz w:val="20"/>
              </w:rPr>
            </w:pPr>
            <w:r w:rsidRPr="00EC2BC6">
              <w:rPr>
                <w:b/>
                <w:sz w:val="20"/>
              </w:rPr>
              <w:t>Claim if passed</w:t>
            </w:r>
          </w:p>
        </w:tc>
        <w:tc>
          <w:tcPr>
            <w:tcW w:w="1337" w:type="dxa"/>
            <w:vAlign w:val="center"/>
          </w:tcPr>
          <w:p w:rsidR="00BF7867" w:rsidRPr="00EC2BC6" w:rsidRDefault="00AF2D23">
            <w:pPr>
              <w:jc w:val="left"/>
              <w:rPr>
                <w:sz w:val="20"/>
              </w:rPr>
            </w:pPr>
            <w:r w:rsidRPr="00EC2BC6">
              <w:rPr>
                <w:b/>
                <w:sz w:val="20"/>
              </w:rPr>
              <w:t>Claim if failed</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337" w:type="dxa"/>
            <w:vAlign w:val="center"/>
          </w:tcPr>
          <w:p w:rsidR="00BF7867" w:rsidRPr="00EC2BC6" w:rsidRDefault="00AF2D23">
            <w:pPr>
              <w:jc w:val="left"/>
              <w:rPr>
                <w:sz w:val="20"/>
              </w:rPr>
            </w:pPr>
            <w:r w:rsidRPr="00EC2BC6">
              <w:rPr>
                <w:b w:val="0"/>
                <w:sz w:val="20"/>
              </w:rPr>
              <w:t>L1 Internal verification</w:t>
            </w:r>
          </w:p>
        </w:tc>
        <w:tc>
          <w:tcPr>
            <w:tcW w:w="1337" w:type="dxa"/>
            <w:vAlign w:val="center"/>
          </w:tcPr>
          <w:p w:rsidR="00BF7867" w:rsidRPr="00EC2BC6" w:rsidRDefault="00AF2D23">
            <w:pPr>
              <w:jc w:val="left"/>
              <w:rPr>
                <w:sz w:val="20"/>
              </w:rPr>
            </w:pPr>
            <w:r w:rsidRPr="00EC2BC6">
              <w:rPr>
                <w:b w:val="0"/>
                <w:sz w:val="20"/>
              </w:rPr>
              <w:t>Verify identities, admissibility and theorem logic</w:t>
            </w:r>
          </w:p>
        </w:tc>
        <w:tc>
          <w:tcPr>
            <w:tcW w:w="1337" w:type="dxa"/>
            <w:vAlign w:val="center"/>
          </w:tcPr>
          <w:p w:rsidR="00BF7867" w:rsidRPr="00EC2BC6" w:rsidRDefault="00AF2D23">
            <w:pPr>
              <w:jc w:val="left"/>
              <w:rPr>
                <w:sz w:val="20"/>
              </w:rPr>
            </w:pPr>
            <w:r w:rsidRPr="00EC2BC6">
              <w:rPr>
                <w:b w:val="0"/>
                <w:sz w:val="20"/>
              </w:rPr>
              <w:t>parametric analytical grid</w:t>
            </w:r>
          </w:p>
        </w:tc>
        <w:tc>
          <w:tcPr>
            <w:tcW w:w="1337" w:type="dxa"/>
            <w:vAlign w:val="center"/>
          </w:tcPr>
          <w:p w:rsidR="00BF7867" w:rsidRPr="00EC2BC6" w:rsidRDefault="00AF2D23">
            <w:pPr>
              <w:jc w:val="left"/>
              <w:rPr>
                <w:sz w:val="20"/>
              </w:rPr>
            </w:pPr>
            <w:r w:rsidRPr="00EC2BC6">
              <w:rPr>
                <w:b w:val="0"/>
                <w:sz w:val="20"/>
              </w:rPr>
              <w:t>No</w:t>
            </w:r>
          </w:p>
        </w:tc>
        <w:tc>
          <w:tcPr>
            <w:tcW w:w="1337" w:type="dxa"/>
            <w:vAlign w:val="center"/>
          </w:tcPr>
          <w:p w:rsidR="00BF7867" w:rsidRPr="00EC2BC6" w:rsidRDefault="00AF2D23">
            <w:pPr>
              <w:jc w:val="left"/>
              <w:rPr>
                <w:sz w:val="20"/>
              </w:rPr>
            </w:pPr>
            <w:r w:rsidRPr="00EC2BC6">
              <w:rPr>
                <w:b w:val="0"/>
                <w:sz w:val="20"/>
              </w:rPr>
              <w:t>max identity error &lt; 1e-12 and zero impossible-class count</w:t>
            </w:r>
          </w:p>
        </w:tc>
        <w:tc>
          <w:tcPr>
            <w:tcW w:w="1337" w:type="dxa"/>
            <w:vAlign w:val="center"/>
          </w:tcPr>
          <w:p w:rsidR="00BF7867" w:rsidRPr="00EC2BC6" w:rsidRDefault="00AF2D23">
            <w:pPr>
              <w:jc w:val="left"/>
              <w:rPr>
                <w:sz w:val="20"/>
              </w:rPr>
            </w:pPr>
            <w:r w:rsidRPr="00EC2BC6">
              <w:rPr>
                <w:b w:val="0"/>
                <w:sz w:val="20"/>
              </w:rPr>
              <w:t>mathematical correctness of the closed-form criterion</w:t>
            </w:r>
          </w:p>
        </w:tc>
        <w:tc>
          <w:tcPr>
            <w:tcW w:w="1337" w:type="dxa"/>
            <w:vAlign w:val="center"/>
          </w:tcPr>
          <w:p w:rsidR="00BF7867" w:rsidRPr="00EC2BC6" w:rsidRDefault="00AF2D23">
            <w:pPr>
              <w:jc w:val="left"/>
              <w:rPr>
                <w:sz w:val="20"/>
              </w:rPr>
            </w:pPr>
            <w:r w:rsidRPr="00EC2BC6">
              <w:rPr>
                <w:b w:val="0"/>
                <w:sz w:val="20"/>
              </w:rPr>
              <w:t>algebra/code bug; no criterion claim</w:t>
            </w:r>
          </w:p>
        </w:tc>
      </w:tr>
      <w:tr w:rsidR="00BF7867" w:rsidRPr="00EC2BC6" w:rsidTr="00EC2BC6">
        <w:tc>
          <w:tcPr>
            <w:tcW w:w="1337" w:type="dxa"/>
            <w:vAlign w:val="center"/>
          </w:tcPr>
          <w:p w:rsidR="00BF7867" w:rsidRPr="00EC2BC6" w:rsidRDefault="00AF2D23">
            <w:pPr>
              <w:jc w:val="left"/>
              <w:rPr>
                <w:sz w:val="20"/>
              </w:rPr>
            </w:pPr>
            <w:r w:rsidRPr="00EC2BC6">
              <w:rPr>
                <w:b w:val="0"/>
                <w:sz w:val="20"/>
              </w:rPr>
              <w:t>L2 Spectral consistency</w:t>
            </w:r>
          </w:p>
        </w:tc>
        <w:tc>
          <w:tcPr>
            <w:tcW w:w="1337" w:type="dxa"/>
            <w:vAlign w:val="center"/>
          </w:tcPr>
          <w:p w:rsidR="00BF7867" w:rsidRPr="00EC2BC6" w:rsidRDefault="00AF2D23">
            <w:pPr>
              <w:jc w:val="left"/>
              <w:rPr>
                <w:sz w:val="20"/>
              </w:rPr>
            </w:pPr>
            <w:r w:rsidRPr="00EC2BC6">
              <w:rPr>
                <w:b w:val="0"/>
                <w:sz w:val="20"/>
              </w:rPr>
              <w:t>Compare local and secant spectral-slope formulations</w:t>
            </w:r>
          </w:p>
        </w:tc>
        <w:tc>
          <w:tcPr>
            <w:tcW w:w="1337" w:type="dxa"/>
            <w:vAlign w:val="center"/>
          </w:tcPr>
          <w:p w:rsidR="00BF7867" w:rsidRPr="00EC2BC6" w:rsidRDefault="00AF2D23">
            <w:pPr>
              <w:jc w:val="left"/>
              <w:rPr>
                <w:sz w:val="20"/>
              </w:rPr>
            </w:pPr>
            <w:r w:rsidRPr="00EC2BC6">
              <w:rPr>
                <w:b w:val="0"/>
                <w:sz w:val="20"/>
              </w:rPr>
              <w:t>code spectrum plus El Centro-derived spectra</w:t>
            </w:r>
          </w:p>
        </w:tc>
        <w:tc>
          <w:tcPr>
            <w:tcW w:w="1337" w:type="dxa"/>
            <w:vAlign w:val="center"/>
          </w:tcPr>
          <w:p w:rsidR="00BF7867" w:rsidRPr="00EC2BC6" w:rsidRDefault="00AF2D23">
            <w:pPr>
              <w:jc w:val="left"/>
              <w:rPr>
                <w:sz w:val="20"/>
              </w:rPr>
            </w:pPr>
            <w:r w:rsidRPr="00EC2BC6">
              <w:rPr>
                <w:b w:val="0"/>
                <w:sz w:val="20"/>
              </w:rPr>
              <w:t>Partial</w:t>
            </w:r>
          </w:p>
        </w:tc>
        <w:tc>
          <w:tcPr>
            <w:tcW w:w="1337" w:type="dxa"/>
            <w:vAlign w:val="center"/>
          </w:tcPr>
          <w:p w:rsidR="00BF7867" w:rsidRPr="00EC2BC6" w:rsidRDefault="00AF2D23">
            <w:pPr>
              <w:jc w:val="left"/>
              <w:rPr>
                <w:sz w:val="20"/>
              </w:rPr>
            </w:pPr>
            <w:r w:rsidRPr="00EC2BC6">
              <w:rPr>
                <w:b w:val="0"/>
                <w:sz w:val="20"/>
              </w:rPr>
              <w:t>secant class agreement &gt; 90 percent and local/secant curvature limitation reported</w:t>
            </w:r>
          </w:p>
        </w:tc>
        <w:tc>
          <w:tcPr>
            <w:tcW w:w="1337" w:type="dxa"/>
            <w:vAlign w:val="center"/>
          </w:tcPr>
          <w:p w:rsidR="00BF7867" w:rsidRPr="00EC2BC6" w:rsidRDefault="00AF2D23">
            <w:pPr>
              <w:jc w:val="left"/>
              <w:rPr>
                <w:sz w:val="20"/>
              </w:rPr>
            </w:pPr>
            <w:r w:rsidRPr="00EC2BC6">
              <w:rPr>
                <w:b w:val="0"/>
                <w:sz w:val="20"/>
              </w:rPr>
              <w:t>spectral consistency of Level 2 secant screening</w:t>
            </w:r>
          </w:p>
        </w:tc>
        <w:tc>
          <w:tcPr>
            <w:tcW w:w="1337" w:type="dxa"/>
            <w:vAlign w:val="center"/>
          </w:tcPr>
          <w:p w:rsidR="00BF7867" w:rsidRPr="00EC2BC6" w:rsidRDefault="00AF2D23">
            <w:pPr>
              <w:jc w:val="left"/>
              <w:rPr>
                <w:sz w:val="20"/>
              </w:rPr>
            </w:pPr>
            <w:r w:rsidRPr="00EC2BC6">
              <w:rPr>
                <w:b w:val="0"/>
                <w:sz w:val="20"/>
              </w:rPr>
              <w:t>approximation limitation only</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337" w:type="dxa"/>
            <w:vAlign w:val="center"/>
          </w:tcPr>
          <w:p w:rsidR="00BF7867" w:rsidRPr="00EC2BC6" w:rsidRDefault="00AF2D23">
            <w:pPr>
              <w:jc w:val="left"/>
              <w:rPr>
                <w:sz w:val="20"/>
              </w:rPr>
            </w:pPr>
            <w:r w:rsidRPr="00EC2BC6">
              <w:rPr>
                <w:b w:val="0"/>
                <w:sz w:val="20"/>
              </w:rPr>
              <w:t>L3 Synthetic stress test</w:t>
            </w:r>
          </w:p>
        </w:tc>
        <w:tc>
          <w:tcPr>
            <w:tcW w:w="1337" w:type="dxa"/>
            <w:vAlign w:val="center"/>
          </w:tcPr>
          <w:p w:rsidR="00BF7867" w:rsidRPr="00EC2BC6" w:rsidRDefault="00AF2D23">
            <w:pPr>
              <w:jc w:val="left"/>
              <w:rPr>
                <w:sz w:val="20"/>
              </w:rPr>
            </w:pPr>
            <w:r w:rsidRPr="00EC2BC6">
              <w:rPr>
                <w:b w:val="0"/>
                <w:sz w:val="20"/>
              </w:rPr>
              <w:t>Stress the criterion across controlled spectral shapes</w:t>
            </w:r>
          </w:p>
        </w:tc>
        <w:tc>
          <w:tcPr>
            <w:tcW w:w="1337" w:type="dxa"/>
            <w:vAlign w:val="center"/>
          </w:tcPr>
          <w:p w:rsidR="00BF7867" w:rsidRPr="00EC2BC6" w:rsidRDefault="00AF2D23">
            <w:pPr>
              <w:jc w:val="left"/>
              <w:rPr>
                <w:sz w:val="20"/>
              </w:rPr>
            </w:pPr>
            <w:r w:rsidRPr="00EC2BC6">
              <w:rPr>
                <w:b w:val="0"/>
                <w:sz w:val="20"/>
              </w:rPr>
              <w:t>synthetic code-compatible spectra</w:t>
            </w:r>
          </w:p>
        </w:tc>
        <w:tc>
          <w:tcPr>
            <w:tcW w:w="1337" w:type="dxa"/>
            <w:vAlign w:val="center"/>
          </w:tcPr>
          <w:p w:rsidR="00BF7867" w:rsidRPr="00EC2BC6" w:rsidRDefault="00AF2D23">
            <w:pPr>
              <w:jc w:val="left"/>
              <w:rPr>
                <w:sz w:val="20"/>
              </w:rPr>
            </w:pPr>
            <w:r w:rsidRPr="00EC2BC6">
              <w:rPr>
                <w:b w:val="0"/>
                <w:sz w:val="20"/>
              </w:rPr>
              <w:t>No external record</w:t>
            </w:r>
          </w:p>
        </w:tc>
        <w:tc>
          <w:tcPr>
            <w:tcW w:w="1337" w:type="dxa"/>
            <w:vAlign w:val="center"/>
          </w:tcPr>
          <w:p w:rsidR="00BF7867" w:rsidRPr="00EC2BC6" w:rsidRDefault="00AF2D23">
            <w:pPr>
              <w:jc w:val="left"/>
              <w:rPr>
                <w:sz w:val="20"/>
              </w:rPr>
            </w:pPr>
            <w:r w:rsidRPr="00EC2BC6">
              <w:rPr>
                <w:b w:val="0"/>
                <w:sz w:val="20"/>
              </w:rPr>
              <w:t>class agreement &gt; 90 percent with confusion table reported</w:t>
            </w:r>
          </w:p>
        </w:tc>
        <w:tc>
          <w:tcPr>
            <w:tcW w:w="1337" w:type="dxa"/>
            <w:vAlign w:val="center"/>
          </w:tcPr>
          <w:p w:rsidR="00BF7867" w:rsidRPr="00EC2BC6" w:rsidRDefault="00AF2D23">
            <w:pPr>
              <w:jc w:val="left"/>
              <w:rPr>
                <w:sz w:val="20"/>
              </w:rPr>
            </w:pPr>
            <w:r w:rsidRPr="00EC2BC6">
              <w:rPr>
                <w:b w:val="0"/>
                <w:sz w:val="20"/>
              </w:rPr>
              <w:t>controlled-domain robustness</w:t>
            </w:r>
          </w:p>
        </w:tc>
        <w:tc>
          <w:tcPr>
            <w:tcW w:w="1337" w:type="dxa"/>
            <w:vAlign w:val="center"/>
          </w:tcPr>
          <w:p w:rsidR="00BF7867" w:rsidRPr="00EC2BC6" w:rsidRDefault="00AF2D23">
            <w:pPr>
              <w:jc w:val="left"/>
              <w:rPr>
                <w:sz w:val="20"/>
              </w:rPr>
            </w:pPr>
            <w:r w:rsidRPr="00EC2BC6">
              <w:rPr>
                <w:b w:val="0"/>
                <w:sz w:val="20"/>
              </w:rPr>
              <w:t>sensitivity-domain boundary</w:t>
            </w:r>
          </w:p>
        </w:tc>
      </w:tr>
      <w:tr w:rsidR="00BF7867" w:rsidRPr="00EC2BC6" w:rsidTr="00EC2BC6">
        <w:tc>
          <w:tcPr>
            <w:tcW w:w="1337" w:type="dxa"/>
            <w:vAlign w:val="center"/>
          </w:tcPr>
          <w:p w:rsidR="00BF7867" w:rsidRPr="00EC2BC6" w:rsidRDefault="00AF2D23">
            <w:pPr>
              <w:jc w:val="left"/>
              <w:rPr>
                <w:sz w:val="20"/>
              </w:rPr>
            </w:pPr>
            <w:r w:rsidRPr="00EC2BC6">
              <w:rPr>
                <w:b w:val="0"/>
                <w:sz w:val="20"/>
              </w:rPr>
              <w:t>L4 External mapping</w:t>
            </w:r>
          </w:p>
        </w:tc>
        <w:tc>
          <w:tcPr>
            <w:tcW w:w="1337" w:type="dxa"/>
            <w:vAlign w:val="center"/>
          </w:tcPr>
          <w:p w:rsidR="00BF7867" w:rsidRPr="00EC2BC6" w:rsidRDefault="00AF2D23">
            <w:pPr>
              <w:jc w:val="left"/>
              <w:rPr>
                <w:sz w:val="20"/>
              </w:rPr>
            </w:pPr>
            <w:r w:rsidRPr="00EC2BC6">
              <w:rPr>
                <w:b w:val="0"/>
                <w:sz w:val="20"/>
              </w:rPr>
              <w:t>Map published SSI cases into the demand-polarity classes</w:t>
            </w:r>
          </w:p>
        </w:tc>
        <w:tc>
          <w:tcPr>
            <w:tcW w:w="1337" w:type="dxa"/>
            <w:vAlign w:val="center"/>
          </w:tcPr>
          <w:p w:rsidR="00BF7867" w:rsidRPr="00EC2BC6" w:rsidRDefault="00AF2D23">
            <w:pPr>
              <w:jc w:val="left"/>
              <w:rPr>
                <w:sz w:val="20"/>
              </w:rPr>
            </w:pPr>
            <w:r w:rsidRPr="00EC2BC6">
              <w:rPr>
                <w:b w:val="0"/>
                <w:sz w:val="20"/>
              </w:rPr>
              <w:t>Zhang and Far plus qualitative literature</w:t>
            </w:r>
          </w:p>
        </w:tc>
        <w:tc>
          <w:tcPr>
            <w:tcW w:w="1337" w:type="dxa"/>
            <w:vAlign w:val="center"/>
          </w:tcPr>
          <w:p w:rsidR="00BF7867" w:rsidRPr="00EC2BC6" w:rsidRDefault="00AF2D23">
            <w:pPr>
              <w:jc w:val="left"/>
              <w:rPr>
                <w:sz w:val="20"/>
              </w:rPr>
            </w:pPr>
            <w:r w:rsidRPr="00EC2BC6">
              <w:rPr>
                <w:b w:val="0"/>
                <w:sz w:val="20"/>
              </w:rPr>
              <w:t>Partial</w:t>
            </w:r>
          </w:p>
        </w:tc>
        <w:tc>
          <w:tcPr>
            <w:tcW w:w="1337" w:type="dxa"/>
            <w:vAlign w:val="center"/>
          </w:tcPr>
          <w:p w:rsidR="00BF7867" w:rsidRPr="00EC2BC6" w:rsidRDefault="00AF2D23">
            <w:pPr>
              <w:jc w:val="left"/>
              <w:rPr>
                <w:sz w:val="20"/>
              </w:rPr>
            </w:pPr>
            <w:r w:rsidRPr="00EC2BC6">
              <w:rPr>
                <w:b w:val="0"/>
                <w:sz w:val="20"/>
              </w:rPr>
              <w:t>external consistency &gt; 80 percent and mapping limitations stated</w:t>
            </w:r>
          </w:p>
        </w:tc>
        <w:tc>
          <w:tcPr>
            <w:tcW w:w="1337" w:type="dxa"/>
            <w:vAlign w:val="center"/>
          </w:tcPr>
          <w:p w:rsidR="00BF7867" w:rsidRPr="00EC2BC6" w:rsidRDefault="00AF2D23">
            <w:pPr>
              <w:jc w:val="left"/>
              <w:rPr>
                <w:sz w:val="20"/>
              </w:rPr>
            </w:pPr>
            <w:r w:rsidRPr="00EC2BC6">
              <w:rPr>
                <w:b w:val="0"/>
                <w:sz w:val="20"/>
              </w:rPr>
              <w:t>external consistency mapping</w:t>
            </w:r>
          </w:p>
        </w:tc>
        <w:tc>
          <w:tcPr>
            <w:tcW w:w="1337" w:type="dxa"/>
            <w:vAlign w:val="center"/>
          </w:tcPr>
          <w:p w:rsidR="00BF7867" w:rsidRPr="00EC2BC6" w:rsidRDefault="00AF2D23">
            <w:pPr>
              <w:jc w:val="left"/>
              <w:rPr>
                <w:sz w:val="20"/>
              </w:rPr>
            </w:pPr>
            <w:r w:rsidRPr="00EC2BC6">
              <w:rPr>
                <w:b w:val="0"/>
                <w:sz w:val="20"/>
              </w:rPr>
              <w:t>literature mismatch or boundary limitation</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337" w:type="dxa"/>
            <w:vAlign w:val="center"/>
          </w:tcPr>
          <w:p w:rsidR="00BF7867" w:rsidRPr="00EC2BC6" w:rsidRDefault="00AF2D23">
            <w:pPr>
              <w:jc w:val="left"/>
              <w:rPr>
                <w:sz w:val="20"/>
              </w:rPr>
            </w:pPr>
            <w:r w:rsidRPr="00EC2BC6">
              <w:rPr>
                <w:b w:val="0"/>
                <w:sz w:val="20"/>
              </w:rPr>
              <w:t>L5 Solver consistency</w:t>
            </w:r>
          </w:p>
        </w:tc>
        <w:tc>
          <w:tcPr>
            <w:tcW w:w="1337" w:type="dxa"/>
            <w:vAlign w:val="center"/>
          </w:tcPr>
          <w:p w:rsidR="00BF7867" w:rsidRPr="00EC2BC6" w:rsidRDefault="00AF2D23">
            <w:pPr>
              <w:jc w:val="left"/>
              <w:rPr>
                <w:sz w:val="20"/>
              </w:rPr>
            </w:pPr>
            <w:r w:rsidRPr="00EC2BC6">
              <w:rPr>
                <w:b w:val="0"/>
                <w:sz w:val="20"/>
              </w:rPr>
              <w:t>Check continuum-to-reduced-order parameter transfer</w:t>
            </w:r>
          </w:p>
        </w:tc>
        <w:tc>
          <w:tcPr>
            <w:tcW w:w="1337" w:type="dxa"/>
            <w:vAlign w:val="center"/>
          </w:tcPr>
          <w:p w:rsidR="00BF7867" w:rsidRPr="00EC2BC6" w:rsidRDefault="00AF2D23">
            <w:pPr>
              <w:jc w:val="left"/>
              <w:rPr>
                <w:sz w:val="20"/>
              </w:rPr>
            </w:pPr>
            <w:r w:rsidRPr="00EC2BC6">
              <w:rPr>
                <w:b w:val="0"/>
                <w:sz w:val="20"/>
              </w:rPr>
              <w:t>CalculiX/OpenSeesPy with Code_Aster blind lock</w:t>
            </w:r>
          </w:p>
        </w:tc>
        <w:tc>
          <w:tcPr>
            <w:tcW w:w="1337" w:type="dxa"/>
            <w:vAlign w:val="center"/>
          </w:tcPr>
          <w:p w:rsidR="00BF7867" w:rsidRPr="00EC2BC6" w:rsidRDefault="00AF2D23">
            <w:pPr>
              <w:jc w:val="left"/>
              <w:rPr>
                <w:sz w:val="20"/>
              </w:rPr>
            </w:pPr>
            <w:r w:rsidRPr="00EC2BC6">
              <w:rPr>
                <w:b w:val="0"/>
                <w:sz w:val="20"/>
              </w:rPr>
              <w:t>Partial</w:t>
            </w:r>
          </w:p>
        </w:tc>
        <w:tc>
          <w:tcPr>
            <w:tcW w:w="1337" w:type="dxa"/>
            <w:vAlign w:val="center"/>
          </w:tcPr>
          <w:p w:rsidR="00BF7867" w:rsidRPr="00EC2BC6" w:rsidRDefault="00AF2D23">
            <w:pPr>
              <w:jc w:val="left"/>
              <w:rPr>
                <w:sz w:val="20"/>
              </w:rPr>
            </w:pPr>
            <w:r w:rsidRPr="00EC2BC6">
              <w:rPr>
                <w:b w:val="0"/>
                <w:sz w:val="20"/>
              </w:rPr>
              <w:t>OpenSees period error &lt; 1 percent and mesh-change gate documented</w:t>
            </w:r>
          </w:p>
        </w:tc>
        <w:tc>
          <w:tcPr>
            <w:tcW w:w="1337" w:type="dxa"/>
            <w:vAlign w:val="center"/>
          </w:tcPr>
          <w:p w:rsidR="00BF7867" w:rsidRPr="00EC2BC6" w:rsidRDefault="00AF2D23">
            <w:pPr>
              <w:jc w:val="left"/>
              <w:rPr>
                <w:sz w:val="20"/>
              </w:rPr>
            </w:pPr>
            <w:r w:rsidRPr="00EC2BC6">
              <w:rPr>
                <w:b w:val="0"/>
                <w:sz w:val="20"/>
              </w:rPr>
              <w:t>linear solver-chain consistency</w:t>
            </w:r>
          </w:p>
        </w:tc>
        <w:tc>
          <w:tcPr>
            <w:tcW w:w="1337" w:type="dxa"/>
            <w:vAlign w:val="center"/>
          </w:tcPr>
          <w:p w:rsidR="00BF7867" w:rsidRPr="00EC2BC6" w:rsidRDefault="00AF2D23">
            <w:pPr>
              <w:jc w:val="left"/>
              <w:rPr>
                <w:sz w:val="20"/>
              </w:rPr>
            </w:pPr>
            <w:r w:rsidRPr="00EC2BC6">
              <w:rPr>
                <w:b w:val="0"/>
                <w:sz w:val="20"/>
              </w:rPr>
              <w:t>model-reduction or mesh-convergence gap</w:t>
            </w:r>
          </w:p>
        </w:tc>
      </w:tr>
      <w:tr w:rsidR="00BF7867" w:rsidRPr="00EC2BC6" w:rsidTr="00EC2BC6">
        <w:tc>
          <w:tcPr>
            <w:tcW w:w="1337" w:type="dxa"/>
            <w:vAlign w:val="center"/>
          </w:tcPr>
          <w:p w:rsidR="00BF7867" w:rsidRPr="00EC2BC6" w:rsidRDefault="00AF2D23">
            <w:pPr>
              <w:jc w:val="left"/>
              <w:rPr>
                <w:sz w:val="20"/>
              </w:rPr>
            </w:pPr>
            <w:r w:rsidRPr="00EC2BC6">
              <w:rPr>
                <w:b w:val="0"/>
                <w:sz w:val="20"/>
              </w:rPr>
              <w:t>L6 Field benchmark falsification</w:t>
            </w:r>
          </w:p>
        </w:tc>
        <w:tc>
          <w:tcPr>
            <w:tcW w:w="1337" w:type="dxa"/>
            <w:vAlign w:val="center"/>
          </w:tcPr>
          <w:p w:rsidR="00BF7867" w:rsidRPr="00EC2BC6" w:rsidRDefault="00AF2D23">
            <w:pPr>
              <w:jc w:val="left"/>
              <w:rPr>
                <w:sz w:val="20"/>
              </w:rPr>
            </w:pPr>
            <w:r w:rsidRPr="00EC2BC6">
              <w:rPr>
                <w:b w:val="0"/>
                <w:sz w:val="20"/>
              </w:rPr>
              <w:t>Attempt blind field prediction and reject overclaims when gates fail</w:t>
            </w:r>
          </w:p>
        </w:tc>
        <w:tc>
          <w:tcPr>
            <w:tcW w:w="1337" w:type="dxa"/>
            <w:vAlign w:val="center"/>
          </w:tcPr>
          <w:p w:rsidR="00BF7867" w:rsidRPr="00EC2BC6" w:rsidRDefault="00AF2D23">
            <w:pPr>
              <w:jc w:val="left"/>
              <w:rPr>
                <w:sz w:val="20"/>
              </w:rPr>
            </w:pPr>
            <w:r w:rsidRPr="00EC2BC6">
              <w:rPr>
                <w:b w:val="0"/>
                <w:sz w:val="20"/>
              </w:rPr>
              <w:t>RESPOND/POLIS/Garner</w:t>
            </w:r>
          </w:p>
        </w:tc>
        <w:tc>
          <w:tcPr>
            <w:tcW w:w="1337" w:type="dxa"/>
            <w:vAlign w:val="center"/>
          </w:tcPr>
          <w:p w:rsidR="00BF7867" w:rsidRPr="00EC2BC6" w:rsidRDefault="00AF2D23">
            <w:pPr>
              <w:jc w:val="left"/>
              <w:rPr>
                <w:sz w:val="20"/>
              </w:rPr>
            </w:pPr>
            <w:r w:rsidRPr="00EC2BC6">
              <w:rPr>
                <w:b w:val="0"/>
                <w:sz w:val="20"/>
              </w:rPr>
              <w:t>Yes, within data-access limits</w:t>
            </w:r>
          </w:p>
        </w:tc>
        <w:tc>
          <w:tcPr>
            <w:tcW w:w="1337" w:type="dxa"/>
            <w:vAlign w:val="center"/>
          </w:tcPr>
          <w:p w:rsidR="00BF7867" w:rsidRPr="00EC2BC6" w:rsidRDefault="00AF2D23">
            <w:pPr>
              <w:jc w:val="left"/>
              <w:rPr>
                <w:sz w:val="20"/>
              </w:rPr>
            </w:pPr>
            <w:r w:rsidRPr="00EC2BC6">
              <w:rPr>
                <w:b w:val="0"/>
                <w:sz w:val="20"/>
              </w:rPr>
              <w:t>instrumental gate and predictive gate must both pass before field-validation claim</w:t>
            </w:r>
          </w:p>
        </w:tc>
        <w:tc>
          <w:tcPr>
            <w:tcW w:w="1337" w:type="dxa"/>
            <w:vAlign w:val="center"/>
          </w:tcPr>
          <w:p w:rsidR="00BF7867" w:rsidRPr="00EC2BC6" w:rsidRDefault="00AF2D23">
            <w:pPr>
              <w:jc w:val="left"/>
              <w:rPr>
                <w:sz w:val="20"/>
              </w:rPr>
            </w:pPr>
            <w:r w:rsidRPr="00EC2BC6">
              <w:rPr>
                <w:b w:val="0"/>
                <w:sz w:val="20"/>
              </w:rPr>
              <w:t>bounded blind sensor-level field prediction, not nonlinear 3D unless nonlinear model also passes</w:t>
            </w:r>
          </w:p>
        </w:tc>
        <w:tc>
          <w:tcPr>
            <w:tcW w:w="1337" w:type="dxa"/>
            <w:vAlign w:val="center"/>
          </w:tcPr>
          <w:p w:rsidR="00BF7867" w:rsidRPr="00EC2BC6" w:rsidRDefault="00AF2D23">
            <w:pPr>
              <w:jc w:val="left"/>
              <w:rPr>
                <w:sz w:val="20"/>
              </w:rPr>
            </w:pPr>
            <w:r w:rsidRPr="00EC2BC6">
              <w:rPr>
                <w:b w:val="0"/>
                <w:sz w:val="20"/>
              </w:rPr>
              <w:t>negative evidence/falsification and data-insufficiency boundary</w:t>
            </w:r>
          </w:p>
        </w:tc>
      </w:tr>
    </w:tbl>
    <w:p w:rsidR="00BF7867" w:rsidRDefault="00AF2D23">
      <w:pPr>
        <w:pStyle w:val="Heading2"/>
        <w:jc w:val="both"/>
      </w:pPr>
      <w:r>
        <w:rPr>
          <w:sz w:val="22"/>
        </w:rPr>
        <w:t>5.2 Predefined gates and negative evidence</w:t>
      </w:r>
    </w:p>
    <w:p w:rsidR="00BF7867" w:rsidRDefault="00AF2D23">
      <w:pPr>
        <w:jc w:val="both"/>
      </w:pPr>
      <w:r>
        <w:rPr>
          <w:sz w:val="22"/>
        </w:rPr>
        <w:t>Each result is interpreted through a gate declared before the corresponding claim is allowed. Passing a gate expands only the claim associated with that layer; failing a gate narrows the claim or converts the evidence into falsification.</w:t>
      </w:r>
    </w:p>
    <w:p w:rsidR="00BF7867" w:rsidRDefault="00AF2D23">
      <w:pPr>
        <w:keepNext/>
        <w:jc w:val="both"/>
      </w:pPr>
      <w:r>
        <w:rPr>
          <w:b w:val="0"/>
          <w:sz w:val="22"/>
        </w:rPr>
        <w:t>Table M2. Predefined methodological gates and observed status.</w:t>
      </w:r>
    </w:p>
    <w:tbl>
      <w:tblPr>
        <w:tblStyle w:val="PlainTable2"/>
        <w:tblW w:w="0" w:type="auto"/>
        <w:jc w:val="center"/>
        <w:tblLook w:val="0420" w:firstRow="1" w:lastRow="0" w:firstColumn="0" w:lastColumn="0" w:noHBand="0" w:noVBand="1"/>
      </w:tblPr>
      <w:tblGrid>
        <w:gridCol w:w="1792"/>
        <w:gridCol w:w="1826"/>
        <w:gridCol w:w="1826"/>
        <w:gridCol w:w="2122"/>
        <w:gridCol w:w="1794"/>
      </w:tblGrid>
      <w:tr w:rsidR="00BF7867" w:rsidRPr="00EC2BC6" w:rsidTr="00EC2BC6">
        <w:trPr>
          <w:cnfStyle w:val="100000000000" w:firstRow="1" w:lastRow="0" w:firstColumn="0" w:lastColumn="0" w:oddVBand="0" w:evenVBand="0" w:oddHBand="0" w:evenHBand="0" w:firstRowFirstColumn="0" w:firstRowLastColumn="0" w:lastRowFirstColumn="0" w:lastRowLastColumn="0"/>
          <w:tblHeader w:val="true"/>
        </w:trPr>
        <w:tc>
          <w:tcPr>
            <w:tcW w:w="1872" w:type="dxa"/>
            <w:vAlign w:val="center"/>
          </w:tcPr>
          <w:p w:rsidR="00BF7867" w:rsidRPr="00EC2BC6" w:rsidRDefault="00AF2D23">
            <w:pPr>
              <w:jc w:val="left"/>
              <w:rPr>
                <w:sz w:val="20"/>
              </w:rPr>
            </w:pPr>
            <w:r w:rsidRPr="00EC2BC6">
              <w:rPr>
                <w:b/>
                <w:sz w:val="20"/>
              </w:rPr>
              <w:t>Layer</w:t>
            </w:r>
          </w:p>
        </w:tc>
        <w:tc>
          <w:tcPr>
            <w:tcW w:w="1872" w:type="dxa"/>
            <w:vAlign w:val="center"/>
          </w:tcPr>
          <w:p w:rsidR="00BF7867" w:rsidRPr="00EC2BC6" w:rsidRDefault="00AF2D23">
            <w:pPr>
              <w:jc w:val="left"/>
              <w:rPr>
                <w:sz w:val="20"/>
              </w:rPr>
            </w:pPr>
            <w:r w:rsidRPr="00EC2BC6">
              <w:rPr>
                <w:b/>
                <w:sz w:val="20"/>
              </w:rPr>
              <w:t>Gate</w:t>
            </w:r>
          </w:p>
        </w:tc>
        <w:tc>
          <w:tcPr>
            <w:tcW w:w="1872" w:type="dxa"/>
            <w:vAlign w:val="center"/>
          </w:tcPr>
          <w:p w:rsidR="00BF7867" w:rsidRPr="00EC2BC6" w:rsidRDefault="00AF2D23">
            <w:pPr>
              <w:jc w:val="left"/>
              <w:rPr>
                <w:sz w:val="20"/>
              </w:rPr>
            </w:pPr>
            <w:r w:rsidRPr="00EC2BC6">
              <w:rPr>
                <w:b/>
                <w:sz w:val="20"/>
              </w:rPr>
              <w:t>Threshold</w:t>
            </w:r>
          </w:p>
        </w:tc>
        <w:tc>
          <w:tcPr>
            <w:tcW w:w="1872" w:type="dxa"/>
            <w:vAlign w:val="center"/>
          </w:tcPr>
          <w:p w:rsidR="00BF7867" w:rsidRPr="00EC2BC6" w:rsidRDefault="00AF2D23">
            <w:pPr>
              <w:jc w:val="left"/>
              <w:rPr>
                <w:sz w:val="20"/>
              </w:rPr>
            </w:pPr>
            <w:r w:rsidRPr="00EC2BC6">
              <w:rPr>
                <w:b/>
                <w:sz w:val="20"/>
              </w:rPr>
              <w:t>Observed</w:t>
            </w:r>
          </w:p>
        </w:tc>
        <w:tc>
          <w:tcPr>
            <w:tcW w:w="1872" w:type="dxa"/>
            <w:vAlign w:val="center"/>
          </w:tcPr>
          <w:p w:rsidR="00BF7867" w:rsidRPr="00EC2BC6" w:rsidRDefault="00AF2D23">
            <w:pPr>
              <w:jc w:val="left"/>
              <w:rPr>
                <w:sz w:val="20"/>
              </w:rPr>
            </w:pPr>
            <w:r w:rsidRPr="00EC2BC6">
              <w:rPr>
                <w:b/>
                <w:sz w:val="20"/>
              </w:rPr>
              <w:t>Status</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872" w:type="dxa"/>
            <w:vAlign w:val="center"/>
          </w:tcPr>
          <w:p w:rsidR="00BF7867" w:rsidRPr="00EC2BC6" w:rsidRDefault="00AF2D23">
            <w:pPr>
              <w:jc w:val="left"/>
              <w:rPr>
                <w:sz w:val="20"/>
              </w:rPr>
            </w:pPr>
            <w:r w:rsidRPr="00EC2BC6">
              <w:rPr>
                <w:b w:val="0"/>
                <w:sz w:val="20"/>
              </w:rPr>
              <w:t>L1</w:t>
            </w:r>
          </w:p>
        </w:tc>
        <w:tc>
          <w:tcPr>
            <w:tcW w:w="1872" w:type="dxa"/>
            <w:vAlign w:val="center"/>
          </w:tcPr>
          <w:p w:rsidR="00BF7867" w:rsidRPr="00EC2BC6" w:rsidRDefault="00AF2D23">
            <w:pPr>
              <w:jc w:val="left"/>
              <w:rPr>
                <w:sz w:val="20"/>
              </w:rPr>
            </w:pPr>
            <w:r w:rsidRPr="00EC2BC6">
              <w:rPr>
                <w:b w:val="0"/>
                <w:sz w:val="20"/>
              </w:rPr>
              <w:t>Algebra identity error</w:t>
            </w:r>
          </w:p>
        </w:tc>
        <w:tc>
          <w:tcPr>
            <w:tcW w:w="1872" w:type="dxa"/>
            <w:vAlign w:val="center"/>
          </w:tcPr>
          <w:p w:rsidR="00BF7867" w:rsidRPr="00EC2BC6" w:rsidRDefault="00AF2D23">
            <w:pPr>
              <w:jc w:val="left"/>
              <w:rPr>
                <w:sz w:val="20"/>
              </w:rPr>
            </w:pPr>
            <w:r w:rsidRPr="00EC2BC6">
              <w:rPr>
                <w:b w:val="0"/>
                <w:sz w:val="20"/>
              </w:rPr>
              <w:t>&lt; 1e-12</w:t>
            </w:r>
          </w:p>
        </w:tc>
        <w:tc>
          <w:tcPr>
            <w:tcW w:w="1872" w:type="dxa"/>
            <w:vAlign w:val="center"/>
          </w:tcPr>
          <w:p w:rsidR="00BF7867" w:rsidRPr="00EC2BC6" w:rsidRDefault="00AF2D23">
            <w:pPr>
              <w:jc w:val="left"/>
              <w:rPr>
                <w:sz w:val="20"/>
              </w:rPr>
            </w:pPr>
            <w:r w:rsidRPr="00EC2BC6">
              <w:rPr>
                <w:b w:val="0"/>
                <w:sz w:val="20"/>
              </w:rPr>
              <w:t>8.881784197001252e-16</w:t>
            </w:r>
          </w:p>
        </w:tc>
        <w:tc>
          <w:tcPr>
            <w:tcW w:w="1872" w:type="dxa"/>
            <w:vAlign w:val="center"/>
          </w:tcPr>
          <w:p w:rsidR="00BF7867" w:rsidRPr="00EC2BC6" w:rsidRDefault="00AF2D23">
            <w:pPr>
              <w:jc w:val="left"/>
              <w:rPr>
                <w:sz w:val="20"/>
              </w:rPr>
            </w:pPr>
            <w:r w:rsidRPr="00EC2BC6">
              <w:rPr>
                <w:b w:val="0"/>
                <w:sz w:val="20"/>
              </w:rPr>
              <w:t>PASS</w:t>
            </w:r>
          </w:p>
        </w:tc>
      </w:tr>
      <w:tr w:rsidR="00BF7867" w:rsidRPr="00EC2BC6" w:rsidTr="00EC2BC6">
        <w:tc>
          <w:tcPr>
            <w:tcW w:w="1872" w:type="dxa"/>
            <w:vAlign w:val="center"/>
          </w:tcPr>
          <w:p w:rsidR="00BF7867" w:rsidRPr="00EC2BC6" w:rsidRDefault="00AF2D23">
            <w:pPr>
              <w:jc w:val="left"/>
              <w:rPr>
                <w:sz w:val="20"/>
              </w:rPr>
            </w:pPr>
            <w:r w:rsidRPr="00EC2BC6">
              <w:rPr>
                <w:b w:val="0"/>
                <w:sz w:val="20"/>
              </w:rPr>
              <w:t>L2</w:t>
            </w:r>
          </w:p>
        </w:tc>
        <w:tc>
          <w:tcPr>
            <w:tcW w:w="1872" w:type="dxa"/>
            <w:vAlign w:val="center"/>
          </w:tcPr>
          <w:p w:rsidR="00BF7867" w:rsidRPr="00EC2BC6" w:rsidRDefault="00AF2D23">
            <w:pPr>
              <w:jc w:val="left"/>
              <w:rPr>
                <w:sz w:val="20"/>
              </w:rPr>
            </w:pPr>
            <w:r w:rsidRPr="00EC2BC6">
              <w:rPr>
                <w:b w:val="0"/>
                <w:sz w:val="20"/>
              </w:rPr>
              <w:t>Secant spectral class agreement</w:t>
            </w:r>
          </w:p>
        </w:tc>
        <w:tc>
          <w:tcPr>
            <w:tcW w:w="1872" w:type="dxa"/>
            <w:vAlign w:val="center"/>
          </w:tcPr>
          <w:p w:rsidR="00BF7867" w:rsidRPr="00EC2BC6" w:rsidRDefault="00AF2D23">
            <w:pPr>
              <w:jc w:val="left"/>
              <w:rPr>
                <w:sz w:val="20"/>
              </w:rPr>
            </w:pPr>
            <w:r w:rsidRPr="00EC2BC6">
              <w:rPr>
                <w:b w:val="0"/>
                <w:sz w:val="20"/>
              </w:rPr>
              <w:t>&gt; 90 percent</w:t>
            </w:r>
          </w:p>
        </w:tc>
        <w:tc>
          <w:tcPr>
            <w:tcW w:w="1872" w:type="dxa"/>
            <w:vAlign w:val="center"/>
          </w:tcPr>
          <w:p w:rsidR="00BF7867" w:rsidRPr="00EC2BC6" w:rsidRDefault="00AF2D23">
            <w:pPr>
              <w:jc w:val="left"/>
              <w:rPr>
                <w:sz w:val="20"/>
              </w:rPr>
            </w:pPr>
            <w:r w:rsidRPr="00EC2BC6">
              <w:rPr>
                <w:b w:val="0"/>
                <w:sz w:val="20"/>
              </w:rPr>
              <w:t>97.78645833333333</w:t>
            </w:r>
          </w:p>
        </w:tc>
        <w:tc>
          <w:tcPr>
            <w:tcW w:w="1872" w:type="dxa"/>
            <w:vAlign w:val="center"/>
          </w:tcPr>
          <w:p w:rsidR="00BF7867" w:rsidRPr="00EC2BC6" w:rsidRDefault="00AF2D23">
            <w:pPr>
              <w:jc w:val="left"/>
              <w:rPr>
                <w:sz w:val="20"/>
              </w:rPr>
            </w:pPr>
            <w:r w:rsidRPr="00EC2BC6">
              <w:rPr>
                <w:b w:val="0"/>
                <w:sz w:val="20"/>
              </w:rPr>
              <w:t>PASS</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872" w:type="dxa"/>
            <w:vAlign w:val="center"/>
          </w:tcPr>
          <w:p w:rsidR="00BF7867" w:rsidRPr="00EC2BC6" w:rsidRDefault="00AF2D23">
            <w:pPr>
              <w:jc w:val="left"/>
              <w:rPr>
                <w:sz w:val="20"/>
              </w:rPr>
            </w:pPr>
            <w:r w:rsidRPr="00EC2BC6">
              <w:rPr>
                <w:b w:val="0"/>
                <w:sz w:val="20"/>
              </w:rPr>
              <w:t>L3</w:t>
            </w:r>
          </w:p>
        </w:tc>
        <w:tc>
          <w:tcPr>
            <w:tcW w:w="1872" w:type="dxa"/>
            <w:vAlign w:val="center"/>
          </w:tcPr>
          <w:p w:rsidR="00BF7867" w:rsidRPr="00EC2BC6" w:rsidRDefault="00AF2D23">
            <w:pPr>
              <w:jc w:val="left"/>
              <w:rPr>
                <w:sz w:val="20"/>
              </w:rPr>
            </w:pPr>
            <w:r w:rsidRPr="00EC2BC6">
              <w:rPr>
                <w:b w:val="0"/>
                <w:sz w:val="20"/>
              </w:rPr>
              <w:t>Synthetic stress-test class agreement</w:t>
            </w:r>
          </w:p>
        </w:tc>
        <w:tc>
          <w:tcPr>
            <w:tcW w:w="1872" w:type="dxa"/>
            <w:vAlign w:val="center"/>
          </w:tcPr>
          <w:p w:rsidR="00BF7867" w:rsidRPr="00EC2BC6" w:rsidRDefault="00AF2D23">
            <w:pPr>
              <w:jc w:val="left"/>
              <w:rPr>
                <w:sz w:val="20"/>
              </w:rPr>
            </w:pPr>
            <w:r w:rsidRPr="00EC2BC6">
              <w:rPr>
                <w:b w:val="0"/>
                <w:sz w:val="20"/>
              </w:rPr>
              <w:t>&gt; 90 percent</w:t>
            </w:r>
          </w:p>
        </w:tc>
        <w:tc>
          <w:tcPr>
            <w:tcW w:w="1872" w:type="dxa"/>
            <w:vAlign w:val="center"/>
          </w:tcPr>
          <w:p w:rsidR="00BF7867" w:rsidRPr="00EC2BC6" w:rsidRDefault="00AF2D23">
            <w:pPr>
              <w:jc w:val="left"/>
              <w:rPr>
                <w:sz w:val="20"/>
              </w:rPr>
            </w:pPr>
            <w:r w:rsidRPr="00EC2BC6">
              <w:rPr>
                <w:b w:val="0"/>
                <w:sz w:val="20"/>
              </w:rPr>
              <w:t>93.63606770833333</w:t>
            </w:r>
          </w:p>
        </w:tc>
        <w:tc>
          <w:tcPr>
            <w:tcW w:w="1872" w:type="dxa"/>
            <w:vAlign w:val="center"/>
          </w:tcPr>
          <w:p w:rsidR="00BF7867" w:rsidRPr="00EC2BC6" w:rsidRDefault="00AF2D23">
            <w:pPr>
              <w:jc w:val="left"/>
              <w:rPr>
                <w:sz w:val="20"/>
              </w:rPr>
            </w:pPr>
            <w:r w:rsidRPr="00EC2BC6">
              <w:rPr>
                <w:b w:val="0"/>
                <w:sz w:val="20"/>
              </w:rPr>
              <w:t>PASS</w:t>
            </w:r>
          </w:p>
        </w:tc>
      </w:tr>
      <w:tr w:rsidR="00BF7867" w:rsidRPr="00EC2BC6" w:rsidTr="00EC2BC6">
        <w:tc>
          <w:tcPr>
            <w:tcW w:w="1872" w:type="dxa"/>
            <w:vAlign w:val="center"/>
          </w:tcPr>
          <w:p w:rsidR="00BF7867" w:rsidRPr="00EC2BC6" w:rsidRDefault="00AF2D23">
            <w:pPr>
              <w:jc w:val="left"/>
              <w:rPr>
                <w:sz w:val="20"/>
              </w:rPr>
            </w:pPr>
            <w:r w:rsidRPr="00EC2BC6">
              <w:rPr>
                <w:b w:val="0"/>
                <w:sz w:val="20"/>
              </w:rPr>
              <w:t>L4</w:t>
            </w:r>
          </w:p>
        </w:tc>
        <w:tc>
          <w:tcPr>
            <w:tcW w:w="1872" w:type="dxa"/>
            <w:vAlign w:val="center"/>
          </w:tcPr>
          <w:p w:rsidR="00BF7867" w:rsidRPr="00EC2BC6" w:rsidRDefault="00AF2D23">
            <w:pPr>
              <w:jc w:val="left"/>
              <w:rPr>
                <w:sz w:val="20"/>
              </w:rPr>
            </w:pPr>
            <w:r w:rsidRPr="00EC2BC6">
              <w:rPr>
                <w:b w:val="0"/>
                <w:sz w:val="20"/>
              </w:rPr>
              <w:t>External mapping consistency</w:t>
            </w:r>
          </w:p>
        </w:tc>
        <w:tc>
          <w:tcPr>
            <w:tcW w:w="1872" w:type="dxa"/>
            <w:vAlign w:val="center"/>
          </w:tcPr>
          <w:p w:rsidR="00BF7867" w:rsidRPr="00EC2BC6" w:rsidRDefault="00AF2D23">
            <w:pPr>
              <w:jc w:val="left"/>
              <w:rPr>
                <w:sz w:val="20"/>
              </w:rPr>
            </w:pPr>
            <w:r w:rsidRPr="00EC2BC6">
              <w:rPr>
                <w:b w:val="0"/>
                <w:sz w:val="20"/>
              </w:rPr>
              <w:t>&gt; 80 percent</w:t>
            </w:r>
          </w:p>
        </w:tc>
        <w:tc>
          <w:tcPr>
            <w:tcW w:w="1872" w:type="dxa"/>
            <w:vAlign w:val="center"/>
          </w:tcPr>
          <w:p w:rsidR="00BF7867" w:rsidRPr="00EC2BC6" w:rsidRDefault="00AF2D23">
            <w:pPr>
              <w:jc w:val="left"/>
              <w:rPr>
                <w:sz w:val="20"/>
              </w:rPr>
            </w:pPr>
            <w:r w:rsidRPr="00EC2BC6">
              <w:rPr>
                <w:b w:val="0"/>
                <w:sz w:val="20"/>
              </w:rPr>
              <w:t>100.0</w:t>
            </w:r>
          </w:p>
        </w:tc>
        <w:tc>
          <w:tcPr>
            <w:tcW w:w="1872" w:type="dxa"/>
            <w:vAlign w:val="center"/>
          </w:tcPr>
          <w:p w:rsidR="00BF7867" w:rsidRPr="00EC2BC6" w:rsidRDefault="00AF2D23">
            <w:pPr>
              <w:jc w:val="left"/>
              <w:rPr>
                <w:sz w:val="20"/>
              </w:rPr>
            </w:pPr>
            <w:r w:rsidRPr="00EC2BC6">
              <w:rPr>
                <w:b w:val="0"/>
                <w:sz w:val="20"/>
              </w:rPr>
              <w:t>PASS</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872" w:type="dxa"/>
            <w:vAlign w:val="center"/>
          </w:tcPr>
          <w:p w:rsidR="00BF7867" w:rsidRPr="00EC2BC6" w:rsidRDefault="00AF2D23">
            <w:pPr>
              <w:jc w:val="left"/>
              <w:rPr>
                <w:sz w:val="20"/>
              </w:rPr>
            </w:pPr>
            <w:r w:rsidRPr="00EC2BC6">
              <w:rPr>
                <w:b w:val="0"/>
                <w:sz w:val="20"/>
              </w:rPr>
              <w:t>L5</w:t>
            </w:r>
          </w:p>
        </w:tc>
        <w:tc>
          <w:tcPr>
            <w:tcW w:w="1872" w:type="dxa"/>
            <w:vAlign w:val="center"/>
          </w:tcPr>
          <w:p w:rsidR="00BF7867" w:rsidRPr="00EC2BC6" w:rsidRDefault="00AF2D23">
            <w:pPr>
              <w:jc w:val="left"/>
              <w:rPr>
                <w:sz w:val="20"/>
              </w:rPr>
            </w:pPr>
            <w:r w:rsidRPr="00EC2BC6">
              <w:rPr>
                <w:b w:val="0"/>
                <w:sz w:val="20"/>
              </w:rPr>
              <w:t>OpenSees reduced-period consistency</w:t>
            </w:r>
          </w:p>
        </w:tc>
        <w:tc>
          <w:tcPr>
            <w:tcW w:w="1872" w:type="dxa"/>
            <w:vAlign w:val="center"/>
          </w:tcPr>
          <w:p w:rsidR="00BF7867" w:rsidRPr="00EC2BC6" w:rsidRDefault="00AF2D23">
            <w:pPr>
              <w:jc w:val="left"/>
              <w:rPr>
                <w:sz w:val="20"/>
              </w:rPr>
            </w:pPr>
            <w:r w:rsidRPr="00EC2BC6">
              <w:rPr>
                <w:b w:val="0"/>
                <w:sz w:val="20"/>
              </w:rPr>
              <w:t>&lt; 1 percent period error</w:t>
            </w:r>
          </w:p>
        </w:tc>
        <w:tc>
          <w:tcPr>
            <w:tcW w:w="1872" w:type="dxa"/>
            <w:vAlign w:val="center"/>
          </w:tcPr>
          <w:p w:rsidR="00BF7867" w:rsidRPr="00EC2BC6" w:rsidRDefault="00AF2D23">
            <w:pPr>
              <w:jc w:val="left"/>
              <w:rPr>
                <w:sz w:val="20"/>
              </w:rPr>
            </w:pPr>
            <w:r w:rsidRPr="00EC2BC6">
              <w:rPr>
                <w:b w:val="0"/>
                <w:sz w:val="20"/>
              </w:rPr>
              <w:t>2.0025188610153693e-14</w:t>
            </w:r>
          </w:p>
        </w:tc>
        <w:tc>
          <w:tcPr>
            <w:tcW w:w="1872" w:type="dxa"/>
            <w:vAlign w:val="center"/>
          </w:tcPr>
          <w:p w:rsidR="00BF7867" w:rsidRPr="00EC2BC6" w:rsidRDefault="00AF2D23">
            <w:pPr>
              <w:jc w:val="left"/>
              <w:rPr>
                <w:sz w:val="20"/>
              </w:rPr>
            </w:pPr>
            <w:r w:rsidRPr="00EC2BC6">
              <w:rPr>
                <w:b w:val="0"/>
                <w:sz w:val="20"/>
              </w:rPr>
              <w:t>PASS</w:t>
            </w:r>
          </w:p>
        </w:tc>
      </w:tr>
      <w:tr w:rsidR="00BF7867" w:rsidRPr="00EC2BC6" w:rsidTr="00EC2BC6">
        <w:tc>
          <w:tcPr>
            <w:tcW w:w="1872" w:type="dxa"/>
            <w:vAlign w:val="center"/>
          </w:tcPr>
          <w:p w:rsidR="00BF7867" w:rsidRPr="00EC2BC6" w:rsidRDefault="00AF2D23">
            <w:pPr>
              <w:jc w:val="left"/>
              <w:rPr>
                <w:sz w:val="20"/>
              </w:rPr>
            </w:pPr>
            <w:r w:rsidRPr="00EC2BC6">
              <w:rPr>
                <w:b w:val="0"/>
                <w:sz w:val="20"/>
              </w:rPr>
              <w:t>L6</w:t>
            </w:r>
          </w:p>
        </w:tc>
        <w:tc>
          <w:tcPr>
            <w:tcW w:w="1872" w:type="dxa"/>
            <w:vAlign w:val="center"/>
          </w:tcPr>
          <w:p w:rsidR="00BF7867" w:rsidRPr="00EC2BC6" w:rsidRDefault="00AF2D23">
            <w:pPr>
              <w:jc w:val="left"/>
              <w:rPr>
                <w:sz w:val="20"/>
              </w:rPr>
            </w:pPr>
            <w:r w:rsidRPr="00EC2BC6">
              <w:rPr>
                <w:b w:val="0"/>
                <w:sz w:val="20"/>
              </w:rPr>
              <w:t>RESPOND blind transfer predictor</w:t>
            </w:r>
          </w:p>
        </w:tc>
        <w:tc>
          <w:tcPr>
            <w:tcW w:w="1872" w:type="dxa"/>
            <w:vAlign w:val="center"/>
          </w:tcPr>
          <w:p w:rsidR="00BF7867" w:rsidRPr="00EC2BC6" w:rsidRDefault="00AF2D23">
            <w:pPr>
              <w:jc w:val="left"/>
              <w:rPr>
                <w:sz w:val="20"/>
              </w:rPr>
            </w:pPr>
            <w:r w:rsidRPr="00EC2BC6">
              <w:rPr>
                <w:b w:val="0"/>
                <w:sz w:val="20"/>
              </w:rPr>
              <w:t>median NRMSE &lt; 0.80</w:t>
            </w:r>
          </w:p>
        </w:tc>
        <w:tc>
          <w:tcPr>
            <w:tcW w:w="1872" w:type="dxa"/>
            <w:vAlign w:val="center"/>
          </w:tcPr>
          <w:p w:rsidR="00BF7867" w:rsidRPr="00EC2BC6" w:rsidRDefault="00AF2D23">
            <w:pPr>
              <w:jc w:val="left"/>
              <w:rPr>
                <w:sz w:val="20"/>
              </w:rPr>
            </w:pPr>
            <w:r w:rsidRPr="00EC2BC6">
              <w:rPr>
                <w:b w:val="0"/>
                <w:sz w:val="20"/>
              </w:rPr>
              <w:t>0.06385779857666056</w:t>
            </w:r>
          </w:p>
        </w:tc>
        <w:tc>
          <w:tcPr>
            <w:tcW w:w="1872" w:type="dxa"/>
            <w:vAlign w:val="center"/>
          </w:tcPr>
          <w:p w:rsidR="00BF7867" w:rsidRPr="00EC2BC6" w:rsidRDefault="00AF2D23">
            <w:pPr>
              <w:jc w:val="left"/>
              <w:rPr>
                <w:sz w:val="20"/>
              </w:rPr>
            </w:pPr>
            <w:r w:rsidRPr="00EC2BC6">
              <w:rPr>
                <w:b w:val="0"/>
                <w:sz w:val="20"/>
              </w:rPr>
              <w:t>PASS</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872" w:type="dxa"/>
            <w:vAlign w:val="center"/>
          </w:tcPr>
          <w:p w:rsidR="00BF7867" w:rsidRPr="00EC2BC6" w:rsidRDefault="00AF2D23">
            <w:pPr>
              <w:jc w:val="left"/>
              <w:rPr>
                <w:sz w:val="20"/>
              </w:rPr>
            </w:pPr>
            <w:r w:rsidRPr="00EC2BC6">
              <w:rPr>
                <w:b w:val="0"/>
                <w:sz w:val="20"/>
              </w:rPr>
              <w:t>L6</w:t>
            </w:r>
          </w:p>
        </w:tc>
        <w:tc>
          <w:tcPr>
            <w:tcW w:w="1872" w:type="dxa"/>
            <w:vAlign w:val="center"/>
          </w:tcPr>
          <w:p w:rsidR="00BF7867" w:rsidRPr="00EC2BC6" w:rsidRDefault="00AF2D23">
            <w:pPr>
              <w:jc w:val="left"/>
              <w:rPr>
                <w:sz w:val="20"/>
              </w:rPr>
            </w:pPr>
            <w:r w:rsidRPr="00EC2BC6">
              <w:rPr>
                <w:b w:val="0"/>
                <w:sz w:val="20"/>
              </w:rPr>
              <w:t>Garner instrumental and predictive gate</w:t>
            </w:r>
          </w:p>
        </w:tc>
        <w:tc>
          <w:tcPr>
            <w:tcW w:w="1872" w:type="dxa"/>
            <w:vAlign w:val="center"/>
          </w:tcPr>
          <w:p w:rsidR="00BF7867" w:rsidRPr="00EC2BC6" w:rsidRDefault="00AF2D23">
            <w:pPr>
              <w:jc w:val="left"/>
              <w:rPr>
                <w:sz w:val="20"/>
              </w:rPr>
            </w:pPr>
            <w:r w:rsidRPr="00EC2BC6">
              <w:rPr>
                <w:b w:val="0"/>
                <w:sz w:val="20"/>
              </w:rPr>
              <w:t>instrumental and linear predictive gates both true</w:t>
            </w:r>
          </w:p>
        </w:tc>
        <w:tc>
          <w:tcPr>
            <w:tcW w:w="1872" w:type="dxa"/>
            <w:vAlign w:val="center"/>
          </w:tcPr>
          <w:p w:rsidR="00BF7867" w:rsidRPr="00EC2BC6" w:rsidRDefault="00AF2D23">
            <w:pPr>
              <w:jc w:val="left"/>
              <w:rPr>
                <w:sz w:val="20"/>
              </w:rPr>
            </w:pPr>
            <w:r w:rsidRPr="00EC2BC6">
              <w:rPr>
                <w:b w:val="0"/>
                <w:sz w:val="20"/>
              </w:rPr>
              <w:t>instrumental=False; linear=False</w:t>
            </w:r>
          </w:p>
        </w:tc>
        <w:tc>
          <w:tcPr>
            <w:tcW w:w="1872" w:type="dxa"/>
            <w:vAlign w:val="center"/>
          </w:tcPr>
          <w:p w:rsidR="00BF7867" w:rsidRPr="00EC2BC6" w:rsidRDefault="00AF2D23">
            <w:pPr>
              <w:jc w:val="left"/>
              <w:rPr>
                <w:sz w:val="20"/>
              </w:rPr>
            </w:pPr>
            <w:r w:rsidRPr="00EC2BC6">
              <w:rPr>
                <w:b w:val="0"/>
                <w:sz w:val="20"/>
              </w:rPr>
              <w:t>FAIL</w:t>
            </w:r>
          </w:p>
        </w:tc>
      </w:tr>
      <w:tr w:rsidR="00BF7867" w:rsidRPr="00EC2BC6" w:rsidTr="00EC2BC6">
        <w:tc>
          <w:tcPr>
            <w:tcW w:w="1872" w:type="dxa"/>
            <w:vAlign w:val="center"/>
          </w:tcPr>
          <w:p w:rsidR="00BF7867" w:rsidRPr="00EC2BC6" w:rsidRDefault="00AF2D23">
            <w:pPr>
              <w:jc w:val="left"/>
              <w:rPr>
                <w:sz w:val="20"/>
              </w:rPr>
            </w:pPr>
            <w:r w:rsidRPr="00EC2BC6">
              <w:rPr>
                <w:b w:val="0"/>
                <w:sz w:val="20"/>
              </w:rPr>
              <w:t>L6</w:t>
            </w:r>
          </w:p>
        </w:tc>
        <w:tc>
          <w:tcPr>
            <w:tcW w:w="1872" w:type="dxa"/>
            <w:vAlign w:val="center"/>
          </w:tcPr>
          <w:p w:rsidR="00BF7867" w:rsidRPr="00EC2BC6" w:rsidRDefault="00AF2D23">
            <w:pPr>
              <w:jc w:val="left"/>
              <w:rPr>
                <w:sz w:val="20"/>
              </w:rPr>
            </w:pPr>
            <w:r w:rsidRPr="00EC2BC6">
              <w:rPr>
                <w:b w:val="0"/>
                <w:sz w:val="20"/>
              </w:rPr>
              <w:t>Nonlinear 3D validation eligibility</w:t>
            </w:r>
          </w:p>
        </w:tc>
        <w:tc>
          <w:tcPr>
            <w:tcW w:w="1872" w:type="dxa"/>
            <w:vAlign w:val="center"/>
          </w:tcPr>
          <w:p w:rsidR="00BF7867" w:rsidRPr="00EC2BC6" w:rsidRDefault="00AF2D23">
            <w:pPr>
              <w:jc w:val="left"/>
              <w:rPr>
                <w:sz w:val="20"/>
              </w:rPr>
            </w:pPr>
            <w:r w:rsidRPr="00EC2BC6">
              <w:rPr>
                <w:b w:val="0"/>
                <w:sz w:val="20"/>
              </w:rPr>
              <w:t>nonlinear model claim allowed only after prior field gates pass</w:t>
            </w:r>
          </w:p>
        </w:tc>
        <w:tc>
          <w:tcPr>
            <w:tcW w:w="1872" w:type="dxa"/>
            <w:vAlign w:val="center"/>
          </w:tcPr>
          <w:p w:rsidR="00BF7867" w:rsidRPr="00EC2BC6" w:rsidRDefault="00AF2D23">
            <w:pPr>
              <w:jc w:val="left"/>
              <w:rPr>
                <w:sz w:val="20"/>
              </w:rPr>
            </w:pPr>
            <w:r w:rsidRPr="00EC2BC6">
              <w:rPr>
                <w:b w:val="0"/>
                <w:sz w:val="20"/>
              </w:rPr>
              <w:t>False</w:t>
            </w:r>
          </w:p>
        </w:tc>
        <w:tc>
          <w:tcPr>
            <w:tcW w:w="1872" w:type="dxa"/>
            <w:vAlign w:val="center"/>
          </w:tcPr>
          <w:p w:rsidR="00BF7867" w:rsidRPr="00EC2BC6" w:rsidRDefault="00AF2D23">
            <w:pPr>
              <w:jc w:val="left"/>
              <w:rPr>
                <w:sz w:val="20"/>
              </w:rPr>
            </w:pPr>
            <w:r w:rsidRPr="00EC2BC6">
              <w:rPr>
                <w:b w:val="0"/>
                <w:sz w:val="20"/>
              </w:rPr>
              <w:t>FAIL</w:t>
            </w:r>
          </w:p>
        </w:tc>
      </w:tr>
    </w:tbl>
    <w:p w:rsidR="00BF7867" w:rsidRDefault="00AF2D23">
      <w:pPr>
        <w:pStyle w:val="Heading2"/>
        <w:jc w:val="both"/>
      </w:pPr>
      <w:r>
        <w:rPr>
          <w:sz w:val="22"/>
        </w:rPr>
        <w:t>5.3 Field benchmark falsification protocol</w:t>
      </w:r>
    </w:p>
    <w:p w:rsidR="00BF7867" w:rsidRDefault="00AF2D23">
      <w:pPr>
        <w:jc w:val="both"/>
      </w:pPr>
      <w:r>
        <w:rPr>
          <w:sz w:val="22"/>
        </w:rPr>
        <w:t>Negative evidence is not treated as failed validation to be hidden; it is treated as an explicit falsification layer that bounds the claim. Garner Valley is therefore named a validation-falsification benchmark: base-channel waveform handling and timing are data-traceability evidence, while failed polarity, FRF, OpenSees predictive and auxiliary-sensor gates reject a positive nonlinear 3D SFSI validation claim for the current implementation.</w:t>
      </w:r>
    </w:p>
    <w:p w:rsidR="00BF7867" w:rsidRDefault="00AF2D23">
      <w:pPr>
        <w:keepNext/>
        <w:jc w:val="both"/>
      </w:pPr>
      <w:r>
        <w:rPr>
          <w:b w:val="0"/>
          <w:sz w:val="22"/>
        </w:rPr>
        <w:t>Table M3. Garner Valley validation-falsification gate table.</w:t>
      </w:r>
    </w:p>
    <w:tbl>
      <w:tblPr>
        <w:tblStyle w:val="PlainTable2"/>
        <w:tblW w:w="0" w:type="auto"/>
        <w:jc w:val="center"/>
        <w:tblLook w:val="0420" w:firstRow="1" w:lastRow="0" w:firstColumn="0" w:lastColumn="0" w:noHBand="0" w:noVBand="1"/>
      </w:tblPr>
      <w:tblGrid>
        <w:gridCol w:w="2340"/>
        <w:gridCol w:w="2340"/>
        <w:gridCol w:w="2340"/>
        <w:gridCol w:w="2340"/>
      </w:tblGrid>
      <w:tr w:rsidR="00BF7867" w:rsidRPr="00EC2BC6" w:rsidTr="00EC2BC6">
        <w:trPr>
          <w:cnfStyle w:val="100000000000" w:firstRow="1" w:lastRow="0" w:firstColumn="0" w:lastColumn="0" w:oddVBand="0" w:evenVBand="0" w:oddHBand="0" w:evenHBand="0" w:firstRowFirstColumn="0" w:firstRowLastColumn="0" w:lastRowFirstColumn="0" w:lastRowLastColumn="0"/>
          <w:tblHeader w:val="true"/>
        </w:trPr>
        <w:tc>
          <w:tcPr>
            <w:tcW w:w="2340" w:type="dxa"/>
            <w:vAlign w:val="center"/>
          </w:tcPr>
          <w:p w:rsidR="00BF7867" w:rsidRPr="00EC2BC6" w:rsidRDefault="00AF2D23">
            <w:pPr>
              <w:jc w:val="left"/>
              <w:rPr>
                <w:sz w:val="20"/>
              </w:rPr>
            </w:pPr>
            <w:r w:rsidRPr="00EC2BC6">
              <w:rPr>
                <w:b/>
                <w:sz w:val="20"/>
              </w:rPr>
              <w:t>Garner gate</w:t>
            </w:r>
          </w:p>
        </w:tc>
        <w:tc>
          <w:tcPr>
            <w:tcW w:w="2340" w:type="dxa"/>
            <w:vAlign w:val="center"/>
          </w:tcPr>
          <w:p w:rsidR="00BF7867" w:rsidRPr="00EC2BC6" w:rsidRDefault="00AF2D23">
            <w:pPr>
              <w:jc w:val="left"/>
              <w:rPr>
                <w:sz w:val="20"/>
              </w:rPr>
            </w:pPr>
            <w:r w:rsidRPr="00EC2BC6">
              <w:rPr>
                <w:b/>
                <w:sz w:val="20"/>
              </w:rPr>
              <w:t>Requirement</w:t>
            </w:r>
          </w:p>
        </w:tc>
        <w:tc>
          <w:tcPr>
            <w:tcW w:w="2340" w:type="dxa"/>
            <w:vAlign w:val="center"/>
          </w:tcPr>
          <w:p w:rsidR="00BF7867" w:rsidRPr="00EC2BC6" w:rsidRDefault="00AF2D23">
            <w:pPr>
              <w:jc w:val="left"/>
              <w:rPr>
                <w:sz w:val="20"/>
              </w:rPr>
            </w:pPr>
            <w:r w:rsidRPr="00EC2BC6">
              <w:rPr>
                <w:b/>
                <w:sz w:val="20"/>
              </w:rPr>
              <w:t>Result</w:t>
            </w:r>
          </w:p>
        </w:tc>
        <w:tc>
          <w:tcPr>
            <w:tcW w:w="2340" w:type="dxa"/>
            <w:vAlign w:val="center"/>
          </w:tcPr>
          <w:p w:rsidR="00BF7867" w:rsidRPr="00EC2BC6" w:rsidRDefault="00AF2D23">
            <w:pPr>
              <w:jc w:val="left"/>
              <w:rPr>
                <w:sz w:val="20"/>
              </w:rPr>
            </w:pPr>
            <w:r w:rsidRPr="00EC2BC6">
              <w:rPr>
                <w:b/>
                <w:sz w:val="20"/>
              </w:rPr>
              <w:t>Decision</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2340" w:type="dxa"/>
            <w:vAlign w:val="center"/>
          </w:tcPr>
          <w:p w:rsidR="00BF7867" w:rsidRPr="00EC2BC6" w:rsidRDefault="00AF2D23">
            <w:pPr>
              <w:jc w:val="left"/>
              <w:rPr>
                <w:sz w:val="20"/>
              </w:rPr>
            </w:pPr>
            <w:r w:rsidRPr="00EC2BC6">
              <w:rPr>
                <w:b w:val="0"/>
                <w:sz w:val="20"/>
              </w:rPr>
              <w:t>Full-resolution base GVDA/SFSI channels</w:t>
            </w:r>
          </w:p>
        </w:tc>
        <w:tc>
          <w:tcPr>
            <w:tcW w:w="2340" w:type="dxa"/>
            <w:vAlign w:val="center"/>
          </w:tcPr>
          <w:p w:rsidR="00BF7867" w:rsidRPr="00EC2BC6" w:rsidRDefault="00AF2D23">
            <w:pPr>
              <w:jc w:val="left"/>
              <w:rPr>
                <w:sz w:val="20"/>
              </w:rPr>
            </w:pPr>
            <w:r w:rsidRPr="00EC2BC6">
              <w:rPr>
                <w:b w:val="0"/>
                <w:sz w:val="20"/>
              </w:rPr>
              <w:t>yes</w:t>
            </w:r>
          </w:p>
        </w:tc>
        <w:tc>
          <w:tcPr>
            <w:tcW w:w="2340" w:type="dxa"/>
            <w:vAlign w:val="center"/>
          </w:tcPr>
          <w:p w:rsidR="00BF7867" w:rsidRPr="00EC2BC6" w:rsidRDefault="00AF2D23">
            <w:pPr>
              <w:jc w:val="left"/>
              <w:rPr>
                <w:sz w:val="20"/>
              </w:rPr>
            </w:pPr>
            <w:r w:rsidRPr="00EC2BC6">
              <w:rPr>
                <w:b w:val="0"/>
                <w:sz w:val="20"/>
              </w:rPr>
              <w:t>yes for base six-channel event set</w:t>
            </w:r>
          </w:p>
        </w:tc>
        <w:tc>
          <w:tcPr>
            <w:tcW w:w="2340" w:type="dxa"/>
            <w:vAlign w:val="center"/>
          </w:tcPr>
          <w:p w:rsidR="00BF7867" w:rsidRPr="00EC2BC6" w:rsidRDefault="00AF2D23">
            <w:pPr>
              <w:jc w:val="left"/>
              <w:rPr>
                <w:sz w:val="20"/>
              </w:rPr>
            </w:pPr>
            <w:r w:rsidRPr="00EC2BC6">
              <w:rPr>
                <w:b w:val="0"/>
                <w:sz w:val="20"/>
              </w:rPr>
              <w:t>PASS</w:t>
            </w:r>
          </w:p>
        </w:tc>
      </w:tr>
      <w:tr w:rsidR="00BF7867" w:rsidRPr="00EC2BC6" w:rsidTr="00EC2BC6">
        <w:tc>
          <w:tcPr>
            <w:tcW w:w="2340" w:type="dxa"/>
            <w:vAlign w:val="center"/>
          </w:tcPr>
          <w:p w:rsidR="00BF7867" w:rsidRPr="00EC2BC6" w:rsidRDefault="00AF2D23">
            <w:pPr>
              <w:jc w:val="left"/>
              <w:rPr>
                <w:sz w:val="20"/>
              </w:rPr>
            </w:pPr>
            <w:r w:rsidRPr="00EC2BC6">
              <w:rPr>
                <w:b w:val="0"/>
                <w:sz w:val="20"/>
              </w:rPr>
              <w:t>Full-resolution auxiliary SFSI channels</w:t>
            </w:r>
          </w:p>
        </w:tc>
        <w:tc>
          <w:tcPr>
            <w:tcW w:w="2340" w:type="dxa"/>
            <w:vAlign w:val="center"/>
          </w:tcPr>
          <w:p w:rsidR="00BF7867" w:rsidRPr="00EC2BC6" w:rsidRDefault="00AF2D23">
            <w:pPr>
              <w:jc w:val="left"/>
              <w:rPr>
                <w:sz w:val="20"/>
              </w:rPr>
            </w:pPr>
            <w:r w:rsidRPr="00EC2BC6">
              <w:rPr>
                <w:b w:val="0"/>
                <w:sz w:val="20"/>
              </w:rPr>
              <w:t>yes</w:t>
            </w:r>
          </w:p>
        </w:tc>
        <w:tc>
          <w:tcPr>
            <w:tcW w:w="2340" w:type="dxa"/>
            <w:vAlign w:val="center"/>
          </w:tcPr>
          <w:p w:rsidR="00BF7867" w:rsidRPr="00EC2BC6" w:rsidRDefault="00AF2D23">
            <w:pPr>
              <w:jc w:val="left"/>
              <w:rPr>
                <w:sz w:val="20"/>
              </w:rPr>
            </w:pPr>
            <w:r w:rsidRPr="00EC2BC6">
              <w:rPr>
                <w:b w:val="0"/>
                <w:sz w:val="20"/>
              </w:rPr>
              <w:t>False</w:t>
            </w:r>
          </w:p>
        </w:tc>
        <w:tc>
          <w:tcPr>
            <w:tcW w:w="2340" w:type="dxa"/>
            <w:vAlign w:val="center"/>
          </w:tcPr>
          <w:p w:rsidR="00BF7867" w:rsidRPr="00EC2BC6" w:rsidRDefault="00AF2D23">
            <w:pPr>
              <w:jc w:val="left"/>
              <w:rPr>
                <w:sz w:val="20"/>
              </w:rPr>
            </w:pPr>
            <w:r w:rsidRPr="00EC2BC6">
              <w:rPr>
                <w:b w:val="0"/>
                <w:sz w:val="20"/>
              </w:rPr>
              <w:t>FAIL</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2340" w:type="dxa"/>
            <w:vAlign w:val="center"/>
          </w:tcPr>
          <w:p w:rsidR="00BF7867" w:rsidRPr="00EC2BC6" w:rsidRDefault="00AF2D23">
            <w:pPr>
              <w:jc w:val="left"/>
              <w:rPr>
                <w:sz w:val="20"/>
              </w:rPr>
            </w:pPr>
            <w:r w:rsidRPr="00EC2BC6">
              <w:rPr>
                <w:b w:val="0"/>
                <w:sz w:val="20"/>
              </w:rPr>
              <w:t>Absolute/subsample timing</w:t>
            </w:r>
          </w:p>
        </w:tc>
        <w:tc>
          <w:tcPr>
            <w:tcW w:w="2340" w:type="dxa"/>
            <w:vAlign w:val="center"/>
          </w:tcPr>
          <w:p w:rsidR="00BF7867" w:rsidRPr="00EC2BC6" w:rsidRDefault="00AF2D23">
            <w:pPr>
              <w:jc w:val="left"/>
              <w:rPr>
                <w:sz w:val="20"/>
              </w:rPr>
            </w:pPr>
            <w:r w:rsidRPr="00EC2BC6">
              <w:rPr>
                <w:b w:val="0"/>
                <w:sz w:val="20"/>
              </w:rPr>
              <w:t>lag &lt; 0.02 s</w:t>
            </w:r>
          </w:p>
        </w:tc>
        <w:tc>
          <w:tcPr>
            <w:tcW w:w="2340" w:type="dxa"/>
            <w:vAlign w:val="center"/>
          </w:tcPr>
          <w:p w:rsidR="00BF7867" w:rsidRPr="00EC2BC6" w:rsidRDefault="00AF2D23">
            <w:pPr>
              <w:jc w:val="left"/>
              <w:rPr>
                <w:sz w:val="20"/>
              </w:rPr>
            </w:pPr>
            <w:r w:rsidRPr="00EC2BC6">
              <w:rPr>
                <w:b w:val="0"/>
                <w:sz w:val="20"/>
              </w:rPr>
              <w:t>0.009968872098669911</w:t>
            </w:r>
          </w:p>
        </w:tc>
        <w:tc>
          <w:tcPr>
            <w:tcW w:w="2340" w:type="dxa"/>
            <w:vAlign w:val="center"/>
          </w:tcPr>
          <w:p w:rsidR="00BF7867" w:rsidRPr="00EC2BC6" w:rsidRDefault="00AF2D23">
            <w:pPr>
              <w:jc w:val="left"/>
              <w:rPr>
                <w:sz w:val="20"/>
              </w:rPr>
            </w:pPr>
            <w:r w:rsidRPr="00EC2BC6">
              <w:rPr>
                <w:b w:val="0"/>
                <w:sz w:val="20"/>
              </w:rPr>
              <w:t>PASS</w:t>
            </w:r>
          </w:p>
        </w:tc>
      </w:tr>
      <w:tr w:rsidR="00BF7867" w:rsidRPr="00EC2BC6" w:rsidTr="00EC2BC6">
        <w:tc>
          <w:tcPr>
            <w:tcW w:w="2340" w:type="dxa"/>
            <w:vAlign w:val="center"/>
          </w:tcPr>
          <w:p w:rsidR="00BF7867" w:rsidRPr="00EC2BC6" w:rsidRDefault="00AF2D23">
            <w:pPr>
              <w:jc w:val="left"/>
              <w:rPr>
                <w:sz w:val="20"/>
              </w:rPr>
            </w:pPr>
            <w:r w:rsidRPr="00EC2BC6">
              <w:rPr>
                <w:b w:val="0"/>
                <w:sz w:val="20"/>
              </w:rPr>
              <w:t>Blind polarity</w:t>
            </w:r>
          </w:p>
        </w:tc>
        <w:tc>
          <w:tcPr>
            <w:tcW w:w="2340" w:type="dxa"/>
            <w:vAlign w:val="center"/>
          </w:tcPr>
          <w:p w:rsidR="00BF7867" w:rsidRPr="00EC2BC6" w:rsidRDefault="00AF2D23">
            <w:pPr>
              <w:jc w:val="left"/>
              <w:rPr>
                <w:sz w:val="20"/>
              </w:rPr>
            </w:pPr>
            <w:r w:rsidRPr="00EC2BC6">
              <w:rPr>
                <w:b w:val="0"/>
                <w:sz w:val="20"/>
              </w:rPr>
              <w:t>&gt; 85 percent minimum</w:t>
            </w:r>
          </w:p>
        </w:tc>
        <w:tc>
          <w:tcPr>
            <w:tcW w:w="2340" w:type="dxa"/>
            <w:vAlign w:val="center"/>
          </w:tcPr>
          <w:p w:rsidR="00BF7867" w:rsidRPr="00EC2BC6" w:rsidRDefault="00AF2D23">
            <w:pPr>
              <w:jc w:val="left"/>
              <w:rPr>
                <w:sz w:val="20"/>
              </w:rPr>
            </w:pPr>
            <w:r w:rsidRPr="00EC2BC6">
              <w:rPr>
                <w:b w:val="0"/>
                <w:sz w:val="20"/>
              </w:rPr>
              <w:t>0.0</w:t>
            </w:r>
          </w:p>
        </w:tc>
        <w:tc>
          <w:tcPr>
            <w:tcW w:w="2340" w:type="dxa"/>
            <w:vAlign w:val="center"/>
          </w:tcPr>
          <w:p w:rsidR="00BF7867" w:rsidRPr="00EC2BC6" w:rsidRDefault="00AF2D23">
            <w:pPr>
              <w:jc w:val="left"/>
              <w:rPr>
                <w:sz w:val="20"/>
              </w:rPr>
            </w:pPr>
            <w:r w:rsidRPr="00EC2BC6">
              <w:rPr>
                <w:b w:val="0"/>
                <w:sz w:val="20"/>
              </w:rPr>
              <w:t>FAIL</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2340" w:type="dxa"/>
            <w:vAlign w:val="center"/>
          </w:tcPr>
          <w:p w:rsidR="00BF7867" w:rsidRPr="00EC2BC6" w:rsidRDefault="00AF2D23">
            <w:pPr>
              <w:jc w:val="left"/>
              <w:rPr>
                <w:sz w:val="20"/>
              </w:rPr>
            </w:pPr>
            <w:r w:rsidRPr="00EC2BC6">
              <w:rPr>
                <w:b w:val="0"/>
                <w:sz w:val="20"/>
              </w:rPr>
              <w:t>FRF phase</w:t>
            </w:r>
          </w:p>
        </w:tc>
        <w:tc>
          <w:tcPr>
            <w:tcW w:w="2340" w:type="dxa"/>
            <w:vAlign w:val="center"/>
          </w:tcPr>
          <w:p w:rsidR="00BF7867" w:rsidRPr="00EC2BC6" w:rsidRDefault="00AF2D23">
            <w:pPr>
              <w:jc w:val="left"/>
              <w:rPr>
                <w:sz w:val="20"/>
              </w:rPr>
            </w:pPr>
            <w:r w:rsidRPr="00EC2BC6">
              <w:rPr>
                <w:b w:val="0"/>
                <w:sz w:val="20"/>
              </w:rPr>
              <w:t>&lt; 30 deg preferred / &lt; 35 deg operational</w:t>
            </w:r>
          </w:p>
        </w:tc>
        <w:tc>
          <w:tcPr>
            <w:tcW w:w="2340" w:type="dxa"/>
            <w:vAlign w:val="center"/>
          </w:tcPr>
          <w:p w:rsidR="00BF7867" w:rsidRPr="00EC2BC6" w:rsidRDefault="00AF2D23">
            <w:pPr>
              <w:jc w:val="left"/>
              <w:rPr>
                <w:sz w:val="20"/>
              </w:rPr>
            </w:pPr>
            <w:r w:rsidRPr="00EC2BC6">
              <w:rPr>
                <w:b w:val="0"/>
                <w:sz w:val="20"/>
              </w:rPr>
              <w:t>v6 best phase error 84.30 deg</w:t>
            </w:r>
          </w:p>
        </w:tc>
        <w:tc>
          <w:tcPr>
            <w:tcW w:w="2340" w:type="dxa"/>
            <w:vAlign w:val="center"/>
          </w:tcPr>
          <w:p w:rsidR="00BF7867" w:rsidRPr="00EC2BC6" w:rsidRDefault="00AF2D23">
            <w:pPr>
              <w:jc w:val="left"/>
              <w:rPr>
                <w:sz w:val="20"/>
              </w:rPr>
            </w:pPr>
            <w:r w:rsidRPr="00EC2BC6">
              <w:rPr>
                <w:b w:val="0"/>
                <w:sz w:val="20"/>
              </w:rPr>
              <w:t>FAIL</w:t>
            </w:r>
          </w:p>
        </w:tc>
      </w:tr>
      <w:tr w:rsidR="00BF7867" w:rsidRPr="00EC2BC6" w:rsidTr="00EC2BC6">
        <w:tc>
          <w:tcPr>
            <w:tcW w:w="2340" w:type="dxa"/>
            <w:vAlign w:val="center"/>
          </w:tcPr>
          <w:p w:rsidR="00BF7867" w:rsidRPr="00EC2BC6" w:rsidRDefault="00AF2D23">
            <w:pPr>
              <w:jc w:val="left"/>
              <w:rPr>
                <w:sz w:val="20"/>
              </w:rPr>
            </w:pPr>
            <w:r w:rsidRPr="00EC2BC6">
              <w:rPr>
                <w:b w:val="0"/>
                <w:sz w:val="20"/>
              </w:rPr>
              <w:t>Elastic OpenSees NRMSE</w:t>
            </w:r>
          </w:p>
        </w:tc>
        <w:tc>
          <w:tcPr>
            <w:tcW w:w="2340" w:type="dxa"/>
            <w:vAlign w:val="center"/>
          </w:tcPr>
          <w:p w:rsidR="00BF7867" w:rsidRPr="00EC2BC6" w:rsidRDefault="00AF2D23">
            <w:pPr>
              <w:jc w:val="left"/>
              <w:rPr>
                <w:sz w:val="20"/>
              </w:rPr>
            </w:pPr>
            <w:r w:rsidRPr="00EC2BC6">
              <w:rPr>
                <w:b w:val="0"/>
                <w:sz w:val="20"/>
              </w:rPr>
              <w:t>&lt; 0.80</w:t>
            </w:r>
          </w:p>
        </w:tc>
        <w:tc>
          <w:tcPr>
            <w:tcW w:w="2340" w:type="dxa"/>
            <w:vAlign w:val="center"/>
          </w:tcPr>
          <w:p w:rsidR="00BF7867" w:rsidRPr="00EC2BC6" w:rsidRDefault="00AF2D23">
            <w:pPr>
              <w:jc w:val="left"/>
              <w:rPr>
                <w:sz w:val="20"/>
              </w:rPr>
            </w:pPr>
            <w:r w:rsidRPr="00EC2BC6">
              <w:rPr>
                <w:b w:val="0"/>
                <w:sz w:val="20"/>
              </w:rPr>
              <w:t>1.6361199067649999</w:t>
            </w:r>
          </w:p>
        </w:tc>
        <w:tc>
          <w:tcPr>
            <w:tcW w:w="2340" w:type="dxa"/>
            <w:vAlign w:val="center"/>
          </w:tcPr>
          <w:p w:rsidR="00BF7867" w:rsidRPr="00EC2BC6" w:rsidRDefault="00AF2D23">
            <w:pPr>
              <w:jc w:val="left"/>
              <w:rPr>
                <w:sz w:val="20"/>
              </w:rPr>
            </w:pPr>
            <w:r w:rsidRPr="00EC2BC6">
              <w:rPr>
                <w:b w:val="0"/>
                <w:sz w:val="20"/>
              </w:rPr>
              <w:t>FAIL</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2340" w:type="dxa"/>
            <w:vAlign w:val="center"/>
          </w:tcPr>
          <w:p w:rsidR="00BF7867" w:rsidRPr="00EC2BC6" w:rsidRDefault="00AF2D23">
            <w:pPr>
              <w:jc w:val="left"/>
              <w:rPr>
                <w:sz w:val="20"/>
              </w:rPr>
            </w:pPr>
            <w:r w:rsidRPr="00EC2BC6">
              <w:rPr>
                <w:b w:val="0"/>
                <w:sz w:val="20"/>
              </w:rPr>
              <w:t>Nonlinear 3D validation eligibility</w:t>
            </w:r>
          </w:p>
        </w:tc>
        <w:tc>
          <w:tcPr>
            <w:tcW w:w="2340" w:type="dxa"/>
            <w:vAlign w:val="center"/>
          </w:tcPr>
          <w:p w:rsidR="00BF7867" w:rsidRPr="00EC2BC6" w:rsidRDefault="00AF2D23">
            <w:pPr>
              <w:jc w:val="left"/>
              <w:rPr>
                <w:sz w:val="20"/>
              </w:rPr>
            </w:pPr>
            <w:r w:rsidRPr="00EC2BC6">
              <w:rPr>
                <w:b w:val="0"/>
                <w:sz w:val="20"/>
              </w:rPr>
              <w:t>prior instrumental and linear gates pass</w:t>
            </w:r>
          </w:p>
        </w:tc>
        <w:tc>
          <w:tcPr>
            <w:tcW w:w="2340" w:type="dxa"/>
            <w:vAlign w:val="center"/>
          </w:tcPr>
          <w:p w:rsidR="00BF7867" w:rsidRPr="00EC2BC6" w:rsidRDefault="00AF2D23">
            <w:pPr>
              <w:jc w:val="left"/>
              <w:rPr>
                <w:sz w:val="20"/>
              </w:rPr>
            </w:pPr>
            <w:r w:rsidRPr="00EC2BC6">
              <w:rPr>
                <w:b w:val="0"/>
                <w:sz w:val="20"/>
              </w:rPr>
              <w:t>False</w:t>
            </w:r>
          </w:p>
        </w:tc>
        <w:tc>
          <w:tcPr>
            <w:tcW w:w="2340" w:type="dxa"/>
            <w:vAlign w:val="center"/>
          </w:tcPr>
          <w:p w:rsidR="00BF7867" w:rsidRPr="00EC2BC6" w:rsidRDefault="00AF2D23">
            <w:pPr>
              <w:jc w:val="left"/>
              <w:rPr>
                <w:sz w:val="20"/>
              </w:rPr>
            </w:pPr>
            <w:r w:rsidRPr="00EC2BC6">
              <w:rPr>
                <w:b w:val="0"/>
                <w:sz w:val="20"/>
              </w:rPr>
              <w:t>FAIL</w:t>
            </w:r>
          </w:p>
        </w:tc>
      </w:tr>
      <w:tr w:rsidR="00BF7867" w:rsidRPr="00EC2BC6" w:rsidTr="00EC2BC6">
        <w:tc>
          <w:tcPr>
            <w:tcW w:w="2340" w:type="dxa"/>
            <w:vAlign w:val="center"/>
          </w:tcPr>
          <w:p w:rsidR="00BF7867" w:rsidRPr="00EC2BC6" w:rsidRDefault="00AF2D23">
            <w:pPr>
              <w:jc w:val="left"/>
              <w:rPr>
                <w:sz w:val="20"/>
              </w:rPr>
            </w:pPr>
            <w:r w:rsidRPr="00EC2BC6">
              <w:rPr>
                <w:b w:val="0"/>
                <w:sz w:val="20"/>
              </w:rPr>
              <w:t>Final Garner decision</w:t>
            </w:r>
          </w:p>
        </w:tc>
        <w:tc>
          <w:tcPr>
            <w:tcW w:w="2340" w:type="dxa"/>
            <w:vAlign w:val="center"/>
          </w:tcPr>
          <w:p w:rsidR="00BF7867" w:rsidRPr="00EC2BC6" w:rsidRDefault="00AF2D23">
            <w:pPr>
              <w:jc w:val="left"/>
              <w:rPr>
                <w:sz w:val="20"/>
              </w:rPr>
            </w:pPr>
            <w:r w:rsidRPr="00EC2BC6">
              <w:rPr>
                <w:b w:val="0"/>
                <w:sz w:val="20"/>
              </w:rPr>
              <w:t>all above gates pass</w:t>
            </w:r>
          </w:p>
        </w:tc>
        <w:tc>
          <w:tcPr>
            <w:tcW w:w="2340" w:type="dxa"/>
            <w:vAlign w:val="center"/>
          </w:tcPr>
          <w:p w:rsidR="00BF7867" w:rsidRPr="00EC2BC6" w:rsidRDefault="00AF2D23">
            <w:pPr>
              <w:jc w:val="left"/>
              <w:rPr>
                <w:sz w:val="20"/>
              </w:rPr>
            </w:pPr>
            <w:r w:rsidRPr="00EC2BC6">
              <w:rPr>
                <w:b w:val="0"/>
                <w:sz w:val="20"/>
              </w:rPr>
              <w:t>not validated; retained as falsification benchmark</w:t>
            </w:r>
          </w:p>
        </w:tc>
        <w:tc>
          <w:tcPr>
            <w:tcW w:w="2340" w:type="dxa"/>
            <w:vAlign w:val="center"/>
          </w:tcPr>
          <w:p w:rsidR="00BF7867" w:rsidRPr="00EC2BC6" w:rsidRDefault="00AF2D23">
            <w:pPr>
              <w:jc w:val="left"/>
              <w:rPr>
                <w:sz w:val="20"/>
              </w:rPr>
            </w:pPr>
            <w:r w:rsidRPr="00EC2BC6">
              <w:rPr>
                <w:b w:val="0"/>
                <w:sz w:val="20"/>
              </w:rPr>
              <w:t>FAIL AS POSITIVE VALIDATION / PASS AS FALSIFICATION</w:t>
            </w:r>
          </w:p>
        </w:tc>
      </w:tr>
    </w:tbl>
    <w:p w:rsidR="00BF7867" w:rsidRDefault="00AF2D23">
      <w:pPr>
        <w:pStyle w:val="Heading2"/>
        <w:jc w:val="both"/>
      </w:pPr>
      <w:r>
        <w:rPr>
          <w:sz w:val="22"/>
        </w:rPr>
        <w:t>5.4 Ablation, uncertainty and controls</w:t>
      </w:r>
    </w:p>
    <w:p w:rsidR="00BF7867" w:rsidRDefault="00AF2D23">
      <w:pPr>
        <w:jc w:val="both"/>
      </w:pPr>
      <w:r>
        <w:rPr>
          <w:sz w:val="22"/>
        </w:rPr>
        <w:t>The methodological ablation separates the effect of local versus secant spectral slope, robustness margins, field falsification and solver-consistency checks. Classification uncertainty is handled with εR = |Delta ln χ| + |Delta nₛ| ln λ + |nₛ| Delta ln λ; cases inside the uncertainty band are not promoted to decisive beneficial or detrimental classifications.</w:t>
      </w:r>
    </w:p>
    <w:p w:rsidR="00BF7867" w:rsidRDefault="00AF2D23">
      <w:pPr>
        <w:keepNext/>
        <w:jc w:val="both"/>
      </w:pPr>
      <w:r>
        <w:rPr>
          <w:b w:val="0"/>
          <w:sz w:val="22"/>
        </w:rPr>
        <w:t>Table M4. Claim-evidence traceability matrix.</w:t>
      </w:r>
    </w:p>
    <w:tbl>
      <w:tblPr>
        <w:tblStyle w:val="PlainTable2"/>
        <w:tblW w:w="0" w:type="auto"/>
        <w:jc w:val="center"/>
        <w:tblLook w:val="0420" w:firstRow="1" w:lastRow="0" w:firstColumn="0" w:lastColumn="0" w:noHBand="0" w:noVBand="1"/>
      </w:tblPr>
      <w:tblGrid>
        <w:gridCol w:w="1827"/>
        <w:gridCol w:w="1837"/>
        <w:gridCol w:w="1837"/>
        <w:gridCol w:w="1782"/>
        <w:gridCol w:w="2077"/>
      </w:tblGrid>
      <w:tr w:rsidR="00BF7867" w:rsidRPr="00EC2BC6" w:rsidTr="00EC2BC6">
        <w:trPr>
          <w:cnfStyle w:val="100000000000" w:firstRow="1" w:lastRow="0" w:firstColumn="0" w:lastColumn="0" w:oddVBand="0" w:evenVBand="0" w:oddHBand="0" w:evenHBand="0" w:firstRowFirstColumn="0" w:firstRowLastColumn="0" w:lastRowFirstColumn="0" w:lastRowLastColumn="0"/>
          <w:tblHeader w:val="true"/>
        </w:trPr>
        <w:tc>
          <w:tcPr>
            <w:tcW w:w="1872" w:type="dxa"/>
            <w:vAlign w:val="center"/>
          </w:tcPr>
          <w:p w:rsidR="00BF7867" w:rsidRPr="00EC2BC6" w:rsidRDefault="00AF2D23">
            <w:pPr>
              <w:jc w:val="left"/>
              <w:rPr>
                <w:sz w:val="20"/>
              </w:rPr>
            </w:pPr>
            <w:r w:rsidRPr="00EC2BC6">
              <w:rPr>
                <w:b/>
                <w:sz w:val="20"/>
              </w:rPr>
              <w:t>Claim</w:t>
            </w:r>
          </w:p>
        </w:tc>
        <w:tc>
          <w:tcPr>
            <w:tcW w:w="1872" w:type="dxa"/>
            <w:vAlign w:val="center"/>
          </w:tcPr>
          <w:p w:rsidR="00BF7867" w:rsidRPr="00EC2BC6" w:rsidRDefault="00AF2D23">
            <w:pPr>
              <w:jc w:val="left"/>
              <w:rPr>
                <w:sz w:val="20"/>
              </w:rPr>
            </w:pPr>
            <w:r w:rsidRPr="00EC2BC6">
              <w:rPr>
                <w:b/>
                <w:sz w:val="20"/>
              </w:rPr>
              <w:t>Evidence</w:t>
            </w:r>
          </w:p>
        </w:tc>
        <w:tc>
          <w:tcPr>
            <w:tcW w:w="1872" w:type="dxa"/>
            <w:vAlign w:val="center"/>
          </w:tcPr>
          <w:p w:rsidR="00BF7867" w:rsidRPr="00EC2BC6" w:rsidRDefault="00AF2D23">
            <w:pPr>
              <w:jc w:val="left"/>
              <w:rPr>
                <w:sz w:val="20"/>
              </w:rPr>
            </w:pPr>
            <w:r w:rsidRPr="00EC2BC6">
              <w:rPr>
                <w:b/>
                <w:sz w:val="20"/>
              </w:rPr>
              <w:t>Strength</w:t>
            </w:r>
          </w:p>
        </w:tc>
        <w:tc>
          <w:tcPr>
            <w:tcW w:w="1872" w:type="dxa"/>
            <w:vAlign w:val="center"/>
          </w:tcPr>
          <w:p w:rsidR="00BF7867" w:rsidRPr="00EC2BC6" w:rsidRDefault="00AF2D23">
            <w:pPr>
              <w:jc w:val="left"/>
              <w:rPr>
                <w:sz w:val="20"/>
              </w:rPr>
            </w:pPr>
            <w:r w:rsidRPr="00EC2BC6">
              <w:rPr>
                <w:b/>
                <w:sz w:val="20"/>
              </w:rPr>
              <w:t>Allowed?</w:t>
            </w:r>
          </w:p>
        </w:tc>
        <w:tc>
          <w:tcPr>
            <w:tcW w:w="1872" w:type="dxa"/>
            <w:vAlign w:val="center"/>
          </w:tcPr>
          <w:p w:rsidR="00BF7867" w:rsidRPr="00EC2BC6" w:rsidRDefault="00AF2D23">
            <w:pPr>
              <w:jc w:val="left"/>
              <w:rPr>
                <w:sz w:val="20"/>
              </w:rPr>
            </w:pPr>
            <w:r w:rsidRPr="00EC2BC6">
              <w:rPr>
                <w:b/>
                <w:sz w:val="20"/>
              </w:rPr>
              <w:t>Residual risk</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872" w:type="dxa"/>
            <w:vAlign w:val="center"/>
          </w:tcPr>
          <w:p w:rsidR="00BF7867" w:rsidRPr="00EC2BC6" w:rsidRDefault="00AF2D23">
            <w:pPr>
              <w:jc w:val="left"/>
              <w:rPr>
                <w:sz w:val="20"/>
              </w:rPr>
            </w:pPr>
            <w:r w:rsidRPr="00EC2BC6">
              <w:rPr>
                <w:b w:val="0"/>
                <w:sz w:val="20"/>
              </w:rPr>
              <w:t>Closed-form SSI demand-polarity boundary is mathematically verified</w:t>
            </w:r>
          </w:p>
        </w:tc>
        <w:tc>
          <w:tcPr>
            <w:tcW w:w="1872" w:type="dxa"/>
            <w:vAlign w:val="center"/>
          </w:tcPr>
          <w:p w:rsidR="00BF7867" w:rsidRPr="00EC2BC6" w:rsidRDefault="00AF2D23">
            <w:pPr>
              <w:jc w:val="left"/>
              <w:rPr>
                <w:sz w:val="20"/>
              </w:rPr>
            </w:pPr>
            <w:r w:rsidRPr="00EC2BC6">
              <w:rPr>
                <w:b w:val="0"/>
                <w:sz w:val="20"/>
              </w:rPr>
              <w:t>L1 theorem/identity checks</w:t>
            </w:r>
          </w:p>
        </w:tc>
        <w:tc>
          <w:tcPr>
            <w:tcW w:w="1872" w:type="dxa"/>
            <w:vAlign w:val="center"/>
          </w:tcPr>
          <w:p w:rsidR="00BF7867" w:rsidRPr="00EC2BC6" w:rsidRDefault="00AF2D23">
            <w:pPr>
              <w:jc w:val="left"/>
              <w:rPr>
                <w:sz w:val="20"/>
              </w:rPr>
            </w:pPr>
            <w:r w:rsidRPr="00EC2BC6">
              <w:rPr>
                <w:b w:val="0"/>
                <w:sz w:val="20"/>
              </w:rPr>
              <w:t>Strong</w:t>
            </w:r>
          </w:p>
        </w:tc>
        <w:tc>
          <w:tcPr>
            <w:tcW w:w="1872" w:type="dxa"/>
            <w:vAlign w:val="center"/>
          </w:tcPr>
          <w:p w:rsidR="00BF7867" w:rsidRPr="00EC2BC6" w:rsidRDefault="00AF2D23">
            <w:pPr>
              <w:jc w:val="left"/>
              <w:rPr>
                <w:sz w:val="20"/>
              </w:rPr>
            </w:pPr>
            <w:r w:rsidRPr="00EC2BC6">
              <w:rPr>
                <w:b w:val="0"/>
                <w:sz w:val="20"/>
              </w:rPr>
              <w:t>yes</w:t>
            </w:r>
          </w:p>
        </w:tc>
        <w:tc>
          <w:tcPr>
            <w:tcW w:w="1872" w:type="dxa"/>
            <w:vAlign w:val="center"/>
          </w:tcPr>
          <w:p w:rsidR="00BF7867" w:rsidRPr="00EC2BC6" w:rsidRDefault="00AF2D23">
            <w:pPr>
              <w:jc w:val="left"/>
              <w:rPr>
                <w:sz w:val="20"/>
              </w:rPr>
            </w:pPr>
            <w:r w:rsidRPr="00EC2BC6">
              <w:rPr>
                <w:b w:val="0"/>
                <w:sz w:val="20"/>
              </w:rPr>
              <w:t>Only within stated admissible SDOF-equivalent domain</w:t>
            </w:r>
          </w:p>
        </w:tc>
      </w:tr>
      <w:tr w:rsidR="00BF7867" w:rsidRPr="00EC2BC6" w:rsidTr="00EC2BC6">
        <w:tc>
          <w:tcPr>
            <w:tcW w:w="1872" w:type="dxa"/>
            <w:vAlign w:val="center"/>
          </w:tcPr>
          <w:p w:rsidR="00BF7867" w:rsidRPr="00EC2BC6" w:rsidRDefault="00AF2D23">
            <w:pPr>
              <w:jc w:val="left"/>
              <w:rPr>
                <w:sz w:val="20"/>
              </w:rPr>
            </w:pPr>
            <w:r w:rsidRPr="00EC2BC6">
              <w:rPr>
                <w:b w:val="0"/>
                <w:sz w:val="20"/>
              </w:rPr>
              <w:t>Secant slope improves consistency relative to local slope</w:t>
            </w:r>
          </w:p>
        </w:tc>
        <w:tc>
          <w:tcPr>
            <w:tcW w:w="1872" w:type="dxa"/>
            <w:vAlign w:val="center"/>
          </w:tcPr>
          <w:p w:rsidR="00BF7867" w:rsidRPr="00EC2BC6" w:rsidRDefault="00AF2D23">
            <w:pPr>
              <w:jc w:val="left"/>
              <w:rPr>
                <w:sz w:val="20"/>
              </w:rPr>
            </w:pPr>
            <w:r w:rsidRPr="00EC2BC6">
              <w:rPr>
                <w:b w:val="0"/>
                <w:sz w:val="20"/>
              </w:rPr>
              <w:t>L2 local-vs-secant accuracy and error comparison</w:t>
            </w:r>
          </w:p>
        </w:tc>
        <w:tc>
          <w:tcPr>
            <w:tcW w:w="1872" w:type="dxa"/>
            <w:vAlign w:val="center"/>
          </w:tcPr>
          <w:p w:rsidR="00BF7867" w:rsidRPr="00EC2BC6" w:rsidRDefault="00AF2D23">
            <w:pPr>
              <w:jc w:val="left"/>
              <w:rPr>
                <w:sz w:val="20"/>
              </w:rPr>
            </w:pPr>
            <w:r w:rsidRPr="00EC2BC6">
              <w:rPr>
                <w:b w:val="0"/>
                <w:sz w:val="20"/>
              </w:rPr>
              <w:t>Strong</w:t>
            </w:r>
          </w:p>
        </w:tc>
        <w:tc>
          <w:tcPr>
            <w:tcW w:w="1872" w:type="dxa"/>
            <w:vAlign w:val="center"/>
          </w:tcPr>
          <w:p w:rsidR="00BF7867" w:rsidRPr="00EC2BC6" w:rsidRDefault="00AF2D23">
            <w:pPr>
              <w:jc w:val="left"/>
              <w:rPr>
                <w:sz w:val="20"/>
              </w:rPr>
            </w:pPr>
            <w:r w:rsidRPr="00EC2BC6">
              <w:rPr>
                <w:b w:val="0"/>
                <w:sz w:val="20"/>
              </w:rPr>
              <w:t>yes</w:t>
            </w:r>
          </w:p>
        </w:tc>
        <w:tc>
          <w:tcPr>
            <w:tcW w:w="1872" w:type="dxa"/>
            <w:vAlign w:val="center"/>
          </w:tcPr>
          <w:p w:rsidR="00BF7867" w:rsidRPr="00EC2BC6" w:rsidRDefault="00AF2D23">
            <w:pPr>
              <w:jc w:val="left"/>
              <w:rPr>
                <w:sz w:val="20"/>
              </w:rPr>
            </w:pPr>
            <w:r w:rsidRPr="00EC2BC6">
              <w:rPr>
                <w:b w:val="0"/>
                <w:sz w:val="20"/>
              </w:rPr>
              <w:t>Depends on available spectral ordinate quality</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872" w:type="dxa"/>
            <w:vAlign w:val="center"/>
          </w:tcPr>
          <w:p w:rsidR="00BF7867" w:rsidRPr="00EC2BC6" w:rsidRDefault="00AF2D23">
            <w:pPr>
              <w:jc w:val="left"/>
              <w:rPr>
                <w:sz w:val="20"/>
              </w:rPr>
            </w:pPr>
            <w:r w:rsidRPr="00EC2BC6">
              <w:rPr>
                <w:b w:val="0"/>
                <w:sz w:val="20"/>
              </w:rPr>
              <w:t>Criterion is useful as a screening protocol</w:t>
            </w:r>
          </w:p>
        </w:tc>
        <w:tc>
          <w:tcPr>
            <w:tcW w:w="1872" w:type="dxa"/>
            <w:vAlign w:val="center"/>
          </w:tcPr>
          <w:p w:rsidR="00BF7867" w:rsidRPr="00EC2BC6" w:rsidRDefault="00AF2D23">
            <w:pPr>
              <w:jc w:val="left"/>
              <w:rPr>
                <w:sz w:val="20"/>
              </w:rPr>
            </w:pPr>
            <w:r w:rsidRPr="00EC2BC6">
              <w:rPr>
                <w:b w:val="0"/>
                <w:sz w:val="20"/>
              </w:rPr>
              <w:t>L1-L5 plus bounded field falsification protocol</w:t>
            </w:r>
          </w:p>
        </w:tc>
        <w:tc>
          <w:tcPr>
            <w:tcW w:w="1872" w:type="dxa"/>
            <w:vAlign w:val="center"/>
          </w:tcPr>
          <w:p w:rsidR="00BF7867" w:rsidRPr="00EC2BC6" w:rsidRDefault="00AF2D23">
            <w:pPr>
              <w:jc w:val="left"/>
              <w:rPr>
                <w:sz w:val="20"/>
              </w:rPr>
            </w:pPr>
            <w:r w:rsidRPr="00EC2BC6">
              <w:rPr>
                <w:b w:val="0"/>
                <w:sz w:val="20"/>
              </w:rPr>
              <w:t>Moderate/strong</w:t>
            </w:r>
          </w:p>
        </w:tc>
        <w:tc>
          <w:tcPr>
            <w:tcW w:w="1872" w:type="dxa"/>
            <w:vAlign w:val="center"/>
          </w:tcPr>
          <w:p w:rsidR="00BF7867" w:rsidRPr="00EC2BC6" w:rsidRDefault="00AF2D23">
            <w:pPr>
              <w:jc w:val="left"/>
              <w:rPr>
                <w:sz w:val="20"/>
              </w:rPr>
            </w:pPr>
            <w:r w:rsidRPr="00EC2BC6">
              <w:rPr>
                <w:b w:val="0"/>
                <w:sz w:val="20"/>
              </w:rPr>
              <w:t>yes</w:t>
            </w:r>
          </w:p>
        </w:tc>
        <w:tc>
          <w:tcPr>
            <w:tcW w:w="1872" w:type="dxa"/>
            <w:vAlign w:val="center"/>
          </w:tcPr>
          <w:p w:rsidR="00BF7867" w:rsidRPr="00EC2BC6" w:rsidRDefault="00AF2D23">
            <w:pPr>
              <w:jc w:val="left"/>
              <w:rPr>
                <w:sz w:val="20"/>
              </w:rPr>
            </w:pPr>
            <w:r w:rsidRPr="00EC2BC6">
              <w:rPr>
                <w:b w:val="0"/>
                <w:sz w:val="20"/>
              </w:rPr>
              <w:t>Not a calibrated design rule</w:t>
            </w:r>
          </w:p>
        </w:tc>
      </w:tr>
      <w:tr w:rsidR="00BF7867" w:rsidRPr="00EC2BC6" w:rsidTr="00EC2BC6">
        <w:tc>
          <w:tcPr>
            <w:tcW w:w="1872" w:type="dxa"/>
            <w:vAlign w:val="center"/>
          </w:tcPr>
          <w:p w:rsidR="00BF7867" w:rsidRPr="00EC2BC6" w:rsidRDefault="00AF2D23">
            <w:pPr>
              <w:jc w:val="left"/>
              <w:rPr>
                <w:sz w:val="20"/>
              </w:rPr>
            </w:pPr>
            <w:r w:rsidRPr="00EC2BC6">
              <w:rPr>
                <w:b w:val="0"/>
                <w:sz w:val="20"/>
              </w:rPr>
              <w:t>Criterion is positively validated by Garner field data</w:t>
            </w:r>
          </w:p>
        </w:tc>
        <w:tc>
          <w:tcPr>
            <w:tcW w:w="1872" w:type="dxa"/>
            <w:vAlign w:val="center"/>
          </w:tcPr>
          <w:p w:rsidR="00BF7867" w:rsidRPr="00EC2BC6" w:rsidRDefault="00AF2D23">
            <w:pPr>
              <w:jc w:val="left"/>
              <w:rPr>
                <w:sz w:val="20"/>
              </w:rPr>
            </w:pPr>
            <w:r w:rsidRPr="00EC2BC6">
              <w:rPr>
                <w:b w:val="0"/>
                <w:sz w:val="20"/>
              </w:rPr>
              <w:t>Garner v5-v9 gates fail</w:t>
            </w:r>
          </w:p>
        </w:tc>
        <w:tc>
          <w:tcPr>
            <w:tcW w:w="1872" w:type="dxa"/>
            <w:vAlign w:val="center"/>
          </w:tcPr>
          <w:p w:rsidR="00BF7867" w:rsidRPr="00EC2BC6" w:rsidRDefault="00AF2D23">
            <w:pPr>
              <w:jc w:val="left"/>
              <w:rPr>
                <w:sz w:val="20"/>
              </w:rPr>
            </w:pPr>
            <w:r w:rsidRPr="00EC2BC6">
              <w:rPr>
                <w:b w:val="0"/>
                <w:sz w:val="20"/>
              </w:rPr>
              <w:t>None</w:t>
            </w:r>
          </w:p>
        </w:tc>
        <w:tc>
          <w:tcPr>
            <w:tcW w:w="1872" w:type="dxa"/>
            <w:vAlign w:val="center"/>
          </w:tcPr>
          <w:p w:rsidR="00BF7867" w:rsidRPr="00EC2BC6" w:rsidRDefault="00AF2D23">
            <w:pPr>
              <w:jc w:val="left"/>
              <w:rPr>
                <w:sz w:val="20"/>
              </w:rPr>
            </w:pPr>
            <w:r w:rsidRPr="00EC2BC6">
              <w:rPr>
                <w:b w:val="0"/>
                <w:sz w:val="20"/>
              </w:rPr>
              <w:t>no</w:t>
            </w:r>
          </w:p>
        </w:tc>
        <w:tc>
          <w:tcPr>
            <w:tcW w:w="1872" w:type="dxa"/>
            <w:vAlign w:val="center"/>
          </w:tcPr>
          <w:p w:rsidR="00BF7867" w:rsidRPr="00EC2BC6" w:rsidRDefault="00AF2D23">
            <w:pPr>
              <w:jc w:val="left"/>
              <w:rPr>
                <w:sz w:val="20"/>
              </w:rPr>
            </w:pPr>
            <w:r w:rsidRPr="00EC2BC6">
              <w:rPr>
                <w:b w:val="0"/>
                <w:sz w:val="20"/>
              </w:rPr>
              <w:t>Requires full-resolution auxiliary channels and passed blind gates</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872" w:type="dxa"/>
            <w:vAlign w:val="center"/>
          </w:tcPr>
          <w:p w:rsidR="00BF7867" w:rsidRPr="00EC2BC6" w:rsidRDefault="00AF2D23">
            <w:pPr>
              <w:jc w:val="left"/>
              <w:rPr>
                <w:sz w:val="20"/>
              </w:rPr>
            </w:pPr>
            <w:r w:rsidRPr="00EC2BC6">
              <w:rPr>
                <w:b w:val="0"/>
                <w:sz w:val="20"/>
              </w:rPr>
              <w:t>Garner validates nonlinear 3D SFSI</w:t>
            </w:r>
          </w:p>
        </w:tc>
        <w:tc>
          <w:tcPr>
            <w:tcW w:w="1872" w:type="dxa"/>
            <w:vAlign w:val="center"/>
          </w:tcPr>
          <w:p w:rsidR="00BF7867" w:rsidRPr="00EC2BC6" w:rsidRDefault="00AF2D23">
            <w:pPr>
              <w:jc w:val="left"/>
              <w:rPr>
                <w:sz w:val="20"/>
              </w:rPr>
            </w:pPr>
            <w:r w:rsidRPr="00EC2BC6">
              <w:rPr>
                <w:b w:val="0"/>
                <w:sz w:val="20"/>
              </w:rPr>
              <w:t>No positive nonlinear 3D gate pass</w:t>
            </w:r>
          </w:p>
        </w:tc>
        <w:tc>
          <w:tcPr>
            <w:tcW w:w="1872" w:type="dxa"/>
            <w:vAlign w:val="center"/>
          </w:tcPr>
          <w:p w:rsidR="00BF7867" w:rsidRPr="00EC2BC6" w:rsidRDefault="00AF2D23">
            <w:pPr>
              <w:jc w:val="left"/>
              <w:rPr>
                <w:sz w:val="20"/>
              </w:rPr>
            </w:pPr>
            <w:r w:rsidRPr="00EC2BC6">
              <w:rPr>
                <w:b w:val="0"/>
                <w:sz w:val="20"/>
              </w:rPr>
              <w:t>None</w:t>
            </w:r>
          </w:p>
        </w:tc>
        <w:tc>
          <w:tcPr>
            <w:tcW w:w="1872" w:type="dxa"/>
            <w:vAlign w:val="center"/>
          </w:tcPr>
          <w:p w:rsidR="00BF7867" w:rsidRPr="00EC2BC6" w:rsidRDefault="00AF2D23">
            <w:pPr>
              <w:jc w:val="left"/>
              <w:rPr>
                <w:sz w:val="20"/>
              </w:rPr>
            </w:pPr>
            <w:r w:rsidRPr="00EC2BC6">
              <w:rPr>
                <w:b w:val="0"/>
                <w:sz w:val="20"/>
              </w:rPr>
              <w:t>no</w:t>
            </w:r>
          </w:p>
        </w:tc>
        <w:tc>
          <w:tcPr>
            <w:tcW w:w="1872" w:type="dxa"/>
            <w:vAlign w:val="center"/>
          </w:tcPr>
          <w:p w:rsidR="00BF7867" w:rsidRPr="00EC2BC6" w:rsidRDefault="00AF2D23">
            <w:pPr>
              <w:jc w:val="left"/>
              <w:rPr>
                <w:sz w:val="20"/>
              </w:rPr>
            </w:pPr>
            <w:r w:rsidRPr="00EC2BC6">
              <w:rPr>
                <w:b w:val="0"/>
                <w:sz w:val="20"/>
              </w:rPr>
              <w:t>Future work only</w:t>
            </w:r>
          </w:p>
        </w:tc>
      </w:tr>
      <w:tr w:rsidR="00BF7867" w:rsidRPr="00EC2BC6" w:rsidTr="00EC2BC6">
        <w:tc>
          <w:tcPr>
            <w:tcW w:w="1872" w:type="dxa"/>
            <w:vAlign w:val="center"/>
          </w:tcPr>
          <w:p w:rsidR="00BF7867" w:rsidRPr="00EC2BC6" w:rsidRDefault="00AF2D23">
            <w:pPr>
              <w:jc w:val="left"/>
              <w:rPr>
                <w:sz w:val="20"/>
              </w:rPr>
            </w:pPr>
            <w:r w:rsidRPr="00EC2BC6">
              <w:rPr>
                <w:b w:val="0"/>
                <w:sz w:val="20"/>
              </w:rPr>
              <w:t>Garner falsifies the current field-validation attempt</w:t>
            </w:r>
          </w:p>
        </w:tc>
        <w:tc>
          <w:tcPr>
            <w:tcW w:w="1872" w:type="dxa"/>
            <w:vAlign w:val="center"/>
          </w:tcPr>
          <w:p w:rsidR="00BF7867" w:rsidRPr="00EC2BC6" w:rsidRDefault="00AF2D23">
            <w:pPr>
              <w:jc w:val="left"/>
              <w:rPr>
                <w:sz w:val="20"/>
              </w:rPr>
            </w:pPr>
            <w:r w:rsidRPr="00EC2BC6">
              <w:rPr>
                <w:b w:val="0"/>
                <w:sz w:val="20"/>
              </w:rPr>
              <w:t>v5-v9 negative gates and claim-boundary matrix</w:t>
            </w:r>
          </w:p>
        </w:tc>
        <w:tc>
          <w:tcPr>
            <w:tcW w:w="1872" w:type="dxa"/>
            <w:vAlign w:val="center"/>
          </w:tcPr>
          <w:p w:rsidR="00BF7867" w:rsidRPr="00EC2BC6" w:rsidRDefault="00AF2D23">
            <w:pPr>
              <w:jc w:val="left"/>
              <w:rPr>
                <w:sz w:val="20"/>
              </w:rPr>
            </w:pPr>
            <w:r w:rsidRPr="00EC2BC6">
              <w:rPr>
                <w:b w:val="0"/>
                <w:sz w:val="20"/>
              </w:rPr>
              <w:t>Strong</w:t>
            </w:r>
          </w:p>
        </w:tc>
        <w:tc>
          <w:tcPr>
            <w:tcW w:w="1872" w:type="dxa"/>
            <w:vAlign w:val="center"/>
          </w:tcPr>
          <w:p w:rsidR="00BF7867" w:rsidRPr="00EC2BC6" w:rsidRDefault="00AF2D23">
            <w:pPr>
              <w:jc w:val="left"/>
              <w:rPr>
                <w:sz w:val="20"/>
              </w:rPr>
            </w:pPr>
            <w:r w:rsidRPr="00EC2BC6">
              <w:rPr>
                <w:b w:val="0"/>
                <w:sz w:val="20"/>
              </w:rPr>
              <w:t>yes</w:t>
            </w:r>
          </w:p>
        </w:tc>
        <w:tc>
          <w:tcPr>
            <w:tcW w:w="1872" w:type="dxa"/>
            <w:vAlign w:val="center"/>
          </w:tcPr>
          <w:p w:rsidR="00BF7867" w:rsidRPr="00EC2BC6" w:rsidRDefault="00AF2D23">
            <w:pPr>
              <w:jc w:val="left"/>
              <w:rPr>
                <w:sz w:val="20"/>
              </w:rPr>
            </w:pPr>
            <w:r w:rsidRPr="00EC2BC6">
              <w:rPr>
                <w:b w:val="0"/>
                <w:sz w:val="20"/>
              </w:rPr>
              <w:t>Falsifies current implementation/subset, not all possible Garner models</w:t>
            </w:r>
          </w:p>
        </w:tc>
      </w:tr>
    </w:tbl>
    <w:p w:rsidR="00BF7867" w:rsidRDefault="00AF2D23">
      <w:pPr>
        <w:jc w:val="both"/>
      </w:pPr>
      <w:r>
        <w:rPr>
          <w:sz w:val="22"/>
        </w:rPr>
        <w:t>The supplementary methodological-rigor package also provides positive/negative controls, an uncertainty boundary audit, an ablation table, a reproducibility-level manifest and a decision-tree figure source. This structure prevents the field benchmark layer from being blended with mathematical verification or solver-chain consistency.</w:t>
      </w:r>
    </w:p>
    <w:p>
      <w:r>
        <w:br w:type="page"/>
      </w:r>
    </w:p>
    <w:p>
      <w:pPr>
        <w:jc w:val="both"/>
      </w:pPr>
      <w:r>
        <w:rPr>
          <w:b/>
          <w:sz w:val="22"/>
        </w:rPr>
        <w:t>S5. Extended validation, falsification, decision-value and false-safe audits moved from main text</w:t>
      </w:r>
    </w:p>
    <w:p w:rsidR="00B530E8" w:rsidRDefault="00E6320B">
      <w:pPr>
        <w:pStyle w:val="Heading2"/>
        <w:jc w:val="both"/>
      </w:pPr>
      <w:r>
        <w:rPr>
          <w:sz w:val="22"/>
        </w:rPr>
        <w:t>8.5 Predictive field SFSI validation protocol</w:t>
      </w:r>
    </w:p>
    <w:p w:rsidR="00B530E8" w:rsidRDefault="00E6320B">
      <w:pPr>
        <w:jc w:val="both"/>
      </w:pPr>
      <w:r>
        <w:rPr>
          <w:sz w:val="22"/>
        </w:rPr>
        <w:t>The field_validation supplementary module is retained as a protocol scaffold and source-audit layer, not as the main positive validation route. The current hierarchy uses FoRDy/FoRCy as the primary experimental proxy-validation layer, ERIES-RESPOND/POLIS as secondary controlled-dynamic support, and Garner Valley SFSI/GVDA as an independent falsification and instrumentation-audit case.</w:t>
      </w:r>
    </w:p>
    <w:p w:rsidR="00B530E8" w:rsidRDefault="00E6320B">
      <w:pPr>
        <w:jc w:val="both"/>
      </w:pPr>
      <w:r>
        <w:rPr>
          <w:sz w:val="22"/>
        </w:rPr>
        <w:t>The protocol requires raw record acquisition, sensor and test manifests, a low-amplitude calibration set, frozen parameters, blind prediction of medium/high-amplitude tests, and sensor-level residual tables for transfer functions, time histories, phase, coherence, roof/foundation ratios, foundation/free-field ratios, displacement measurements and demand-polarity classes. The current package checks source availability and provides all required CSV templates, but it intentionally reports zero residual rows until real records are downloaded, processed and compared. Therefore, the manuscript does not claim completed predictive nonlinear 3D field SFSI validation in this version.</w:t>
      </w:r>
    </w:p>
    <w:p w:rsidR="00B530E8" w:rsidRDefault="00E6320B">
      <w:pPr>
        <w:pStyle w:val="Heading2"/>
        <w:jc w:val="both"/>
      </w:pPr>
      <w:r>
        <w:rPr>
          <w:sz w:val="22"/>
        </w:rPr>
        <w:t>8.6 Real-record ERIES-POLIS blind sensor check</w:t>
      </w:r>
    </w:p>
    <w:p w:rsidR="00B530E8" w:rsidRDefault="00E6320B">
      <w:pPr>
        <w:jc w:val="both"/>
      </w:pPr>
      <w:r>
        <w:rPr>
          <w:sz w:val="22"/>
        </w:rPr>
        <w:t>As a v17 supplement-level upgrade from protocol to real-record evidence, the validation hierarchy was reorganized around ERIES-RESPOND as the primary dataset, ERIES-POLIS as the secondary EuroProteas dataset, and Garner Valley SFSI/GVDA as an independent site/structure check. RESPOND and POLIS were processed from local ZIP archives without bundling the raw third-party data in the public package. Garner Valley was processed through public SFSI/GVDA documentation, the NEES channel-history API, published fixed/flexible frequency mapping, and public NEES viewer waveform-bin records.</w:t>
      </w:r>
    </w:p>
    <w:p w:rsidR="00917AD2" w:rsidRDefault="00917AD2">
      <w:pPr>
        <w:jc w:val="both"/>
      </w:pPr>
      <w:r>
        <w:rPr>
          <w:sz w:val="22"/>
        </w:rPr>
        <w:t>The resulting RESPOND primary layer uses the 20240523 group-pile campaign, calibrates a frozen FVA roof/foundation transfer predictor, and blindly checks FVAB, FVABC and FVABCD. It adds 72 processed synchronized records, 27 blind residual rows, 27 transfer-function error rows and 27 sensor-proxy demand-polarity rows, with median NRMSE 0.064. The POLIS secondary layer indexes 276 XY records and adds 9 blind residual rows, 9 transfer-function error rows and 9 sensor-proxy demand-polarity rows, with median NRMSE 0.054. The Garner Valley independent layer adds 50 SFSI channel-history rows, 178 GVDA channel-history rows, 4 published fixed/flexible frequency-shift rows, 8 NEES viewer waveform-bin events with 21 GVDA-to-SFSI transfer residual rows, and a successful full-resolution NEES MiniSEED cart for the selected Garner Valley events. The v18 cart was generated through a user-provided NEES cart email, returned progress 100%, and downloaded a 401,882-byte archive with 88 entries, 80 non-empty files and exactly 48 MiniSEED waveform files: six requested GVDA/SFSI channels for each of the eight retained events. These results support a narrow real-record blind sensor-level check of the reduced screening workflow for the EuroProteas datasets plus independent Garner Valley site/structure/frequency-shift, waveform-bin transfer and full-resolution raw waveform extraction evidence. They do not constitute predictive nonlinear three-dimensional OpenSeesPy field-SFSI validation. The ERIES full-scale data layers are treated only as secondary transfer checks and are cited through their dataset publications (Pitilakis et al., 2025a; Pitilakis et al., 2025b).</w:t>
      </w:r>
    </w:p>
    <w:p w:rsidR="00917AD2" w:rsidRDefault="00917AD2" w:rsidP="001A58DF">
      <w:pPr>
        <w:jc w:val="both"/>
      </w:pPr>
      <w:r>
        <w:rPr>
          <w:sz w:val="22"/>
        </w:rPr>
        <w:t>This distinction is important for interpretation: the RESPOND/POLIS real-record layers close the previous empty-residual-table problem, and the Garner Valley layer now closes the prior raw-cart acquisition gap by documenting usable full-resolution MiniSEED records for the requested GVDA/SFSI channels. The stronger claim of nonlinear 3D field validation remains a future validation stage requiring a frozen nonlinear OpenSeesPy model, sensor-coordinate model mapping and blind residuals from model predictions rather than transfer-predictor checks or data-availability validation alone.</w:t>
      </w:r>
    </w:p>
    <w:p w:rsidR="00BF7867" w:rsidRDefault="00AF2D23">
      <w:pPr>
        <w:pStyle w:val="Heading1"/>
        <w:jc w:val="both"/>
      </w:pPr>
      <w:r>
        <w:rPr>
          <w:sz w:val="22"/>
        </w:rPr>
        <w:t>8.7 Garner Valley validation-falsification gate outcome</w:t>
      </w:r>
    </w:p>
    <w:p w:rsidR="00BF7867" w:rsidRDefault="00AF2D23">
      <w:pPr>
        <w:spacing w:before="120" w:after="120"/>
        <w:jc w:val="both"/>
      </w:pPr>
      <w:r>
        <w:rPr>
          <w:sz w:val="22"/>
        </w:rPr>
        <w:t>The Garner Valley sequence was therefore retained in the manuscript as an adversarial validation-falsification layer, not as a successful nonlinear 3D validation. The v5 OpenSeesPy soil-continuum attempt used full-resolution MiniSEED-derived records and frozen blind events, but it was rejected by the predictive gates: median blind NRMSE = 1.636, median FRF amplitude error = 0.596, median phase error = 66.18 deg and demand-polarity agreement = 0.389. Only the median peak-error gate passed, which is insufficient because peak agreement alone does not establish waveform, frequency-domain or polarity prediction.</w:t>
      </w:r>
    </w:p>
    <w:p w:rsidR="00BF7867" w:rsidRDefault="00AF2D23">
      <w:pPr>
        <w:spacing w:before="120" w:after="120"/>
        <w:jc w:val="both"/>
      </w:pPr>
      <w:r>
        <w:rPr>
          <w:sz w:val="22"/>
        </w:rPr>
        <w:t>The v6 protocol strengthened the audit by adding calibration-only frozen orientation correction and empirical FRF baselines. This did not convert the result into validation: blind orientation polarity agreement was 0.667, the best empirical FRF baseline had median NRMSE = 1.056 and median phase error = 84.30 deg, so both the instrumental and linear predictive gates remained closed. The v7 forensic audit then showed that absolute timing and lag were not the dominant explanation: the median absolute start offset was 0.0005 s and the median absolute subsample lag was 0.00997 s, but blind polarity agreement was 0.0 and the available MiniSEED set remained insufficient for full SFSI validation. The v8 extended-channel request further showed that the attempted full-resolution auxiliary raw cart did not deliver usable P0 auxiliary channels; the viewer-bin fallback was explicitly marked as non-full-resolution and still failed polarity, correlation and FRF gates.</w:t>
      </w:r>
    </w:p>
    <w:p w:rsidR="00BF7867" w:rsidRDefault="00AF2D23">
      <w:pPr>
        <w:spacing w:before="120" w:after="120"/>
        <w:jc w:val="both"/>
      </w:pPr>
      <w:r>
        <w:rPr>
          <w:sz w:val="22"/>
        </w:rPr>
        <w:t>Consequently, the current OpenSeesPy implementation should be interpreted as a rejected predictive model under the proposed gates. This negative result is scientifically useful because it prevents overclaiming and flags the failure modes that must be resolved before any future nonlinear 3D SFSI validation claim: waveform mismatch, FRF amplitude error, phase inconsistency, insufficient polarity agreement and incomplete full-resolution auxiliary sensor coverage.</w:t>
      </w:r>
    </w:p>
    <w:p w:rsidR="00BF7867" w:rsidRDefault="00AF2D23">
      <w:pPr>
        <w:pStyle w:val="Heading1"/>
        <w:jc w:val="both"/>
      </w:pPr>
      <w:r>
        <w:rPr>
          <w:sz w:val="22"/>
        </w:rPr>
        <w:t>8.8 Executed FoRDy/FoRCy experimental proxy validation</w:t>
      </w:r>
    </w:p>
    <w:p w:rsidR="00BF7867" w:rsidRDefault="00AF2D23">
      <w:pPr>
        <w:jc w:val="both"/>
      </w:pPr>
      <w:r>
        <w:rPr>
          <w:sz w:val="22"/>
        </w:rPr>
        <w:t>The final validation layer replaces the earlier acquisition-only pivot with executed offline FoRDy/FoRCy experimental proxy-class validation. The public DesignSafe mastersheets were downloaded, hashed and parsed locally. The validation uses normalized footing moment as the force-demand proxy, period or contact-area based lengthening as the compliance proxy, and measured rotation, drift, sliding or settlement as displacement-demand evidence.</w:t>
      </w:r>
    </w:p>
    <w:p w:rsidR="00BF7867" w:rsidRDefault="00AF2D23">
      <w:pPr>
        <w:jc w:val="both"/>
      </w:pPr>
      <w:r>
        <w:rPr>
          <w:sz w:val="22"/>
        </w:rPr>
        <w:t>Across the combined FoRDy/FoRCy layer, 591 valid proxy rows were classified. The combined class accuracy is 87.8%, the false-safe rate is 2.2%, mixed-regime recall is 93.1%, and mixed-regime precision is 74.8%. FoRCy individually passes the proxy gate with 91.4% accuracy and 0.7% false-safe rate. FoRDy remains partial dynamic evidence, with 75.6% accuracy and 7.4% false-safe rate, and is therefore reported as a weaker dynamic check rather than as a standalone positive validation. The FoRDy and FoRCy database publications are cited as the primary experimental sources for these rocking-foundation rows (Gavras et al., 2023; Hakhamaneshi et al., 2019).</w:t>
      </w:r>
    </w:p>
    <w:p w:rsidR="00BF7867" w:rsidRDefault="00AF2D23">
      <w:pPr>
        <w:jc w:val="both"/>
      </w:pPr>
      <w:r>
        <w:rPr>
          <w:sz w:val="22"/>
        </w:rPr>
        <w:t>A threshold-sensitivity audit was also added for rotation thresholds of 0.005, 0.010 and 0.020 rad, with corresponding drift, sliding and settlement thresholds. Across the combined FoRDy/FoRCy set, the false-safe rate remains low enough for screening interpretation under the base threshold, while the sensitivity table in the supplement shows how accuracy, mixed recall and safe precision change when stricter or more lenient proxy thresholds are imposed.</w:t>
      </w:r>
    </w:p>
    <w:p w:rsidR="00BF7867" w:rsidRDefault="00AF2D23">
      <w:pPr>
        <w:jc w:val="both"/>
      </w:pPr>
      <w:r>
        <w:rPr>
          <w:sz w:val="22"/>
        </w:rPr>
        <w:t>The strict force-beneficial screening audit is reported separately because it is the highest-risk use case for a screening criterion. Among 276 force-beneficial proxy cases in the combined set, force-beneficial class accuracy is 73.9%, mixed-regime recall is 93.1%, and the false-safe rate over all force-beneficial cases is 4.7%. Of the 42 cases predicted as both-beneficial, 69.0% are experimentally both-beneficial; this safe-precision value is intentionally reported as a limitation rather than hidden inside the global accuracy.</w:t>
      </w:r>
    </w:p>
    <w:p w:rsidR="00AF2D23" w:rsidRDefault="00AF2D23">
      <w:pPr>
        <w:jc w:val="both"/>
      </w:pPr>
      <w:r>
        <w:rPr>
          <w:b w:val="0"/>
          <w:sz w:val="22"/>
        </w:rPr>
        <w:t>Table 11 reports the FoRDy/FoRCy experimental proxy-class validation metrics used to evaluate class-level screening performance.</w:t>
      </w:r>
    </w:p>
    <w:p w:rsidR="00BF7867" w:rsidRPr="00AF2D23" w:rsidRDefault="00AF2D23">
      <w:pPr>
        <w:keepNext/>
        <w:jc w:val="center"/>
        <w:rPr>
          <w:sz w:val="20"/>
        </w:rPr>
      </w:pPr>
      <w:r w:rsidRPr="00AF2D23">
        <w:rPr>
          <w:b w:val="0"/>
          <w:sz w:val="22"/>
        </w:rPr>
        <w:t>Table 11. FoRDy/FoRCy experimental proxy-class validation metrics.</w:t>
      </w:r>
    </w:p>
    <w:tbl>
      <w:tblPr>
        <w:tblStyle w:val="PlainTable2"/>
        <w:tblW w:w="0" w:type="auto"/>
        <w:jc w:val="center"/>
        <w:tblLook w:val="0420" w:firstRow="1" w:lastRow="0" w:firstColumn="0" w:lastColumn="0" w:noHBand="0" w:noVBand="1"/>
      </w:tblPr>
      <w:tblGrid>
        <w:gridCol w:w="1497"/>
        <w:gridCol w:w="770"/>
        <w:gridCol w:w="1052"/>
        <w:gridCol w:w="1016"/>
        <w:gridCol w:w="806"/>
        <w:gridCol w:w="1025"/>
        <w:gridCol w:w="834"/>
        <w:gridCol w:w="2360"/>
      </w:tblGrid>
      <w:tr w:rsidR="00BF7867" w:rsidRPr="00EC2BC6" w:rsidTr="00EC2BC6">
        <w:trPr>
          <w:cnfStyle w:val="100000000000" w:firstRow="1" w:lastRow="0" w:firstColumn="0" w:lastColumn="0" w:oddVBand="0" w:evenVBand="0" w:oddHBand="0" w:evenHBand="0" w:firstRowFirstColumn="0" w:firstRowLastColumn="0" w:lastRowFirstColumn="0" w:lastRowLastColumn="0"/>
          <w:tblHeader w:val="true"/>
        </w:trPr>
        <w:tc>
          <w:tcPr>
            <w:tcW w:w="1170" w:type="dxa"/>
            <w:vAlign w:val="center"/>
          </w:tcPr>
          <w:p w:rsidR="00BF7867" w:rsidRPr="00EC2BC6" w:rsidRDefault="00AF2D23">
            <w:pPr>
              <w:jc w:val="left"/>
              <w:rPr>
                <w:sz w:val="20"/>
              </w:rPr>
            </w:pPr>
            <w:r w:rsidRPr="00EC2BC6">
              <w:rPr>
                <w:b/>
                <w:sz w:val="20"/>
              </w:rPr>
              <w:t>Dataset</w:t>
            </w:r>
          </w:p>
        </w:tc>
        <w:tc>
          <w:tcPr>
            <w:tcW w:w="1170" w:type="dxa"/>
            <w:vAlign w:val="center"/>
          </w:tcPr>
          <w:p w:rsidR="00BF7867" w:rsidRPr="00EC2BC6" w:rsidRDefault="00AF2D23">
            <w:pPr>
              <w:jc w:val="left"/>
              <w:rPr>
                <w:sz w:val="20"/>
              </w:rPr>
            </w:pPr>
            <w:r w:rsidRPr="00EC2BC6">
              <w:rPr>
                <w:b/>
                <w:sz w:val="20"/>
              </w:rPr>
              <w:t>Rows</w:t>
            </w:r>
          </w:p>
        </w:tc>
        <w:tc>
          <w:tcPr>
            <w:tcW w:w="1170" w:type="dxa"/>
            <w:vAlign w:val="center"/>
          </w:tcPr>
          <w:p w:rsidR="00BF7867" w:rsidRPr="00EC2BC6" w:rsidRDefault="00AF2D23">
            <w:pPr>
              <w:jc w:val="left"/>
              <w:rPr>
                <w:sz w:val="20"/>
              </w:rPr>
            </w:pPr>
            <w:r w:rsidRPr="00EC2BC6">
              <w:rPr>
                <w:b/>
                <w:sz w:val="20"/>
              </w:rPr>
              <w:t>Accuracy</w:t>
            </w:r>
          </w:p>
        </w:tc>
        <w:tc>
          <w:tcPr>
            <w:tcW w:w="1170" w:type="dxa"/>
            <w:vAlign w:val="center"/>
          </w:tcPr>
          <w:p w:rsidR="00BF7867" w:rsidRPr="00EC2BC6" w:rsidRDefault="00AF2D23">
            <w:pPr>
              <w:jc w:val="left"/>
              <w:rPr>
                <w:sz w:val="20"/>
              </w:rPr>
            </w:pPr>
            <w:r w:rsidRPr="00EC2BC6">
              <w:rPr>
                <w:b/>
                <w:sz w:val="20"/>
              </w:rPr>
              <w:t>Robust accuracy</w:t>
            </w:r>
          </w:p>
        </w:tc>
        <w:tc>
          <w:tcPr>
            <w:tcW w:w="1170" w:type="dxa"/>
            <w:vAlign w:val="center"/>
          </w:tcPr>
          <w:p w:rsidR="00BF7867" w:rsidRPr="00EC2BC6" w:rsidRDefault="00AF2D23">
            <w:pPr>
              <w:jc w:val="left"/>
              <w:rPr>
                <w:sz w:val="20"/>
              </w:rPr>
            </w:pPr>
            <w:r w:rsidRPr="00EC2BC6">
              <w:rPr>
                <w:b/>
                <w:sz w:val="20"/>
              </w:rPr>
              <w:t>False-safe</w:t>
            </w:r>
          </w:p>
        </w:tc>
        <w:tc>
          <w:tcPr>
            <w:tcW w:w="1170" w:type="dxa"/>
            <w:vAlign w:val="center"/>
          </w:tcPr>
          <w:p w:rsidR="00BF7867" w:rsidRPr="00EC2BC6" w:rsidRDefault="00AF2D23">
            <w:pPr>
              <w:jc w:val="left"/>
              <w:rPr>
                <w:sz w:val="20"/>
              </w:rPr>
            </w:pPr>
            <w:r w:rsidRPr="00EC2BC6">
              <w:rPr>
                <w:b/>
                <w:sz w:val="20"/>
              </w:rPr>
              <w:t>Mixed precision</w:t>
            </w:r>
          </w:p>
        </w:tc>
        <w:tc>
          <w:tcPr>
            <w:tcW w:w="1170" w:type="dxa"/>
            <w:vAlign w:val="center"/>
          </w:tcPr>
          <w:p w:rsidR="00BF7867" w:rsidRPr="00EC2BC6" w:rsidRDefault="00AF2D23">
            <w:pPr>
              <w:jc w:val="left"/>
              <w:rPr>
                <w:sz w:val="20"/>
              </w:rPr>
            </w:pPr>
            <w:r w:rsidRPr="00EC2BC6">
              <w:rPr>
                <w:b/>
                <w:sz w:val="20"/>
              </w:rPr>
              <w:t>Mixed recall</w:t>
            </w:r>
          </w:p>
        </w:tc>
        <w:tc>
          <w:tcPr>
            <w:tcW w:w="1170" w:type="dxa"/>
            <w:vAlign w:val="center"/>
          </w:tcPr>
          <w:p w:rsidR="00BF7867" w:rsidRPr="00EC2BC6" w:rsidRDefault="00AF2D23">
            <w:pPr>
              <w:jc w:val="left"/>
              <w:rPr>
                <w:sz w:val="20"/>
              </w:rPr>
            </w:pPr>
            <w:r w:rsidRPr="00EC2BC6">
              <w:rPr>
                <w:b/>
                <w:sz w:val="20"/>
              </w:rPr>
              <w:t>Gate status</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170" w:type="dxa"/>
            <w:vAlign w:val="center"/>
          </w:tcPr>
          <w:p w:rsidR="00BF7867" w:rsidRPr="00EC2BC6" w:rsidRDefault="00AF2D23">
            <w:pPr>
              <w:jc w:val="left"/>
              <w:rPr>
                <w:sz w:val="20"/>
              </w:rPr>
            </w:pPr>
            <w:r w:rsidRPr="00EC2BC6">
              <w:rPr>
                <w:b w:val="0"/>
                <w:sz w:val="20"/>
              </w:rPr>
              <w:t>FoRDy</w:t>
            </w:r>
          </w:p>
        </w:tc>
        <w:tc>
          <w:tcPr>
            <w:tcW w:w="1170" w:type="dxa"/>
            <w:vAlign w:val="center"/>
          </w:tcPr>
          <w:p w:rsidR="00BF7867" w:rsidRPr="00EC2BC6" w:rsidRDefault="00AF2D23">
            <w:pPr>
              <w:jc w:val="left"/>
              <w:rPr>
                <w:sz w:val="20"/>
              </w:rPr>
            </w:pPr>
            <w:r w:rsidRPr="00EC2BC6">
              <w:rPr>
                <w:b w:val="0"/>
                <w:sz w:val="20"/>
              </w:rPr>
              <w:t>135</w:t>
            </w:r>
          </w:p>
        </w:tc>
        <w:tc>
          <w:tcPr>
            <w:tcW w:w="1170" w:type="dxa"/>
            <w:vAlign w:val="center"/>
          </w:tcPr>
          <w:p w:rsidR="00BF7867" w:rsidRPr="00EC2BC6" w:rsidRDefault="00AF2D23">
            <w:pPr>
              <w:jc w:val="left"/>
              <w:rPr>
                <w:sz w:val="20"/>
              </w:rPr>
            </w:pPr>
            <w:r w:rsidRPr="00EC2BC6">
              <w:rPr>
                <w:b w:val="0"/>
                <w:sz w:val="20"/>
              </w:rPr>
              <w:t>75.6%</w:t>
            </w:r>
          </w:p>
        </w:tc>
        <w:tc>
          <w:tcPr>
            <w:tcW w:w="1170" w:type="dxa"/>
            <w:vAlign w:val="center"/>
          </w:tcPr>
          <w:p w:rsidR="00BF7867" w:rsidRPr="00EC2BC6" w:rsidRDefault="00AF2D23">
            <w:pPr>
              <w:jc w:val="left"/>
              <w:rPr>
                <w:sz w:val="20"/>
              </w:rPr>
            </w:pPr>
            <w:r w:rsidRPr="00EC2BC6">
              <w:rPr>
                <w:b w:val="0"/>
                <w:sz w:val="20"/>
              </w:rPr>
              <w:t>74.5%</w:t>
            </w:r>
          </w:p>
        </w:tc>
        <w:tc>
          <w:tcPr>
            <w:tcW w:w="1170" w:type="dxa"/>
            <w:vAlign w:val="center"/>
          </w:tcPr>
          <w:p w:rsidR="00BF7867" w:rsidRPr="00EC2BC6" w:rsidRDefault="00AF2D23">
            <w:pPr>
              <w:jc w:val="left"/>
              <w:rPr>
                <w:sz w:val="20"/>
              </w:rPr>
            </w:pPr>
            <w:r w:rsidRPr="00EC2BC6">
              <w:rPr>
                <w:b w:val="0"/>
                <w:sz w:val="20"/>
              </w:rPr>
              <w:t>7.4%</w:t>
            </w:r>
          </w:p>
        </w:tc>
        <w:tc>
          <w:tcPr>
            <w:tcW w:w="1170" w:type="dxa"/>
            <w:vAlign w:val="center"/>
          </w:tcPr>
          <w:p w:rsidR="00BF7867" w:rsidRPr="00EC2BC6" w:rsidRDefault="00AF2D23">
            <w:pPr>
              <w:jc w:val="left"/>
              <w:rPr>
                <w:sz w:val="20"/>
              </w:rPr>
            </w:pPr>
            <w:r w:rsidRPr="00EC2BC6">
              <w:rPr>
                <w:b w:val="0"/>
                <w:sz w:val="20"/>
              </w:rPr>
              <w:t>60.3%</w:t>
            </w:r>
          </w:p>
        </w:tc>
        <w:tc>
          <w:tcPr>
            <w:tcW w:w="1170" w:type="dxa"/>
            <w:vAlign w:val="center"/>
          </w:tcPr>
          <w:p w:rsidR="00BF7867" w:rsidRPr="00EC2BC6" w:rsidRDefault="00AF2D23">
            <w:pPr>
              <w:jc w:val="left"/>
              <w:rPr>
                <w:sz w:val="20"/>
              </w:rPr>
            </w:pPr>
            <w:r w:rsidRPr="00EC2BC6">
              <w:rPr>
                <w:b w:val="0"/>
                <w:sz w:val="20"/>
              </w:rPr>
              <w:t>77.8%</w:t>
            </w:r>
          </w:p>
        </w:tc>
        <w:tc>
          <w:tcPr>
            <w:tcW w:w="1170" w:type="dxa"/>
            <w:vAlign w:val="center"/>
          </w:tcPr>
          <w:p w:rsidR="00BF7867" w:rsidRPr="00EC2BC6" w:rsidRDefault="00AF2D23">
            <w:pPr>
              <w:jc w:val="left"/>
              <w:rPr>
                <w:sz w:val="20"/>
              </w:rPr>
            </w:pPr>
            <w:r w:rsidRPr="00EC2BC6">
              <w:rPr>
                <w:b w:val="0"/>
                <w:sz w:val="20"/>
              </w:rPr>
              <w:t>partial_or_fail_proxy_gate</w:t>
            </w:r>
          </w:p>
        </w:tc>
      </w:tr>
      <w:tr w:rsidR="00BF7867" w:rsidRPr="00EC2BC6" w:rsidTr="00EC2BC6">
        <w:tc>
          <w:tcPr>
            <w:tcW w:w="1170" w:type="dxa"/>
            <w:vAlign w:val="center"/>
          </w:tcPr>
          <w:p w:rsidR="00BF7867" w:rsidRPr="00EC2BC6" w:rsidRDefault="00AF2D23">
            <w:pPr>
              <w:jc w:val="left"/>
              <w:rPr>
                <w:sz w:val="20"/>
              </w:rPr>
            </w:pPr>
            <w:r w:rsidRPr="00EC2BC6">
              <w:rPr>
                <w:b w:val="0"/>
                <w:sz w:val="20"/>
              </w:rPr>
              <w:t>FoRCy</w:t>
            </w:r>
          </w:p>
        </w:tc>
        <w:tc>
          <w:tcPr>
            <w:tcW w:w="1170" w:type="dxa"/>
            <w:vAlign w:val="center"/>
          </w:tcPr>
          <w:p w:rsidR="00BF7867" w:rsidRPr="00EC2BC6" w:rsidRDefault="00AF2D23">
            <w:pPr>
              <w:jc w:val="left"/>
              <w:rPr>
                <w:sz w:val="20"/>
              </w:rPr>
            </w:pPr>
            <w:r w:rsidRPr="00EC2BC6">
              <w:rPr>
                <w:b w:val="0"/>
                <w:sz w:val="20"/>
              </w:rPr>
              <w:t>456</w:t>
            </w:r>
          </w:p>
        </w:tc>
        <w:tc>
          <w:tcPr>
            <w:tcW w:w="1170" w:type="dxa"/>
            <w:vAlign w:val="center"/>
          </w:tcPr>
          <w:p w:rsidR="00BF7867" w:rsidRPr="00EC2BC6" w:rsidRDefault="00AF2D23">
            <w:pPr>
              <w:jc w:val="left"/>
              <w:rPr>
                <w:sz w:val="20"/>
              </w:rPr>
            </w:pPr>
            <w:r w:rsidRPr="00EC2BC6">
              <w:rPr>
                <w:b w:val="0"/>
                <w:sz w:val="20"/>
              </w:rPr>
              <w:t>91.4%</w:t>
            </w:r>
          </w:p>
        </w:tc>
        <w:tc>
          <w:tcPr>
            <w:tcW w:w="1170" w:type="dxa"/>
            <w:vAlign w:val="center"/>
          </w:tcPr>
          <w:p w:rsidR="00BF7867" w:rsidRPr="00EC2BC6" w:rsidRDefault="00AF2D23">
            <w:pPr>
              <w:jc w:val="left"/>
              <w:rPr>
                <w:sz w:val="20"/>
              </w:rPr>
            </w:pPr>
            <w:r w:rsidRPr="00EC2BC6">
              <w:rPr>
                <w:b w:val="0"/>
                <w:sz w:val="20"/>
              </w:rPr>
              <w:t>88.0%</w:t>
            </w:r>
          </w:p>
        </w:tc>
        <w:tc>
          <w:tcPr>
            <w:tcW w:w="1170" w:type="dxa"/>
            <w:vAlign w:val="center"/>
          </w:tcPr>
          <w:p w:rsidR="00BF7867" w:rsidRPr="00EC2BC6" w:rsidRDefault="00AF2D23">
            <w:pPr>
              <w:jc w:val="left"/>
              <w:rPr>
                <w:sz w:val="20"/>
              </w:rPr>
            </w:pPr>
            <w:r w:rsidRPr="00EC2BC6">
              <w:rPr>
                <w:b w:val="0"/>
                <w:sz w:val="20"/>
              </w:rPr>
              <w:t>0.7%</w:t>
            </w:r>
          </w:p>
        </w:tc>
        <w:tc>
          <w:tcPr>
            <w:tcW w:w="1170" w:type="dxa"/>
            <w:vAlign w:val="center"/>
          </w:tcPr>
          <w:p w:rsidR="00BF7867" w:rsidRPr="00EC2BC6" w:rsidRDefault="00AF2D23">
            <w:pPr>
              <w:jc w:val="left"/>
              <w:rPr>
                <w:sz w:val="20"/>
              </w:rPr>
            </w:pPr>
            <w:r w:rsidRPr="00EC2BC6">
              <w:rPr>
                <w:b w:val="0"/>
                <w:sz w:val="20"/>
              </w:rPr>
              <w:t>79.5%</w:t>
            </w:r>
          </w:p>
        </w:tc>
        <w:tc>
          <w:tcPr>
            <w:tcW w:w="1170" w:type="dxa"/>
            <w:vAlign w:val="center"/>
          </w:tcPr>
          <w:p w:rsidR="00BF7867" w:rsidRPr="00EC2BC6" w:rsidRDefault="00AF2D23">
            <w:pPr>
              <w:jc w:val="left"/>
              <w:rPr>
                <w:sz w:val="20"/>
              </w:rPr>
            </w:pPr>
            <w:r w:rsidRPr="00EC2BC6">
              <w:rPr>
                <w:b w:val="0"/>
                <w:sz w:val="20"/>
              </w:rPr>
              <w:t>97.9%</w:t>
            </w:r>
          </w:p>
        </w:tc>
        <w:tc>
          <w:tcPr>
            <w:tcW w:w="1170" w:type="dxa"/>
            <w:vAlign w:val="center"/>
          </w:tcPr>
          <w:p w:rsidR="00BF7867" w:rsidRPr="00EC2BC6" w:rsidRDefault="00AF2D23">
            <w:pPr>
              <w:jc w:val="left"/>
              <w:rPr>
                <w:sz w:val="20"/>
              </w:rPr>
            </w:pPr>
            <w:r w:rsidRPr="00EC2BC6">
              <w:rPr>
                <w:b w:val="0"/>
                <w:sz w:val="20"/>
              </w:rPr>
              <w:t>pass_proxy_gate</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170" w:type="dxa"/>
            <w:vAlign w:val="center"/>
          </w:tcPr>
          <w:p w:rsidR="00BF7867" w:rsidRPr="00EC2BC6" w:rsidRDefault="00AF2D23">
            <w:pPr>
              <w:jc w:val="left"/>
              <w:rPr>
                <w:sz w:val="20"/>
              </w:rPr>
            </w:pPr>
            <w:r w:rsidRPr="00EC2BC6">
              <w:rPr>
                <w:b w:val="0"/>
                <w:sz w:val="20"/>
              </w:rPr>
              <w:t>FoRDy+FoRCy</w:t>
            </w:r>
          </w:p>
        </w:tc>
        <w:tc>
          <w:tcPr>
            <w:tcW w:w="1170" w:type="dxa"/>
            <w:vAlign w:val="center"/>
          </w:tcPr>
          <w:p w:rsidR="00BF7867" w:rsidRPr="00EC2BC6" w:rsidRDefault="00AF2D23">
            <w:pPr>
              <w:jc w:val="left"/>
              <w:rPr>
                <w:sz w:val="20"/>
              </w:rPr>
            </w:pPr>
            <w:r w:rsidRPr="00EC2BC6">
              <w:rPr>
                <w:b w:val="0"/>
                <w:sz w:val="20"/>
              </w:rPr>
              <w:t>591</w:t>
            </w:r>
          </w:p>
        </w:tc>
        <w:tc>
          <w:tcPr>
            <w:tcW w:w="1170" w:type="dxa"/>
            <w:vAlign w:val="center"/>
          </w:tcPr>
          <w:p w:rsidR="00BF7867" w:rsidRPr="00EC2BC6" w:rsidRDefault="00AF2D23">
            <w:pPr>
              <w:jc w:val="left"/>
              <w:rPr>
                <w:sz w:val="20"/>
              </w:rPr>
            </w:pPr>
            <w:r w:rsidRPr="00EC2BC6">
              <w:rPr>
                <w:b w:val="0"/>
                <w:sz w:val="20"/>
              </w:rPr>
              <w:t>87.8%</w:t>
            </w:r>
          </w:p>
        </w:tc>
        <w:tc>
          <w:tcPr>
            <w:tcW w:w="1170" w:type="dxa"/>
            <w:vAlign w:val="center"/>
          </w:tcPr>
          <w:p w:rsidR="00BF7867" w:rsidRPr="00EC2BC6" w:rsidRDefault="00AF2D23">
            <w:pPr>
              <w:jc w:val="left"/>
              <w:rPr>
                <w:sz w:val="20"/>
              </w:rPr>
            </w:pPr>
            <w:r w:rsidRPr="00EC2BC6">
              <w:rPr>
                <w:b w:val="0"/>
                <w:sz w:val="20"/>
              </w:rPr>
              <w:t>84.3%</w:t>
            </w:r>
          </w:p>
        </w:tc>
        <w:tc>
          <w:tcPr>
            <w:tcW w:w="1170" w:type="dxa"/>
            <w:vAlign w:val="center"/>
          </w:tcPr>
          <w:p w:rsidR="00BF7867" w:rsidRPr="00EC2BC6" w:rsidRDefault="00AF2D23">
            <w:pPr>
              <w:jc w:val="left"/>
              <w:rPr>
                <w:sz w:val="20"/>
              </w:rPr>
            </w:pPr>
            <w:r w:rsidRPr="00EC2BC6">
              <w:rPr>
                <w:b w:val="0"/>
                <w:sz w:val="20"/>
              </w:rPr>
              <w:t>2.2%</w:t>
            </w:r>
          </w:p>
        </w:tc>
        <w:tc>
          <w:tcPr>
            <w:tcW w:w="1170" w:type="dxa"/>
            <w:vAlign w:val="center"/>
          </w:tcPr>
          <w:p w:rsidR="00BF7867" w:rsidRPr="00EC2BC6" w:rsidRDefault="00AF2D23">
            <w:pPr>
              <w:jc w:val="left"/>
              <w:rPr>
                <w:sz w:val="20"/>
              </w:rPr>
            </w:pPr>
            <w:r w:rsidRPr="00EC2BC6">
              <w:rPr>
                <w:b w:val="0"/>
                <w:sz w:val="20"/>
              </w:rPr>
              <w:t>74.8%</w:t>
            </w:r>
          </w:p>
        </w:tc>
        <w:tc>
          <w:tcPr>
            <w:tcW w:w="1170" w:type="dxa"/>
            <w:vAlign w:val="center"/>
          </w:tcPr>
          <w:p w:rsidR="00BF7867" w:rsidRPr="00EC2BC6" w:rsidRDefault="00AF2D23">
            <w:pPr>
              <w:jc w:val="left"/>
              <w:rPr>
                <w:sz w:val="20"/>
              </w:rPr>
            </w:pPr>
            <w:r w:rsidRPr="00EC2BC6">
              <w:rPr>
                <w:b w:val="0"/>
                <w:sz w:val="20"/>
              </w:rPr>
              <w:t>93.1%</w:t>
            </w:r>
          </w:p>
        </w:tc>
        <w:tc>
          <w:tcPr>
            <w:tcW w:w="1170" w:type="dxa"/>
            <w:vAlign w:val="center"/>
          </w:tcPr>
          <w:p w:rsidR="00BF7867" w:rsidRPr="00EC2BC6" w:rsidRDefault="00AF2D23">
            <w:pPr>
              <w:jc w:val="left"/>
              <w:rPr>
                <w:sz w:val="20"/>
              </w:rPr>
            </w:pPr>
            <w:r w:rsidRPr="00EC2BC6">
              <w:rPr>
                <w:b w:val="0"/>
                <w:sz w:val="20"/>
              </w:rPr>
              <w:t>pass_proxy_gate</w:t>
            </w:r>
          </w:p>
        </w:tc>
      </w:tr>
    </w:tbl>
    <w:p w:rsidR="00BF7867" w:rsidRDefault="00AF2D23">
      <w:pPr>
        <w:jc w:val="both"/>
      </w:pPr>
      <w:r>
        <w:rPr>
          <w:b w:val="0"/>
          <w:sz w:val="22"/>
        </w:rPr>
        <w:t>Figure 2b overlays the experimental FoRDy/FoRCy points on the Demand-Polarity Map. The plotted points validate polarity classification at proxy-class level; they do not constitute independent force prediction, time-history prediction or nonlinear 3D site-specific field validation. Garner Valley remains assigned to the falsification layer because its field gates did not support positive predictive validation.</w:t>
      </w:r>
    </w:p>
    <w:p>
      <w:pPr>
        <w:jc w:val="both"/>
      </w:pPr>
      <w:r>
        <w:rPr>
          <w:sz w:val="22"/>
        </w:rPr>
        <w:t>[Figure moved from the main manuscript; see image file in the reproducibility package.]</w:t>
      </w:r>
    </w:p>
    <w:p w:rsidR="00BF7867" w:rsidRDefault="00AF2D23">
      <w:pPr>
        <w:jc w:val="both"/>
      </w:pPr>
      <w:r>
        <w:rPr>
          <w:sz w:val="22"/>
        </w:rPr>
        <w:t>The resulting claim boundary is therefore upgraded but still bounded: the paper now has executed public-database experimental proxy validation, explicit false-safe auditing, force-beneficial screening metrics and threshold-sensitivity checks. Garner and the high-fidelity field-modeling attempts are retained as falsification evidence that prevents overclaiming, while FoRDy/FoRCy support the intended class-screening use of the criterion.</w:t>
      </w:r>
    </w:p>
    <w:p w:rsidR="00BF7867" w:rsidRDefault="00AF2D23">
      <w:pPr>
        <w:pStyle w:val="Heading1"/>
        <w:jc w:val="both"/>
      </w:pPr>
      <w:r>
        <w:rPr>
          <w:sz w:val="22"/>
        </w:rPr>
        <w:t>8.9 Independent predictive proxy validation</w:t>
      </w:r>
    </w:p>
    <w:p w:rsidR="00BF7867" w:rsidRDefault="00AF2D23">
      <w:pPr>
        <w:jc w:val="both"/>
      </w:pPr>
      <w:r>
        <w:rPr>
          <w:sz w:val="22"/>
        </w:rPr>
        <w:t>A separate leakage-controlled predictive layer was added after the proxy validation. In this layer, FoRDy response quantities are withheld until scoring: observed force ratio, peak drift, peak rotation, settlement and the observed class are not used as predictors. The allowed predictors are pre-response descriptors and input-motion quantities, including a capacity/contact proxy for λ, a secant spectral-slope estimate from the input-motion shape, PGA, PGV and Arias intensity. The split is leave-study-out by FoRDy project group, not a random row split.</w:t>
      </w:r>
    </w:p>
    <w:p w:rsidR="00BF7867" w:rsidRDefault="00AF2D23">
      <w:pPr>
        <w:jc w:val="both"/>
      </w:pPr>
      <w:r>
        <w:rPr>
          <w:sz w:val="22"/>
        </w:rPr>
        <w:t>Consistent with the independent-validation audit, the study/project group is treated as the operational unit of independence rather than the individual database row. All response-derived variables, observed classes, threshold choices and scoring quantities are kept outside the held-out study group until scoring; preprocessing and class-rule application are therefore interpreted within the leave-study-out protocol. This control prevents row-wise leakage and keeps the result bounded to pre-response predictive class screening.</w:t>
      </w:r>
    </w:p>
    <w:p w:rsidR="00BF7867" w:rsidRDefault="00AF2D23">
      <w:pPr>
        <w:jc w:val="both"/>
      </w:pPr>
      <w:r>
        <w:rPr>
          <w:sz w:val="22"/>
        </w:rPr>
        <w:t>The proposed predictive centroid classifier is intentionally interpretable and auditable, because the target decision is screening safety rather than full response-history reproduction. It is compared against majority-class, always-mixed, spectral-slope-only and flexibility-only baselines. Across 194 FoRDy scored cases, the proposed predictive layer reaches 54.1% accuracy and 53.9% balanced accuracy, compared with 33.5% accuracy for the majority-class baseline. More importantly for screening, it maintains a 5.7% false-safe rate, 89.6% mixed-regime recall and 76.6% safe precision. These results pass the screening-safety gates but do not pass the stronger accuracy gate for standalone predictive validation.</w:t>
      </w:r>
    </w:p>
    <w:p w:rsidR="00BF7867" w:rsidRDefault="00AF2D23">
      <w:pPr>
        <w:jc w:val="both"/>
      </w:pPr>
      <w:r>
        <w:rPr>
          <w:sz w:val="22"/>
        </w:rPr>
        <w:t>A grouped uncertainty audit was then added to avoid treating dependent FoRDy rows as independent evidence. Using 10,000 cluster-bootstrap resamples of complete study groups, the proposed predictive screen has an accuracy 95% interval of 0.411-0.661, a false-safe-rate interval of 0.006-0.140 and a mixed-recall interval of 0.767-0.988. These intervals show useful false-safe control and mixed-case retention under grouped resampling, but they also show that study-to-study variability is too large to claim a calibrated standalone predictor.</w:t>
      </w:r>
    </w:p>
    <w:p w:rsidR="00EC2BC6" w:rsidRDefault="00EC2BC6">
      <w:pPr>
        <w:jc w:val="both"/>
      </w:pPr>
      <w:r>
        <w:rPr>
          <w:b w:val="0"/>
          <w:sz w:val="22"/>
        </w:rPr>
        <w:t>Table 12 compares the independent predictive proxy-validation layer, the V2 OpenSeesPy solver-backed class-prediction layer, and simpler baseline rules.</w:t>
      </w:r>
    </w:p>
    <w:tbl>
      <w:tblPr>
        <w:tblStyle w:val="PlainTable2"/>
        <w:tblW w:w="0" w:type="auto"/>
        <w:jc w:val="center"/>
        <w:tblLook w:val="0420" w:firstRow="1" w:lastRow="0" w:firstColumn="0" w:lastColumn="0" w:noHBand="0" w:noVBand="1"/>
      </w:tblPr>
      <w:tblGrid>
        <w:gridCol w:w="1337"/>
        <w:gridCol w:w="1337"/>
        <w:gridCol w:w="1337"/>
        <w:gridCol w:w="1337"/>
        <w:gridCol w:w="1337"/>
        <w:gridCol w:w="1337"/>
        <w:gridCol w:w="1337"/>
      </w:tblGrid>
      <w:tr w:rsidR="00BF7867" w:rsidRPr="00EC2BC6" w:rsidTr="00EC2BC6">
        <w:trPr>
          <w:cnfStyle w:val="100000000000" w:firstRow="1" w:lastRow="0" w:firstColumn="0" w:lastColumn="0" w:oddVBand="0" w:evenVBand="0" w:oddHBand="0" w:evenHBand="0" w:firstRowFirstColumn="0" w:firstRowLastColumn="0" w:lastRowFirstColumn="0" w:lastRowLastColumn="0"/>
          <w:tblHeader w:val="true"/>
        </w:trPr>
        <w:tc>
          <w:tcPr>
            <w:tcW w:w="1337" w:type="dxa"/>
            <w:vAlign w:val="center"/>
          </w:tcPr>
          <w:p w:rsidR="00EC2BC6" w:rsidRPr="00EC2BC6" w:rsidRDefault="00EC2BC6">
            <w:pPr>
              <w:jc w:val="left"/>
              <w:rPr>
                <w:bCs w:val="0"/>
                <w:sz w:val="20"/>
              </w:rPr>
            </w:pPr>
            <w:r w:rsidRPr="00EC2BC6">
              <w:rPr>
                <w:b/>
                <w:bCs w:val="0"/>
                <w:sz w:val="20"/>
              </w:rPr>
              <w:t>Table 12. Independent predictive and solver-backed class-validation layers compared with baseline rules.</w:t>
            </w:r>
          </w:p>
          <w:p w:rsidR="00BF7867" w:rsidRPr="00EC2BC6" w:rsidRDefault="00AF2D23">
            <w:pPr>
              <w:jc w:val="left"/>
              <w:rPr>
                <w:sz w:val="20"/>
              </w:rPr>
            </w:pPr>
            <w:r w:rsidRPr="00EC2BC6">
              <w:rPr>
                <w:b/>
                <w:sz w:val="20"/>
              </w:rPr>
              <w:t>Model</w:t>
            </w:r>
          </w:p>
        </w:tc>
        <w:tc>
          <w:tcPr>
            <w:tcW w:w="1337" w:type="dxa"/>
            <w:vAlign w:val="center"/>
          </w:tcPr>
          <w:p w:rsidR="00BF7867" w:rsidRPr="00EC2BC6" w:rsidRDefault="00AF2D23">
            <w:pPr>
              <w:jc w:val="left"/>
              <w:rPr>
                <w:sz w:val="20"/>
              </w:rPr>
            </w:pPr>
            <w:r w:rsidRPr="00EC2BC6">
              <w:rPr>
                <w:b/>
                <w:sz w:val="20"/>
              </w:rPr>
              <w:t>N</w:t>
            </w:r>
          </w:p>
        </w:tc>
        <w:tc>
          <w:tcPr>
            <w:tcW w:w="1337" w:type="dxa"/>
            <w:vAlign w:val="center"/>
          </w:tcPr>
          <w:p w:rsidR="00BF7867" w:rsidRPr="00EC2BC6" w:rsidRDefault="00AF2D23">
            <w:pPr>
              <w:jc w:val="left"/>
              <w:rPr>
                <w:sz w:val="20"/>
              </w:rPr>
            </w:pPr>
            <w:r w:rsidRPr="00EC2BC6">
              <w:rPr>
                <w:b/>
                <w:sz w:val="20"/>
              </w:rPr>
              <w:t>Accuracy</w:t>
            </w:r>
          </w:p>
        </w:tc>
        <w:tc>
          <w:tcPr>
            <w:tcW w:w="1337" w:type="dxa"/>
            <w:vAlign w:val="center"/>
          </w:tcPr>
          <w:p w:rsidR="00BF7867" w:rsidRPr="00EC2BC6" w:rsidRDefault="00AF2D23">
            <w:pPr>
              <w:jc w:val="left"/>
              <w:rPr>
                <w:sz w:val="20"/>
              </w:rPr>
            </w:pPr>
            <w:r w:rsidRPr="00EC2BC6">
              <w:rPr>
                <w:b/>
                <w:sz w:val="20"/>
              </w:rPr>
              <w:t>Balanced accuracy</w:t>
            </w:r>
          </w:p>
        </w:tc>
        <w:tc>
          <w:tcPr>
            <w:tcW w:w="1337" w:type="dxa"/>
            <w:vAlign w:val="center"/>
          </w:tcPr>
          <w:p w:rsidR="00BF7867" w:rsidRPr="00EC2BC6" w:rsidRDefault="00AF2D23">
            <w:pPr>
              <w:jc w:val="left"/>
              <w:rPr>
                <w:sz w:val="20"/>
              </w:rPr>
            </w:pPr>
            <w:r w:rsidRPr="00EC2BC6">
              <w:rPr>
                <w:b/>
                <w:sz w:val="20"/>
              </w:rPr>
              <w:t>False-safe</w:t>
            </w:r>
          </w:p>
        </w:tc>
        <w:tc>
          <w:tcPr>
            <w:tcW w:w="1337" w:type="dxa"/>
            <w:vAlign w:val="center"/>
          </w:tcPr>
          <w:p w:rsidR="00BF7867" w:rsidRPr="00EC2BC6" w:rsidRDefault="00AF2D23">
            <w:pPr>
              <w:jc w:val="left"/>
              <w:rPr>
                <w:sz w:val="20"/>
              </w:rPr>
            </w:pPr>
            <w:r w:rsidRPr="00EC2BC6">
              <w:rPr>
                <w:b/>
                <w:sz w:val="20"/>
              </w:rPr>
              <w:t>Mixed recall</w:t>
            </w:r>
          </w:p>
        </w:tc>
        <w:tc>
          <w:tcPr>
            <w:tcW w:w="1337" w:type="dxa"/>
            <w:vAlign w:val="center"/>
          </w:tcPr>
          <w:p w:rsidR="00BF7867" w:rsidRPr="00EC2BC6" w:rsidRDefault="00AF2D23">
            <w:pPr>
              <w:jc w:val="left"/>
              <w:rPr>
                <w:sz w:val="20"/>
              </w:rPr>
            </w:pPr>
            <w:r w:rsidRPr="00EC2BC6">
              <w:rPr>
                <w:b/>
                <w:sz w:val="20"/>
              </w:rPr>
              <w:t>Safe precision</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337" w:type="dxa"/>
            <w:vAlign w:val="center"/>
          </w:tcPr>
          <w:p w:rsidR="00BF7867" w:rsidRPr="00EC2BC6" w:rsidRDefault="00AF2D23">
            <w:pPr>
              <w:jc w:val="left"/>
              <w:rPr>
                <w:sz w:val="20"/>
              </w:rPr>
            </w:pPr>
            <w:r w:rsidRPr="00EC2BC6">
              <w:rPr>
                <w:b w:val="0"/>
                <w:sz w:val="20"/>
              </w:rPr>
              <w:t>proposed predictive centroid</w:t>
            </w:r>
          </w:p>
        </w:tc>
        <w:tc>
          <w:tcPr>
            <w:tcW w:w="1337" w:type="dxa"/>
            <w:vAlign w:val="center"/>
          </w:tcPr>
          <w:p w:rsidR="00BF7867" w:rsidRPr="00EC2BC6" w:rsidRDefault="00AF2D23">
            <w:pPr>
              <w:jc w:val="left"/>
              <w:rPr>
                <w:sz w:val="20"/>
              </w:rPr>
            </w:pPr>
            <w:r w:rsidRPr="00EC2BC6">
              <w:rPr>
                <w:b w:val="0"/>
                <w:sz w:val="20"/>
              </w:rPr>
              <w:t>194</w:t>
            </w:r>
          </w:p>
        </w:tc>
        <w:tc>
          <w:tcPr>
            <w:tcW w:w="1337" w:type="dxa"/>
            <w:vAlign w:val="center"/>
          </w:tcPr>
          <w:p w:rsidR="00BF7867" w:rsidRPr="00EC2BC6" w:rsidRDefault="00AF2D23">
            <w:pPr>
              <w:jc w:val="left"/>
              <w:rPr>
                <w:sz w:val="20"/>
              </w:rPr>
            </w:pPr>
            <w:r w:rsidRPr="00EC2BC6">
              <w:rPr>
                <w:b w:val="0"/>
                <w:sz w:val="20"/>
              </w:rPr>
              <w:t>54.1%</w:t>
            </w:r>
          </w:p>
        </w:tc>
        <w:tc>
          <w:tcPr>
            <w:tcW w:w="1337" w:type="dxa"/>
            <w:vAlign w:val="center"/>
          </w:tcPr>
          <w:p w:rsidR="00BF7867" w:rsidRPr="00EC2BC6" w:rsidRDefault="00AF2D23">
            <w:pPr>
              <w:jc w:val="left"/>
              <w:rPr>
                <w:sz w:val="20"/>
              </w:rPr>
            </w:pPr>
            <w:r w:rsidRPr="00EC2BC6">
              <w:rPr>
                <w:b w:val="0"/>
                <w:sz w:val="20"/>
              </w:rPr>
              <w:t>53.9%</w:t>
            </w:r>
          </w:p>
        </w:tc>
        <w:tc>
          <w:tcPr>
            <w:tcW w:w="1337" w:type="dxa"/>
            <w:vAlign w:val="center"/>
          </w:tcPr>
          <w:p w:rsidR="00BF7867" w:rsidRPr="00EC2BC6" w:rsidRDefault="00AF2D23">
            <w:pPr>
              <w:jc w:val="left"/>
              <w:rPr>
                <w:sz w:val="20"/>
              </w:rPr>
            </w:pPr>
            <w:r w:rsidRPr="00EC2BC6">
              <w:rPr>
                <w:b w:val="0"/>
                <w:sz w:val="20"/>
              </w:rPr>
              <w:t>5.67%</w:t>
            </w:r>
          </w:p>
        </w:tc>
        <w:tc>
          <w:tcPr>
            <w:tcW w:w="1337" w:type="dxa"/>
            <w:vAlign w:val="center"/>
          </w:tcPr>
          <w:p w:rsidR="00BF7867" w:rsidRPr="00EC2BC6" w:rsidRDefault="00AF2D23">
            <w:pPr>
              <w:jc w:val="left"/>
              <w:rPr>
                <w:sz w:val="20"/>
              </w:rPr>
            </w:pPr>
            <w:r w:rsidRPr="00EC2BC6">
              <w:rPr>
                <w:b w:val="0"/>
                <w:sz w:val="20"/>
              </w:rPr>
              <w:t>89.6%</w:t>
            </w:r>
          </w:p>
        </w:tc>
        <w:tc>
          <w:tcPr>
            <w:tcW w:w="1337" w:type="dxa"/>
            <w:vAlign w:val="center"/>
          </w:tcPr>
          <w:p w:rsidR="00BF7867" w:rsidRPr="00EC2BC6" w:rsidRDefault="00AF2D23">
            <w:pPr>
              <w:jc w:val="left"/>
              <w:rPr>
                <w:sz w:val="20"/>
              </w:rPr>
            </w:pPr>
            <w:r w:rsidRPr="00EC2BC6">
              <w:rPr>
                <w:b w:val="0"/>
                <w:sz w:val="20"/>
              </w:rPr>
              <w:t>76.6%</w:t>
            </w:r>
          </w:p>
        </w:tc>
      </w:tr>
      <w:tr w:rsidR="00BF7867" w:rsidRPr="00EC2BC6" w:rsidTr="00EC2BC6">
        <w:tc>
          <w:tcPr>
            <w:tcW w:w="1337" w:type="dxa"/>
            <w:vAlign w:val="center"/>
          </w:tcPr>
          <w:p w:rsidR="00BF7867" w:rsidRPr="00EC2BC6" w:rsidRDefault="00AF2D23">
            <w:pPr>
              <w:jc w:val="left"/>
              <w:rPr>
                <w:sz w:val="20"/>
              </w:rPr>
            </w:pPr>
            <w:r w:rsidRPr="00EC2BC6">
              <w:rPr>
                <w:b w:val="0"/>
                <w:sz w:val="20"/>
              </w:rPr>
              <w:t>majority class</w:t>
            </w:r>
          </w:p>
        </w:tc>
        <w:tc>
          <w:tcPr>
            <w:tcW w:w="1337" w:type="dxa"/>
            <w:vAlign w:val="center"/>
          </w:tcPr>
          <w:p w:rsidR="00BF7867" w:rsidRPr="00EC2BC6" w:rsidRDefault="00AF2D23">
            <w:pPr>
              <w:jc w:val="left"/>
              <w:rPr>
                <w:sz w:val="20"/>
              </w:rPr>
            </w:pPr>
            <w:r w:rsidRPr="00EC2BC6">
              <w:rPr>
                <w:b w:val="0"/>
                <w:sz w:val="20"/>
              </w:rPr>
              <w:t>194</w:t>
            </w:r>
          </w:p>
        </w:tc>
        <w:tc>
          <w:tcPr>
            <w:tcW w:w="1337" w:type="dxa"/>
            <w:vAlign w:val="center"/>
          </w:tcPr>
          <w:p w:rsidR="00BF7867" w:rsidRPr="00EC2BC6" w:rsidRDefault="00AF2D23">
            <w:pPr>
              <w:jc w:val="left"/>
              <w:rPr>
                <w:sz w:val="20"/>
              </w:rPr>
            </w:pPr>
            <w:r w:rsidRPr="00EC2BC6">
              <w:rPr>
                <w:b w:val="0"/>
                <w:sz w:val="20"/>
              </w:rPr>
              <w:t>33.5%</w:t>
            </w:r>
          </w:p>
        </w:tc>
        <w:tc>
          <w:tcPr>
            <w:tcW w:w="1337" w:type="dxa"/>
            <w:vAlign w:val="center"/>
          </w:tcPr>
          <w:p w:rsidR="00BF7867" w:rsidRPr="00EC2BC6" w:rsidRDefault="00AF2D23">
            <w:pPr>
              <w:jc w:val="left"/>
              <w:rPr>
                <w:sz w:val="20"/>
              </w:rPr>
            </w:pPr>
            <w:r w:rsidRPr="00EC2BC6">
              <w:rPr>
                <w:b w:val="0"/>
                <w:sz w:val="20"/>
              </w:rPr>
              <w:t>28.6%</w:t>
            </w:r>
          </w:p>
        </w:tc>
        <w:tc>
          <w:tcPr>
            <w:tcW w:w="1337" w:type="dxa"/>
            <w:vAlign w:val="center"/>
          </w:tcPr>
          <w:p w:rsidR="00BF7867" w:rsidRPr="00EC2BC6" w:rsidRDefault="00AF2D23">
            <w:pPr>
              <w:jc w:val="left"/>
              <w:rPr>
                <w:sz w:val="20"/>
              </w:rPr>
            </w:pPr>
            <w:r w:rsidRPr="00EC2BC6">
              <w:rPr>
                <w:b w:val="0"/>
                <w:sz w:val="20"/>
              </w:rPr>
              <w:t>0.00%</w:t>
            </w:r>
          </w:p>
        </w:tc>
        <w:tc>
          <w:tcPr>
            <w:tcW w:w="1337" w:type="dxa"/>
            <w:vAlign w:val="center"/>
          </w:tcPr>
          <w:p w:rsidR="00BF7867" w:rsidRPr="00EC2BC6" w:rsidRDefault="00AF2D23">
            <w:pPr>
              <w:jc w:val="left"/>
              <w:rPr>
                <w:sz w:val="20"/>
              </w:rPr>
            </w:pPr>
            <w:r w:rsidRPr="00EC2BC6">
              <w:rPr>
                <w:b w:val="0"/>
                <w:sz w:val="20"/>
              </w:rPr>
              <w:t>75.3%</w:t>
            </w:r>
          </w:p>
        </w:tc>
        <w:tc>
          <w:tcPr>
            <w:tcW w:w="1337" w:type="dxa"/>
            <w:vAlign w:val="center"/>
          </w:tcPr>
          <w:p w:rsidR="00BF7867" w:rsidRPr="00EC2BC6" w:rsidRDefault="00AF2D23">
            <w:pPr>
              <w:jc w:val="left"/>
              <w:rPr>
                <w:sz w:val="20"/>
              </w:rPr>
            </w:pPr>
            <w:r w:rsidRPr="00EC2BC6">
              <w:rPr>
                <w:b w:val="0"/>
                <w:sz w:val="20"/>
              </w:rPr>
              <w:t>0.0%</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337" w:type="dxa"/>
            <w:vAlign w:val="center"/>
          </w:tcPr>
          <w:p w:rsidR="00BF7867" w:rsidRPr="00EC2BC6" w:rsidRDefault="00AF2D23">
            <w:pPr>
              <w:jc w:val="left"/>
              <w:rPr>
                <w:sz w:val="20"/>
              </w:rPr>
            </w:pPr>
            <w:r w:rsidRPr="00EC2BC6">
              <w:rPr>
                <w:b w:val="0"/>
                <w:sz w:val="20"/>
              </w:rPr>
              <w:t>always mixed</w:t>
            </w:r>
          </w:p>
        </w:tc>
        <w:tc>
          <w:tcPr>
            <w:tcW w:w="1337" w:type="dxa"/>
            <w:vAlign w:val="center"/>
          </w:tcPr>
          <w:p w:rsidR="00BF7867" w:rsidRPr="00EC2BC6" w:rsidRDefault="00AF2D23">
            <w:pPr>
              <w:jc w:val="left"/>
              <w:rPr>
                <w:sz w:val="20"/>
              </w:rPr>
            </w:pPr>
            <w:r w:rsidRPr="00EC2BC6">
              <w:rPr>
                <w:b w:val="0"/>
                <w:sz w:val="20"/>
              </w:rPr>
              <w:t>194</w:t>
            </w:r>
          </w:p>
        </w:tc>
        <w:tc>
          <w:tcPr>
            <w:tcW w:w="1337" w:type="dxa"/>
            <w:vAlign w:val="center"/>
          </w:tcPr>
          <w:p w:rsidR="00BF7867" w:rsidRPr="00EC2BC6" w:rsidRDefault="00AF2D23">
            <w:pPr>
              <w:jc w:val="left"/>
              <w:rPr>
                <w:sz w:val="20"/>
              </w:rPr>
            </w:pPr>
            <w:r w:rsidRPr="00EC2BC6">
              <w:rPr>
                <w:b w:val="0"/>
                <w:sz w:val="20"/>
              </w:rPr>
              <w:t>39.7%</w:t>
            </w:r>
          </w:p>
        </w:tc>
        <w:tc>
          <w:tcPr>
            <w:tcW w:w="1337" w:type="dxa"/>
            <w:vAlign w:val="center"/>
          </w:tcPr>
          <w:p w:rsidR="00BF7867" w:rsidRPr="00EC2BC6" w:rsidRDefault="00AF2D23">
            <w:pPr>
              <w:jc w:val="left"/>
              <w:rPr>
                <w:sz w:val="20"/>
              </w:rPr>
            </w:pPr>
            <w:r w:rsidRPr="00EC2BC6">
              <w:rPr>
                <w:b w:val="0"/>
                <w:sz w:val="20"/>
              </w:rPr>
              <w:t>33.3%</w:t>
            </w:r>
          </w:p>
        </w:tc>
        <w:tc>
          <w:tcPr>
            <w:tcW w:w="1337" w:type="dxa"/>
            <w:vAlign w:val="center"/>
          </w:tcPr>
          <w:p w:rsidR="00BF7867" w:rsidRPr="00EC2BC6" w:rsidRDefault="00AF2D23">
            <w:pPr>
              <w:jc w:val="left"/>
              <w:rPr>
                <w:sz w:val="20"/>
              </w:rPr>
            </w:pPr>
            <w:r w:rsidRPr="00EC2BC6">
              <w:rPr>
                <w:b w:val="0"/>
                <w:sz w:val="20"/>
              </w:rPr>
              <w:t>0.00%</w:t>
            </w:r>
          </w:p>
        </w:tc>
        <w:tc>
          <w:tcPr>
            <w:tcW w:w="1337" w:type="dxa"/>
            <w:vAlign w:val="center"/>
          </w:tcPr>
          <w:p w:rsidR="00BF7867" w:rsidRPr="00EC2BC6" w:rsidRDefault="00AF2D23">
            <w:pPr>
              <w:jc w:val="left"/>
              <w:rPr>
                <w:sz w:val="20"/>
              </w:rPr>
            </w:pPr>
            <w:r w:rsidRPr="00EC2BC6">
              <w:rPr>
                <w:b w:val="0"/>
                <w:sz w:val="20"/>
              </w:rPr>
              <w:t>100.0%</w:t>
            </w:r>
          </w:p>
        </w:tc>
        <w:tc>
          <w:tcPr>
            <w:tcW w:w="1337" w:type="dxa"/>
            <w:vAlign w:val="center"/>
          </w:tcPr>
          <w:p w:rsidR="00BF7867" w:rsidRPr="00EC2BC6" w:rsidRDefault="00AF2D23">
            <w:pPr>
              <w:jc w:val="left"/>
              <w:rPr>
                <w:sz w:val="20"/>
              </w:rPr>
            </w:pPr>
            <w:r w:rsidRPr="00EC2BC6">
              <w:rPr>
                <w:b w:val="0"/>
                <w:sz w:val="20"/>
              </w:rPr>
              <w:t>0.0%</w:t>
            </w:r>
          </w:p>
        </w:tc>
      </w:tr>
      <w:tr w:rsidR="00BF7867" w:rsidRPr="00EC2BC6" w:rsidTr="00EC2BC6">
        <w:tc>
          <w:tcPr>
            <w:tcW w:w="1337" w:type="dxa"/>
            <w:vAlign w:val="center"/>
          </w:tcPr>
          <w:p w:rsidR="00BF7867" w:rsidRPr="00EC2BC6" w:rsidRDefault="00AF2D23">
            <w:pPr>
              <w:jc w:val="left"/>
              <w:rPr>
                <w:sz w:val="20"/>
              </w:rPr>
            </w:pPr>
            <w:r w:rsidRPr="00EC2BC6">
              <w:rPr>
                <w:b w:val="0"/>
                <w:sz w:val="20"/>
              </w:rPr>
              <w:t>spectral slope only</w:t>
            </w:r>
          </w:p>
        </w:tc>
        <w:tc>
          <w:tcPr>
            <w:tcW w:w="1337" w:type="dxa"/>
            <w:vAlign w:val="center"/>
          </w:tcPr>
          <w:p w:rsidR="00BF7867" w:rsidRPr="00EC2BC6" w:rsidRDefault="00AF2D23">
            <w:pPr>
              <w:jc w:val="left"/>
              <w:rPr>
                <w:sz w:val="20"/>
              </w:rPr>
            </w:pPr>
            <w:r w:rsidRPr="00EC2BC6">
              <w:rPr>
                <w:b w:val="0"/>
                <w:sz w:val="20"/>
              </w:rPr>
              <w:t>177</w:t>
            </w:r>
          </w:p>
        </w:tc>
        <w:tc>
          <w:tcPr>
            <w:tcW w:w="1337" w:type="dxa"/>
            <w:vAlign w:val="center"/>
          </w:tcPr>
          <w:p w:rsidR="00BF7867" w:rsidRPr="00EC2BC6" w:rsidRDefault="00AF2D23">
            <w:pPr>
              <w:jc w:val="left"/>
              <w:rPr>
                <w:sz w:val="20"/>
              </w:rPr>
            </w:pPr>
            <w:r w:rsidRPr="00EC2BC6">
              <w:rPr>
                <w:b w:val="0"/>
                <w:sz w:val="20"/>
              </w:rPr>
              <w:t>40.1%</w:t>
            </w:r>
          </w:p>
        </w:tc>
        <w:tc>
          <w:tcPr>
            <w:tcW w:w="1337" w:type="dxa"/>
            <w:vAlign w:val="center"/>
          </w:tcPr>
          <w:p w:rsidR="00BF7867" w:rsidRPr="00EC2BC6" w:rsidRDefault="00AF2D23">
            <w:pPr>
              <w:jc w:val="left"/>
              <w:rPr>
                <w:sz w:val="20"/>
              </w:rPr>
            </w:pPr>
            <w:r w:rsidRPr="00EC2BC6">
              <w:rPr>
                <w:b w:val="0"/>
                <w:sz w:val="20"/>
              </w:rPr>
              <w:t>42.2%</w:t>
            </w:r>
          </w:p>
        </w:tc>
        <w:tc>
          <w:tcPr>
            <w:tcW w:w="1337" w:type="dxa"/>
            <w:vAlign w:val="center"/>
          </w:tcPr>
          <w:p w:rsidR="00BF7867" w:rsidRPr="00EC2BC6" w:rsidRDefault="00AF2D23">
            <w:pPr>
              <w:jc w:val="left"/>
              <w:rPr>
                <w:sz w:val="20"/>
              </w:rPr>
            </w:pPr>
            <w:r w:rsidRPr="00EC2BC6">
              <w:rPr>
                <w:b w:val="0"/>
                <w:sz w:val="20"/>
              </w:rPr>
              <w:t>41.81%</w:t>
            </w:r>
          </w:p>
        </w:tc>
        <w:tc>
          <w:tcPr>
            <w:tcW w:w="1337" w:type="dxa"/>
            <w:vAlign w:val="center"/>
          </w:tcPr>
          <w:p w:rsidR="00BF7867" w:rsidRPr="00EC2BC6" w:rsidRDefault="00AF2D23">
            <w:pPr>
              <w:jc w:val="left"/>
              <w:rPr>
                <w:sz w:val="20"/>
              </w:rPr>
            </w:pPr>
            <w:r w:rsidRPr="00EC2BC6">
              <w:rPr>
                <w:b w:val="0"/>
                <w:sz w:val="20"/>
              </w:rPr>
              <w:t>46.7%</w:t>
            </w:r>
          </w:p>
        </w:tc>
        <w:tc>
          <w:tcPr>
            <w:tcW w:w="1337" w:type="dxa"/>
            <w:vAlign w:val="center"/>
          </w:tcPr>
          <w:p w:rsidR="00BF7867" w:rsidRPr="00EC2BC6" w:rsidRDefault="00AF2D23">
            <w:pPr>
              <w:jc w:val="left"/>
              <w:rPr>
                <w:sz w:val="20"/>
              </w:rPr>
            </w:pPr>
            <w:r w:rsidRPr="00EC2BC6">
              <w:rPr>
                <w:b w:val="0"/>
                <w:sz w:val="20"/>
              </w:rPr>
              <w:t>32.7%</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337" w:type="dxa"/>
            <w:vAlign w:val="center"/>
          </w:tcPr>
          <w:p w:rsidR="00BF7867" w:rsidRPr="00EC2BC6" w:rsidRDefault="00AF2D23">
            <w:pPr>
              <w:jc w:val="left"/>
              <w:rPr>
                <w:sz w:val="20"/>
              </w:rPr>
            </w:pPr>
            <w:r w:rsidRPr="00EC2BC6">
              <w:rPr>
                <w:b w:val="0"/>
                <w:sz w:val="20"/>
              </w:rPr>
              <w:t>flexibility only</w:t>
            </w:r>
          </w:p>
        </w:tc>
        <w:tc>
          <w:tcPr>
            <w:tcW w:w="1337" w:type="dxa"/>
            <w:vAlign w:val="center"/>
          </w:tcPr>
          <w:p w:rsidR="00BF7867" w:rsidRPr="00EC2BC6" w:rsidRDefault="00AF2D23">
            <w:pPr>
              <w:jc w:val="left"/>
              <w:rPr>
                <w:sz w:val="20"/>
              </w:rPr>
            </w:pPr>
            <w:r w:rsidRPr="00EC2BC6">
              <w:rPr>
                <w:b w:val="0"/>
                <w:sz w:val="20"/>
              </w:rPr>
              <w:t>177</w:t>
            </w:r>
          </w:p>
        </w:tc>
        <w:tc>
          <w:tcPr>
            <w:tcW w:w="1337" w:type="dxa"/>
            <w:vAlign w:val="center"/>
          </w:tcPr>
          <w:p w:rsidR="00BF7867" w:rsidRPr="00EC2BC6" w:rsidRDefault="00AF2D23">
            <w:pPr>
              <w:jc w:val="left"/>
              <w:rPr>
                <w:sz w:val="20"/>
              </w:rPr>
            </w:pPr>
            <w:r w:rsidRPr="00EC2BC6">
              <w:rPr>
                <w:b w:val="0"/>
                <w:sz w:val="20"/>
              </w:rPr>
              <w:t>36.7%</w:t>
            </w:r>
          </w:p>
        </w:tc>
        <w:tc>
          <w:tcPr>
            <w:tcW w:w="1337" w:type="dxa"/>
            <w:vAlign w:val="center"/>
          </w:tcPr>
          <w:p w:rsidR="00BF7867" w:rsidRPr="00EC2BC6" w:rsidRDefault="00AF2D23">
            <w:pPr>
              <w:jc w:val="left"/>
              <w:rPr>
                <w:sz w:val="20"/>
              </w:rPr>
            </w:pPr>
            <w:r w:rsidRPr="00EC2BC6">
              <w:rPr>
                <w:b w:val="0"/>
                <w:sz w:val="20"/>
              </w:rPr>
              <w:t>30.6%</w:t>
            </w:r>
          </w:p>
        </w:tc>
        <w:tc>
          <w:tcPr>
            <w:tcW w:w="1337" w:type="dxa"/>
            <w:vAlign w:val="center"/>
          </w:tcPr>
          <w:p w:rsidR="00BF7867" w:rsidRPr="00EC2BC6" w:rsidRDefault="00AF2D23">
            <w:pPr>
              <w:jc w:val="left"/>
              <w:rPr>
                <w:sz w:val="20"/>
              </w:rPr>
            </w:pPr>
            <w:r w:rsidRPr="00EC2BC6">
              <w:rPr>
                <w:b w:val="0"/>
                <w:sz w:val="20"/>
              </w:rPr>
              <w:t>5.65%</w:t>
            </w:r>
          </w:p>
        </w:tc>
        <w:tc>
          <w:tcPr>
            <w:tcW w:w="1337" w:type="dxa"/>
            <w:vAlign w:val="center"/>
          </w:tcPr>
          <w:p w:rsidR="00BF7867" w:rsidRPr="00EC2BC6" w:rsidRDefault="00AF2D23">
            <w:pPr>
              <w:jc w:val="left"/>
              <w:rPr>
                <w:sz w:val="20"/>
              </w:rPr>
            </w:pPr>
            <w:r w:rsidRPr="00EC2BC6">
              <w:rPr>
                <w:b w:val="0"/>
                <w:sz w:val="20"/>
              </w:rPr>
              <w:t>76.0%</w:t>
            </w:r>
          </w:p>
        </w:tc>
        <w:tc>
          <w:tcPr>
            <w:tcW w:w="1337" w:type="dxa"/>
            <w:vAlign w:val="center"/>
          </w:tcPr>
          <w:p w:rsidR="00BF7867" w:rsidRPr="00EC2BC6" w:rsidRDefault="00AF2D23">
            <w:pPr>
              <w:jc w:val="left"/>
              <w:rPr>
                <w:sz w:val="20"/>
              </w:rPr>
            </w:pPr>
            <w:r w:rsidRPr="00EC2BC6">
              <w:rPr>
                <w:b w:val="0"/>
                <w:sz w:val="20"/>
              </w:rPr>
              <w:t>28.6%</w:t>
            </w:r>
          </w:p>
        </w:tc>
      </w:tr>
      <w:tr w:rsidR="00EC2BC6" w:rsidRPr="00EC2BC6" w:rsidTr="00EC2BC6">
        <w:tc>
          <w:tcPr>
            <w:tcW w:w="1337" w:type="dxa"/>
            <w:vAlign w:val="center"/>
          </w:tcPr>
          <w:p w:rsidR="00EC2BC6" w:rsidRPr="00EC2BC6" w:rsidRDefault="00EC2BC6">
            <w:pPr>
              <w:jc w:val="left"/>
              <w:rPr>
                <w:sz w:val="20"/>
              </w:rPr>
            </w:pPr>
            <w:r w:rsidRPr="00EC2BC6">
              <w:rPr>
                <w:b w:val="0"/>
                <w:sz w:val="20"/>
              </w:rPr>
              <w:t>V2 solver-backed conservative</w:t>
            </w:r>
          </w:p>
        </w:tc>
        <w:tc>
          <w:tcPr>
            <w:tcW w:w="1337" w:type="dxa"/>
            <w:vAlign w:val="center"/>
          </w:tcPr>
          <w:p w:rsidR="00EC2BC6" w:rsidRPr="00EC2BC6" w:rsidRDefault="00EC2BC6">
            <w:pPr>
              <w:jc w:val="left"/>
              <w:rPr>
                <w:sz w:val="20"/>
              </w:rPr>
            </w:pPr>
            <w:r w:rsidRPr="00EC2BC6">
              <w:rPr>
                <w:b w:val="0"/>
                <w:sz w:val="20"/>
              </w:rPr>
              <w:t>194</w:t>
            </w:r>
          </w:p>
        </w:tc>
        <w:tc>
          <w:tcPr>
            <w:tcW w:w="1337" w:type="dxa"/>
            <w:vAlign w:val="center"/>
          </w:tcPr>
          <w:p w:rsidR="00EC2BC6" w:rsidRPr="00EC2BC6" w:rsidRDefault="00EC2BC6">
            <w:pPr>
              <w:jc w:val="left"/>
              <w:rPr>
                <w:sz w:val="20"/>
              </w:rPr>
            </w:pPr>
            <w:r w:rsidRPr="00EC2BC6">
              <w:rPr>
                <w:b w:val="0"/>
                <w:sz w:val="20"/>
              </w:rPr>
              <w:t>51.0%</w:t>
            </w:r>
          </w:p>
        </w:tc>
        <w:tc>
          <w:tcPr>
            <w:tcW w:w="1337" w:type="dxa"/>
            <w:vAlign w:val="center"/>
          </w:tcPr>
          <w:p w:rsidR="00EC2BC6" w:rsidRPr="00EC2BC6" w:rsidRDefault="00EC2BC6">
            <w:pPr>
              <w:jc w:val="left"/>
              <w:rPr>
                <w:sz w:val="20"/>
              </w:rPr>
            </w:pPr>
            <w:r w:rsidRPr="00EC2BC6">
              <w:rPr>
                <w:b w:val="0"/>
                <w:sz w:val="20"/>
              </w:rPr>
              <w:t>50.3%</w:t>
            </w:r>
          </w:p>
        </w:tc>
        <w:tc>
          <w:tcPr>
            <w:tcW w:w="1337" w:type="dxa"/>
            <w:vAlign w:val="center"/>
          </w:tcPr>
          <w:p w:rsidR="00EC2BC6" w:rsidRPr="00EC2BC6" w:rsidRDefault="00EC2BC6">
            <w:pPr>
              <w:jc w:val="left"/>
              <w:rPr>
                <w:sz w:val="20"/>
              </w:rPr>
            </w:pPr>
            <w:r w:rsidRPr="00EC2BC6">
              <w:rPr>
                <w:b w:val="0"/>
                <w:sz w:val="20"/>
              </w:rPr>
              <w:t>5.15%</w:t>
            </w:r>
          </w:p>
        </w:tc>
        <w:tc>
          <w:tcPr>
            <w:tcW w:w="1337" w:type="dxa"/>
            <w:vAlign w:val="center"/>
          </w:tcPr>
          <w:p w:rsidR="00EC2BC6" w:rsidRPr="00EC2BC6" w:rsidRDefault="00EC2BC6">
            <w:pPr>
              <w:jc w:val="left"/>
              <w:rPr>
                <w:sz w:val="20"/>
              </w:rPr>
            </w:pPr>
            <w:r w:rsidRPr="00EC2BC6">
              <w:rPr>
                <w:b w:val="0"/>
                <w:sz w:val="20"/>
              </w:rPr>
              <w:t>87.0%</w:t>
            </w:r>
          </w:p>
        </w:tc>
        <w:tc>
          <w:tcPr>
            <w:tcW w:w="1337" w:type="dxa"/>
            <w:vAlign w:val="center"/>
          </w:tcPr>
          <w:p w:rsidR="00EC2BC6" w:rsidRPr="00EC2BC6" w:rsidRDefault="00EC2BC6">
            <w:pPr>
              <w:jc w:val="left"/>
              <w:rPr>
                <w:sz w:val="20"/>
              </w:rPr>
            </w:pPr>
            <w:r w:rsidRPr="00EC2BC6">
              <w:rPr>
                <w:b w:val="0"/>
                <w:sz w:val="20"/>
              </w:rPr>
              <w:t>76.2%</w:t>
            </w:r>
          </w:p>
        </w:tc>
      </w:tr>
    </w:tbl>
    <w:p w:rsidR="00AF2D23" w:rsidRDefault="00EC2BC6">
      <w:pPr>
        <w:jc w:val="both"/>
      </w:pPr>
      <w:r>
        <w:rPr>
          <w:sz w:val="22"/>
        </w:rPr>
        <w:t>The OpenSeesPy 3D solver-backed row is a V2 class-prediction experiment: the solver generates period-shift, force-ratio, displacement-ratio and rotation guardrail variables before observed force, drift, rotation and settlement classes are scored. It passes the conservative screening gates with a 5.15% false-safe rate, 87.0% mixed recall and 76.2% safe precision, while remaining explicitly below full nonlinear 3D response-history validation.`r</w:t>
      </w:r>
      <w:r w:rsidR="00AF2D23">
        <w:rPr>
          <w:sz w:val="22"/>
        </w:rPr>
        <w:t>Figure 2c visualizes the independent predictive validation confusion matrix before the decision-value audit is introduced.</w:t>
      </w:r>
    </w:p>
    <w:p w:rsidR="00BF7867" w:rsidRPr="00AF2D23" w:rsidRDefault="00AF2D23">
      <w:pPr>
        <w:keepNext/>
        <w:jc w:val="both"/>
        <w:rPr>
          <w:sz w:val="20"/>
        </w:rPr>
      </w:pPr>
      <w:r w:rsidRPr="00AF2D23">
        <w:rPr>
          <w:b w:val="0"/>
          <w:sz w:val="22"/>
        </w:rPr>
        <w:t>Figure 2c. Independent predictive validation confusion matrix.</w:t>
      </w:r>
    </w:p>
    <w:p w:rsidR="00BF7867" w:rsidRDefault="00AF2D23">
      <w:pPr>
        <w:jc w:val="both"/>
      </w:pPr>
      <w:r>
        <w:rPr>
          <w:sz w:val="22"/>
        </w:rPr>
        <w:t>The resulting claim is therefore upgraded in the intended decision space: the criterion now has an independent predictive proxy-screening test using pre-response FoRDy descriptors and withheld response scoring. The framework is positioned upstream of high-fidelity nonlinear three-dimensional SSI simulation, where the relevant question is whether a case should be treated as potentially beneficial, mixed or detrimental before detailed modeling is undertaken.</w:t>
      </w:r>
    </w:p>
    <w:p w:rsidR="00BF7867" w:rsidRDefault="00AF2D23">
      <w:pPr>
        <w:pStyle w:val="Heading1"/>
        <w:jc w:val="both"/>
      </w:pPr>
      <w:r>
        <w:rPr>
          <w:sz w:val="22"/>
        </w:rPr>
        <w:t>8.10 Decision-value validation of false-safe screening</w:t>
      </w:r>
    </w:p>
    <w:p w:rsidR="00BF7867" w:rsidRDefault="00AF2D23">
      <w:pPr>
        <w:jc w:val="both"/>
      </w:pPr>
      <w:r>
        <w:rPr>
          <w:sz w:val="22"/>
        </w:rPr>
        <w:t>A supplementary decision-value analysis was added to evaluate the criterion as a risk-aware screening tool under asymmetric engineering loss. The analysis asks a different question from response-history prediction: whether the map prevents unsafe screening decisions that would treat force reduction alone as a globally beneficial SSI outcome.</w:t>
      </w:r>
    </w:p>
    <w:p w:rsidR="00BF7867" w:rsidRDefault="00AF2D23">
      <w:pPr>
        <w:jc w:val="both"/>
      </w:pPr>
      <w:r>
        <w:rPr>
          <w:sz w:val="22"/>
        </w:rPr>
        <w:t>In the FoRDy/FoRCy proxy layer, an optimistic force-reduction rule that classifies any case with Rᵥ &lt; 1 as safe produces a false-safe rate of 33.8%. The proposed map reduces that false-safe rate to 2.0%, corresponding to a 94.1% reduction in false-safe screening decisions relative to the optimistic force-only rule. In the independent FoRDy predictive layer, the proposed predictive screen reduces false-safe decisions by 86.4% relative to a spectral-slope-only rule.</w:t>
      </w:r>
    </w:p>
    <w:p w:rsidR="00BF7867" w:rsidRDefault="00AF2D23">
      <w:pPr>
        <w:jc w:val="both"/>
      </w:pPr>
      <w:r>
        <w:rPr>
          <w:sz w:val="22"/>
        </w:rPr>
        <w:t>The same audit also clarifies the boundary of the contribution. A fully conservative always-flag policy has zero false-safe cases, but it provides no useful discrimination among potentially beneficial and mixed cases. The proposed map is therefore interpreted as a decision-value screening layer: it rejects unsafe force-only optimism while preserving a bounded set of cases that can be treated as potentially beneficial before detailed SSI modeling.</w:t>
      </w:r>
    </w:p>
    <w:p w:rsidR="00AF2D23" w:rsidRDefault="00AF2D23">
      <w:pPr>
        <w:jc w:val="both"/>
      </w:pPr>
      <w:r>
        <w:rPr>
          <w:b w:val="0"/>
          <w:sz w:val="22"/>
        </w:rPr>
        <w:t>Table 13 reports the decision-value false-safe audit under asymmetric screening loss.</w:t>
      </w:r>
    </w:p>
    <w:p w:rsidR="00BF7867" w:rsidRPr="00AF2D23" w:rsidRDefault="00AF2D23">
      <w:pPr>
        <w:keepNext/>
        <w:jc w:val="center"/>
        <w:rPr>
          <w:sz w:val="20"/>
        </w:rPr>
      </w:pPr>
      <w:r w:rsidRPr="00AF2D23">
        <w:rPr>
          <w:b w:val="0"/>
          <w:sz w:val="22"/>
        </w:rPr>
        <w:t>Table 13. Decision-value false-safe audit under asymmetric screening loss.</w:t>
      </w:r>
    </w:p>
    <w:tbl>
      <w:tblPr>
        <w:tblStyle w:val="PlainTable2"/>
        <w:tblW w:w="0" w:type="auto"/>
        <w:jc w:val="center"/>
        <w:tblLook w:val="0420" w:firstRow="1" w:lastRow="0" w:firstColumn="0" w:lastColumn="0" w:noHBand="0" w:noVBand="1"/>
      </w:tblPr>
      <w:tblGrid>
        <w:gridCol w:w="1560"/>
        <w:gridCol w:w="1560"/>
        <w:gridCol w:w="1560"/>
        <w:gridCol w:w="1560"/>
        <w:gridCol w:w="1560"/>
        <w:gridCol w:w="1560"/>
      </w:tblGrid>
      <w:tr w:rsidR="00BF7867" w:rsidRPr="00EC2BC6" w:rsidTr="00EC2BC6">
        <w:trPr>
          <w:cnfStyle w:val="100000000000" w:firstRow="1" w:lastRow="0" w:firstColumn="0" w:lastColumn="0" w:oddVBand="0" w:evenVBand="0" w:oddHBand="0" w:evenHBand="0" w:firstRowFirstColumn="0" w:firstRowLastColumn="0" w:lastRowFirstColumn="0" w:lastRowLastColumn="0"/>
          <w:tblHeader w:val="true"/>
        </w:trPr>
        <w:tc>
          <w:tcPr>
            <w:tcW w:w="1560" w:type="dxa"/>
            <w:vAlign w:val="center"/>
          </w:tcPr>
          <w:p w:rsidR="00BF7867" w:rsidRPr="00EC2BC6" w:rsidRDefault="00AF2D23">
            <w:pPr>
              <w:jc w:val="left"/>
              <w:rPr>
                <w:sz w:val="20"/>
              </w:rPr>
            </w:pPr>
            <w:r w:rsidRPr="00EC2BC6">
              <w:rPr>
                <w:b/>
                <w:sz w:val="20"/>
              </w:rPr>
              <w:t>Layer</w:t>
            </w:r>
          </w:p>
        </w:tc>
        <w:tc>
          <w:tcPr>
            <w:tcW w:w="1560" w:type="dxa"/>
            <w:vAlign w:val="center"/>
          </w:tcPr>
          <w:p w:rsidR="00BF7867" w:rsidRPr="00EC2BC6" w:rsidRDefault="00AF2D23">
            <w:pPr>
              <w:jc w:val="left"/>
              <w:rPr>
                <w:sz w:val="20"/>
              </w:rPr>
            </w:pPr>
            <w:r w:rsidRPr="00EC2BC6">
              <w:rPr>
                <w:b/>
                <w:sz w:val="20"/>
              </w:rPr>
              <w:t>Model</w:t>
            </w:r>
          </w:p>
        </w:tc>
        <w:tc>
          <w:tcPr>
            <w:tcW w:w="1560" w:type="dxa"/>
            <w:vAlign w:val="center"/>
          </w:tcPr>
          <w:p w:rsidR="00BF7867" w:rsidRPr="00EC2BC6" w:rsidRDefault="00AF2D23">
            <w:pPr>
              <w:jc w:val="left"/>
              <w:rPr>
                <w:sz w:val="20"/>
              </w:rPr>
            </w:pPr>
            <w:r w:rsidRPr="00EC2BC6">
              <w:rPr>
                <w:b/>
                <w:sz w:val="20"/>
              </w:rPr>
              <w:t>N</w:t>
            </w:r>
          </w:p>
        </w:tc>
        <w:tc>
          <w:tcPr>
            <w:tcW w:w="1560" w:type="dxa"/>
            <w:vAlign w:val="center"/>
          </w:tcPr>
          <w:p w:rsidR="00BF7867" w:rsidRPr="00EC2BC6" w:rsidRDefault="00AF2D23">
            <w:pPr>
              <w:jc w:val="left"/>
              <w:rPr>
                <w:sz w:val="20"/>
              </w:rPr>
            </w:pPr>
            <w:r w:rsidRPr="00EC2BC6">
              <w:rPr>
                <w:b/>
                <w:sz w:val="20"/>
              </w:rPr>
              <w:t>False-safe</w:t>
            </w:r>
          </w:p>
        </w:tc>
        <w:tc>
          <w:tcPr>
            <w:tcW w:w="1560" w:type="dxa"/>
            <w:vAlign w:val="center"/>
          </w:tcPr>
          <w:p w:rsidR="00BF7867" w:rsidRPr="00EC2BC6" w:rsidRDefault="00AF2D23">
            <w:pPr>
              <w:jc w:val="left"/>
              <w:rPr>
                <w:sz w:val="20"/>
              </w:rPr>
            </w:pPr>
            <w:r w:rsidRPr="00EC2BC6">
              <w:rPr>
                <w:b/>
                <w:sz w:val="20"/>
              </w:rPr>
              <w:t>Net value vs always flag</w:t>
            </w:r>
          </w:p>
        </w:tc>
        <w:tc>
          <w:tcPr>
            <w:tcW w:w="1560" w:type="dxa"/>
            <w:vAlign w:val="center"/>
          </w:tcPr>
          <w:p w:rsidR="00BF7867" w:rsidRPr="00EC2BC6" w:rsidRDefault="00AF2D23">
            <w:pPr>
              <w:jc w:val="left"/>
              <w:rPr>
                <w:sz w:val="20"/>
              </w:rPr>
            </w:pPr>
            <w:r w:rsidRPr="00EC2BC6">
              <w:rPr>
                <w:b/>
                <w:sz w:val="20"/>
              </w:rPr>
              <w:t>Interpretation</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560" w:type="dxa"/>
            <w:vAlign w:val="center"/>
          </w:tcPr>
          <w:p w:rsidR="00BF7867" w:rsidRPr="00EC2BC6" w:rsidRDefault="00AF2D23">
            <w:pPr>
              <w:jc w:val="left"/>
              <w:rPr>
                <w:sz w:val="20"/>
              </w:rPr>
            </w:pPr>
            <w:r w:rsidRPr="00EC2BC6">
              <w:rPr>
                <w:b w:val="0"/>
                <w:sz w:val="20"/>
              </w:rPr>
              <w:t>Proxy map</w:t>
            </w:r>
          </w:p>
        </w:tc>
        <w:tc>
          <w:tcPr>
            <w:tcW w:w="1560" w:type="dxa"/>
            <w:vAlign w:val="center"/>
          </w:tcPr>
          <w:p w:rsidR="00BF7867" w:rsidRPr="00EC2BC6" w:rsidRDefault="00AF2D23">
            <w:pPr>
              <w:jc w:val="left"/>
              <w:rPr>
                <w:sz w:val="20"/>
              </w:rPr>
            </w:pPr>
            <w:r w:rsidRPr="00EC2BC6">
              <w:rPr>
                <w:b w:val="0"/>
                <w:sz w:val="20"/>
              </w:rPr>
              <w:t>proposed proxy map</w:t>
            </w:r>
          </w:p>
        </w:tc>
        <w:tc>
          <w:tcPr>
            <w:tcW w:w="1560" w:type="dxa"/>
            <w:vAlign w:val="center"/>
          </w:tcPr>
          <w:p w:rsidR="00BF7867" w:rsidRPr="00EC2BC6" w:rsidRDefault="00AF2D23">
            <w:pPr>
              <w:jc w:val="left"/>
              <w:rPr>
                <w:sz w:val="20"/>
              </w:rPr>
            </w:pPr>
            <w:r w:rsidRPr="00EC2BC6">
              <w:rPr>
                <w:b w:val="0"/>
                <w:sz w:val="20"/>
              </w:rPr>
              <w:t>650</w:t>
            </w:r>
          </w:p>
        </w:tc>
        <w:tc>
          <w:tcPr>
            <w:tcW w:w="1560" w:type="dxa"/>
            <w:vAlign w:val="center"/>
          </w:tcPr>
          <w:p w:rsidR="00BF7867" w:rsidRPr="00EC2BC6" w:rsidRDefault="00AF2D23">
            <w:pPr>
              <w:jc w:val="left"/>
              <w:rPr>
                <w:sz w:val="20"/>
              </w:rPr>
            </w:pPr>
            <w:r w:rsidRPr="00EC2BC6">
              <w:rPr>
                <w:b w:val="0"/>
                <w:sz w:val="20"/>
              </w:rPr>
              <w:t>2.00%</w:t>
            </w:r>
          </w:p>
        </w:tc>
        <w:tc>
          <w:tcPr>
            <w:tcW w:w="1560" w:type="dxa"/>
            <w:vAlign w:val="center"/>
          </w:tcPr>
          <w:p w:rsidR="00BF7867" w:rsidRPr="00EC2BC6" w:rsidRDefault="00AF2D23">
            <w:pPr>
              <w:jc w:val="left"/>
              <w:rPr>
                <w:sz w:val="20"/>
              </w:rPr>
            </w:pPr>
            <w:r w:rsidRPr="00EC2BC6">
              <w:rPr>
                <w:b w:val="0"/>
                <w:sz w:val="20"/>
              </w:rPr>
              <w:t>-0.111</w:t>
            </w:r>
          </w:p>
        </w:tc>
        <w:tc>
          <w:tcPr>
            <w:tcW w:w="1560" w:type="dxa"/>
            <w:vAlign w:val="center"/>
          </w:tcPr>
          <w:p w:rsidR="00BF7867" w:rsidRPr="00EC2BC6" w:rsidRDefault="00AF2D23">
            <w:pPr>
              <w:jc w:val="left"/>
              <w:rPr>
                <w:sz w:val="20"/>
              </w:rPr>
            </w:pPr>
            <w:r w:rsidRPr="00EC2BC6">
              <w:rPr>
                <w:b w:val="0"/>
                <w:sz w:val="20"/>
              </w:rPr>
              <w:t>Low false-safe screening rule</w:t>
            </w:r>
          </w:p>
        </w:tc>
      </w:tr>
      <w:tr w:rsidR="00BF7867" w:rsidRPr="00EC2BC6" w:rsidTr="00EC2BC6">
        <w:tc>
          <w:tcPr>
            <w:tcW w:w="1560" w:type="dxa"/>
            <w:vAlign w:val="center"/>
          </w:tcPr>
          <w:p w:rsidR="00BF7867" w:rsidRPr="00EC2BC6" w:rsidRDefault="00AF2D23">
            <w:pPr>
              <w:jc w:val="left"/>
              <w:rPr>
                <w:sz w:val="20"/>
              </w:rPr>
            </w:pPr>
            <w:r w:rsidRPr="00EC2BC6">
              <w:rPr>
                <w:b w:val="0"/>
                <w:sz w:val="20"/>
              </w:rPr>
              <w:t>Proxy baseline</w:t>
            </w:r>
          </w:p>
        </w:tc>
        <w:tc>
          <w:tcPr>
            <w:tcW w:w="1560" w:type="dxa"/>
            <w:vAlign w:val="center"/>
          </w:tcPr>
          <w:p w:rsidR="00BF7867" w:rsidRPr="00EC2BC6" w:rsidRDefault="00AF2D23">
            <w:pPr>
              <w:jc w:val="left"/>
              <w:rPr>
                <w:sz w:val="20"/>
              </w:rPr>
            </w:pPr>
            <w:r w:rsidRPr="00EC2BC6">
              <w:rPr>
                <w:b w:val="0"/>
                <w:sz w:val="20"/>
              </w:rPr>
              <w:t>optimistic force reduction rule</w:t>
            </w:r>
          </w:p>
        </w:tc>
        <w:tc>
          <w:tcPr>
            <w:tcW w:w="1560" w:type="dxa"/>
            <w:vAlign w:val="center"/>
          </w:tcPr>
          <w:p w:rsidR="00BF7867" w:rsidRPr="00EC2BC6" w:rsidRDefault="00AF2D23">
            <w:pPr>
              <w:jc w:val="left"/>
              <w:rPr>
                <w:sz w:val="20"/>
              </w:rPr>
            </w:pPr>
            <w:r w:rsidRPr="00EC2BC6">
              <w:rPr>
                <w:b w:val="0"/>
                <w:sz w:val="20"/>
              </w:rPr>
              <w:t>650</w:t>
            </w:r>
          </w:p>
        </w:tc>
        <w:tc>
          <w:tcPr>
            <w:tcW w:w="1560" w:type="dxa"/>
            <w:vAlign w:val="center"/>
          </w:tcPr>
          <w:p w:rsidR="00BF7867" w:rsidRPr="00EC2BC6" w:rsidRDefault="00AF2D23">
            <w:pPr>
              <w:jc w:val="left"/>
              <w:rPr>
                <w:sz w:val="20"/>
              </w:rPr>
            </w:pPr>
            <w:r w:rsidRPr="00EC2BC6">
              <w:rPr>
                <w:b w:val="0"/>
                <w:sz w:val="20"/>
              </w:rPr>
              <w:t>33.8%</w:t>
            </w:r>
          </w:p>
        </w:tc>
        <w:tc>
          <w:tcPr>
            <w:tcW w:w="1560" w:type="dxa"/>
            <w:vAlign w:val="center"/>
          </w:tcPr>
          <w:p w:rsidR="00BF7867" w:rsidRPr="00EC2BC6" w:rsidRDefault="00AF2D23">
            <w:pPr>
              <w:jc w:val="left"/>
              <w:rPr>
                <w:sz w:val="20"/>
              </w:rPr>
            </w:pPr>
            <w:r w:rsidRPr="00EC2BC6">
              <w:rPr>
                <w:b w:val="0"/>
                <w:sz w:val="20"/>
              </w:rPr>
              <w:t>-3.089</w:t>
            </w:r>
          </w:p>
        </w:tc>
        <w:tc>
          <w:tcPr>
            <w:tcW w:w="1560" w:type="dxa"/>
            <w:vAlign w:val="center"/>
          </w:tcPr>
          <w:p w:rsidR="00BF7867" w:rsidRPr="00EC2BC6" w:rsidRDefault="00AF2D23">
            <w:pPr>
              <w:jc w:val="left"/>
              <w:rPr>
                <w:sz w:val="20"/>
              </w:rPr>
            </w:pPr>
            <w:r w:rsidRPr="00EC2BC6">
              <w:rPr>
                <w:b w:val="0"/>
                <w:sz w:val="20"/>
              </w:rPr>
              <w:t>Unsafe force-only release rule</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560" w:type="dxa"/>
            <w:vAlign w:val="center"/>
          </w:tcPr>
          <w:p w:rsidR="00BF7867" w:rsidRPr="00EC2BC6" w:rsidRDefault="00AF2D23">
            <w:pPr>
              <w:jc w:val="left"/>
              <w:rPr>
                <w:sz w:val="20"/>
              </w:rPr>
            </w:pPr>
            <w:r w:rsidRPr="00EC2BC6">
              <w:rPr>
                <w:b w:val="0"/>
                <w:sz w:val="20"/>
              </w:rPr>
              <w:t>Proxy conservative</w:t>
            </w:r>
          </w:p>
        </w:tc>
        <w:tc>
          <w:tcPr>
            <w:tcW w:w="1560" w:type="dxa"/>
            <w:vAlign w:val="center"/>
          </w:tcPr>
          <w:p w:rsidR="00BF7867" w:rsidRPr="00EC2BC6" w:rsidRDefault="00AF2D23">
            <w:pPr>
              <w:jc w:val="left"/>
              <w:rPr>
                <w:sz w:val="20"/>
              </w:rPr>
            </w:pPr>
            <w:r w:rsidRPr="00EC2BC6">
              <w:rPr>
                <w:b w:val="0"/>
                <w:sz w:val="20"/>
              </w:rPr>
              <w:t>always flag mixed</w:t>
            </w:r>
          </w:p>
        </w:tc>
        <w:tc>
          <w:tcPr>
            <w:tcW w:w="1560" w:type="dxa"/>
            <w:vAlign w:val="center"/>
          </w:tcPr>
          <w:p w:rsidR="00BF7867" w:rsidRPr="00EC2BC6" w:rsidRDefault="00AF2D23">
            <w:pPr>
              <w:jc w:val="left"/>
              <w:rPr>
                <w:sz w:val="20"/>
              </w:rPr>
            </w:pPr>
            <w:r w:rsidRPr="00EC2BC6">
              <w:rPr>
                <w:b w:val="0"/>
                <w:sz w:val="20"/>
              </w:rPr>
              <w:t>650</w:t>
            </w:r>
          </w:p>
        </w:tc>
        <w:tc>
          <w:tcPr>
            <w:tcW w:w="1560" w:type="dxa"/>
            <w:vAlign w:val="center"/>
          </w:tcPr>
          <w:p w:rsidR="00BF7867" w:rsidRPr="00EC2BC6" w:rsidRDefault="00AF2D23">
            <w:pPr>
              <w:jc w:val="left"/>
              <w:rPr>
                <w:sz w:val="20"/>
              </w:rPr>
            </w:pPr>
            <w:r w:rsidRPr="00EC2BC6">
              <w:rPr>
                <w:b w:val="0"/>
                <w:sz w:val="20"/>
              </w:rPr>
              <w:t>0.0%</w:t>
            </w:r>
          </w:p>
        </w:tc>
        <w:tc>
          <w:tcPr>
            <w:tcW w:w="1560" w:type="dxa"/>
            <w:vAlign w:val="center"/>
          </w:tcPr>
          <w:p w:rsidR="00BF7867" w:rsidRPr="00EC2BC6" w:rsidRDefault="00AF2D23">
            <w:pPr>
              <w:jc w:val="left"/>
              <w:rPr>
                <w:sz w:val="20"/>
              </w:rPr>
            </w:pPr>
            <w:r w:rsidRPr="00EC2BC6">
              <w:rPr>
                <w:b w:val="0"/>
                <w:sz w:val="20"/>
              </w:rPr>
              <w:t>0.000</w:t>
            </w:r>
          </w:p>
        </w:tc>
        <w:tc>
          <w:tcPr>
            <w:tcW w:w="1560" w:type="dxa"/>
            <w:vAlign w:val="center"/>
          </w:tcPr>
          <w:p w:rsidR="00BF7867" w:rsidRPr="00EC2BC6" w:rsidRDefault="00AF2D23">
            <w:pPr>
              <w:jc w:val="left"/>
              <w:rPr>
                <w:sz w:val="20"/>
              </w:rPr>
            </w:pPr>
            <w:r w:rsidRPr="00EC2BC6">
              <w:rPr>
                <w:b w:val="0"/>
                <w:sz w:val="20"/>
              </w:rPr>
              <w:t>Zero false-safe but no releases</w:t>
            </w:r>
          </w:p>
        </w:tc>
      </w:tr>
      <w:tr w:rsidR="00BF7867" w:rsidRPr="00EC2BC6" w:rsidTr="00EC2BC6">
        <w:tc>
          <w:tcPr>
            <w:tcW w:w="1560" w:type="dxa"/>
            <w:vAlign w:val="center"/>
          </w:tcPr>
          <w:p w:rsidR="00BF7867" w:rsidRPr="00EC2BC6" w:rsidRDefault="00AF2D23">
            <w:pPr>
              <w:jc w:val="left"/>
              <w:rPr>
                <w:sz w:val="20"/>
              </w:rPr>
            </w:pPr>
            <w:r w:rsidRPr="00EC2BC6">
              <w:rPr>
                <w:b w:val="0"/>
                <w:sz w:val="20"/>
              </w:rPr>
              <w:t>Predictive map</w:t>
            </w:r>
          </w:p>
        </w:tc>
        <w:tc>
          <w:tcPr>
            <w:tcW w:w="1560" w:type="dxa"/>
            <w:vAlign w:val="center"/>
          </w:tcPr>
          <w:p w:rsidR="00BF7867" w:rsidRPr="00EC2BC6" w:rsidRDefault="00AF2D23">
            <w:pPr>
              <w:jc w:val="left"/>
              <w:rPr>
                <w:sz w:val="20"/>
              </w:rPr>
            </w:pPr>
            <w:r w:rsidRPr="00EC2BC6">
              <w:rPr>
                <w:b w:val="0"/>
                <w:sz w:val="20"/>
              </w:rPr>
              <w:t>proposed predictive centroid</w:t>
            </w:r>
          </w:p>
        </w:tc>
        <w:tc>
          <w:tcPr>
            <w:tcW w:w="1560" w:type="dxa"/>
            <w:vAlign w:val="center"/>
          </w:tcPr>
          <w:p w:rsidR="00BF7867" w:rsidRPr="00EC2BC6" w:rsidRDefault="00AF2D23">
            <w:pPr>
              <w:jc w:val="left"/>
              <w:rPr>
                <w:sz w:val="20"/>
              </w:rPr>
            </w:pPr>
            <w:r w:rsidRPr="00EC2BC6">
              <w:rPr>
                <w:b w:val="0"/>
                <w:sz w:val="20"/>
              </w:rPr>
              <w:t>194</w:t>
            </w:r>
          </w:p>
        </w:tc>
        <w:tc>
          <w:tcPr>
            <w:tcW w:w="1560" w:type="dxa"/>
            <w:vAlign w:val="center"/>
          </w:tcPr>
          <w:p w:rsidR="00BF7867" w:rsidRPr="00EC2BC6" w:rsidRDefault="00AF2D23">
            <w:pPr>
              <w:jc w:val="left"/>
              <w:rPr>
                <w:sz w:val="20"/>
              </w:rPr>
            </w:pPr>
            <w:r w:rsidRPr="00EC2BC6">
              <w:rPr>
                <w:b w:val="0"/>
                <w:sz w:val="20"/>
              </w:rPr>
              <w:t>5.67%</w:t>
            </w:r>
          </w:p>
        </w:tc>
        <w:tc>
          <w:tcPr>
            <w:tcW w:w="1560" w:type="dxa"/>
            <w:vAlign w:val="center"/>
          </w:tcPr>
          <w:p w:rsidR="00BF7867" w:rsidRPr="00EC2BC6" w:rsidRDefault="00AF2D23">
            <w:pPr>
              <w:jc w:val="left"/>
              <w:rPr>
                <w:sz w:val="20"/>
              </w:rPr>
            </w:pPr>
            <w:r w:rsidRPr="00EC2BC6">
              <w:rPr>
                <w:b w:val="0"/>
                <w:sz w:val="20"/>
              </w:rPr>
              <w:t>-0.196</w:t>
            </w:r>
          </w:p>
        </w:tc>
        <w:tc>
          <w:tcPr>
            <w:tcW w:w="1560" w:type="dxa"/>
            <w:vAlign w:val="center"/>
          </w:tcPr>
          <w:p w:rsidR="00BF7867" w:rsidRPr="00EC2BC6" w:rsidRDefault="00AF2D23">
            <w:pPr>
              <w:jc w:val="left"/>
              <w:rPr>
                <w:sz w:val="20"/>
              </w:rPr>
            </w:pPr>
            <w:r w:rsidRPr="00EC2BC6">
              <w:rPr>
                <w:b w:val="0"/>
                <w:sz w:val="20"/>
              </w:rPr>
              <w:t>Predictive screening only</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560" w:type="dxa"/>
            <w:vAlign w:val="center"/>
          </w:tcPr>
          <w:p w:rsidR="00BF7867" w:rsidRPr="00EC2BC6" w:rsidRDefault="00AF2D23">
            <w:pPr>
              <w:jc w:val="left"/>
              <w:rPr>
                <w:sz w:val="20"/>
              </w:rPr>
            </w:pPr>
            <w:r w:rsidRPr="00EC2BC6">
              <w:rPr>
                <w:b w:val="0"/>
                <w:sz w:val="20"/>
              </w:rPr>
              <w:t>Predictive baseline</w:t>
            </w:r>
          </w:p>
        </w:tc>
        <w:tc>
          <w:tcPr>
            <w:tcW w:w="1560" w:type="dxa"/>
            <w:vAlign w:val="center"/>
          </w:tcPr>
          <w:p w:rsidR="00BF7867" w:rsidRPr="00EC2BC6" w:rsidRDefault="00AF2D23">
            <w:pPr>
              <w:jc w:val="left"/>
              <w:rPr>
                <w:sz w:val="20"/>
              </w:rPr>
            </w:pPr>
            <w:r w:rsidRPr="00EC2BC6">
              <w:rPr>
                <w:b w:val="0"/>
                <w:sz w:val="20"/>
              </w:rPr>
              <w:t>spectral slope only</w:t>
            </w:r>
          </w:p>
        </w:tc>
        <w:tc>
          <w:tcPr>
            <w:tcW w:w="1560" w:type="dxa"/>
            <w:vAlign w:val="center"/>
          </w:tcPr>
          <w:p w:rsidR="00BF7867" w:rsidRPr="00EC2BC6" w:rsidRDefault="00AF2D23">
            <w:pPr>
              <w:jc w:val="left"/>
              <w:rPr>
                <w:sz w:val="20"/>
              </w:rPr>
            </w:pPr>
            <w:r w:rsidRPr="00EC2BC6">
              <w:rPr>
                <w:b w:val="0"/>
                <w:sz w:val="20"/>
              </w:rPr>
              <w:t>177</w:t>
            </w:r>
          </w:p>
        </w:tc>
        <w:tc>
          <w:tcPr>
            <w:tcW w:w="1560" w:type="dxa"/>
            <w:vAlign w:val="center"/>
          </w:tcPr>
          <w:p w:rsidR="00BF7867" w:rsidRPr="00EC2BC6" w:rsidRDefault="00AF2D23">
            <w:pPr>
              <w:jc w:val="left"/>
              <w:rPr>
                <w:sz w:val="20"/>
              </w:rPr>
            </w:pPr>
            <w:r w:rsidRPr="00EC2BC6">
              <w:rPr>
                <w:b w:val="0"/>
                <w:sz w:val="20"/>
              </w:rPr>
              <w:t>41.8%</w:t>
            </w:r>
          </w:p>
        </w:tc>
        <w:tc>
          <w:tcPr>
            <w:tcW w:w="1560" w:type="dxa"/>
            <w:vAlign w:val="center"/>
          </w:tcPr>
          <w:p w:rsidR="00BF7867" w:rsidRPr="00EC2BC6" w:rsidRDefault="00AF2D23">
            <w:pPr>
              <w:jc w:val="left"/>
              <w:rPr>
                <w:sz w:val="20"/>
              </w:rPr>
            </w:pPr>
            <w:r w:rsidRPr="00EC2BC6">
              <w:rPr>
                <w:b w:val="0"/>
                <w:sz w:val="20"/>
              </w:rPr>
              <w:t>-3.774</w:t>
            </w:r>
          </w:p>
        </w:tc>
        <w:tc>
          <w:tcPr>
            <w:tcW w:w="1560" w:type="dxa"/>
            <w:vAlign w:val="center"/>
          </w:tcPr>
          <w:p w:rsidR="00BF7867" w:rsidRPr="00EC2BC6" w:rsidRDefault="00AF2D23">
            <w:pPr>
              <w:jc w:val="left"/>
              <w:rPr>
                <w:sz w:val="20"/>
              </w:rPr>
            </w:pPr>
            <w:r w:rsidRPr="00EC2BC6">
              <w:rPr>
                <w:b w:val="0"/>
                <w:sz w:val="20"/>
              </w:rPr>
              <w:t>High false-safe rate</w:t>
            </w:r>
          </w:p>
        </w:tc>
      </w:tr>
    </w:tbl>
    <w:p w:rsidR="00AF2D23" w:rsidRDefault="00AF2D23">
      <w:pPr>
        <w:jc w:val="both"/>
      </w:pPr>
      <w:r>
        <w:rPr>
          <w:b w:val="0"/>
          <w:sz w:val="22"/>
        </w:rPr>
        <w:t>Figure 2d summarizes the decision-value loss-ratio sweep and selective-abstention audit.</w:t>
      </w:r>
    </w:p>
    <w:p w:rsidR="00BF7867" w:rsidRPr="00AF2D23" w:rsidRDefault="00AF2D23">
      <w:pPr>
        <w:keepNext/>
        <w:jc w:val="both"/>
        <w:rPr>
          <w:sz w:val="20"/>
        </w:rPr>
      </w:pPr>
      <w:r w:rsidRPr="00AF2D23">
        <w:rPr>
          <w:b w:val="0"/>
          <w:sz w:val="22"/>
        </w:rPr>
        <w:t>Figure 2d. Decision-value loss-ratio sweep and selective-abstention audit.</w:t>
      </w:r>
    </w:p>
    <w:p w:rsidR="00BF7867" w:rsidRDefault="00AF2D23">
      <w:pPr>
        <w:pStyle w:val="Heading1"/>
        <w:jc w:val="both"/>
      </w:pPr>
      <w:r>
        <w:rPr>
          <w:sz w:val="22"/>
        </w:rPr>
        <w:t>8.11 Failure-mode atlas and empirical guardrails</w:t>
      </w:r>
    </w:p>
    <w:p w:rsidR="00BF7867" w:rsidRDefault="00AF2D23">
      <w:pPr>
        <w:jc w:val="both"/>
      </w:pPr>
      <w:r>
        <w:rPr>
          <w:sz w:val="22"/>
        </w:rPr>
        <w:t>A final safety-oriented audit was added to identify where the screening map fails and how those failures can be guarded against. The audit classifies FoRDy/FoRCy proxy rows into correct robust, correct marginal, false-conservative, false-safe and other error modes, then maps those modes back onto the λ-Rᵥ Demand-Polarity plane.</w:t>
      </w:r>
    </w:p>
    <w:p w:rsidR="00BF7867" w:rsidRDefault="00AF2D23">
      <w:pPr>
        <w:jc w:val="both"/>
      </w:pPr>
      <w:r>
        <w:rPr>
          <w:sz w:val="22"/>
        </w:rPr>
        <w:t>The 13 observed false-safe cases concentrate in low-margin beneficial releases, with median λ = 1.017, median Rᵥ = 0.58 and median map margin = 0.445; 10 of the 13 occur in FoRDy. A simple admissible guardrail therefore abstains from releasing cases as both-beneficial when the release margin is low. This guardrail uses only map-derived quantities, not observed displacement, settlement or class labels.</w:t>
      </w:r>
    </w:p>
    <w:p w:rsidR="00BF7867" w:rsidRDefault="00AF2D23">
      <w:pPr>
        <w:jc w:val="both"/>
      </w:pPr>
      <w:r>
        <w:rPr>
          <w:sz w:val="22"/>
        </w:rPr>
        <w:t>Applied to the FoRDy/FoRCy proxy layer, the low-margin release guardrail reduces observed false-safe releases from 13 to 0, lowering the false-safe rate from 2.0% to 0.0%. The cost is escalating or abstaining on 3.85% of all cases and retaining 58.6% of true safe releases. This result is interpreted as a safety guardrail for screening use, not as an additional physical response predictor.</w:t>
      </w:r>
    </w:p>
    <w:p w:rsidR="00AF2D23" w:rsidRDefault="00AF2D23">
      <w:pPr>
        <w:jc w:val="both"/>
      </w:pPr>
      <w:r>
        <w:rPr>
          <w:b w:val="0"/>
          <w:sz w:val="22"/>
        </w:rPr>
        <w:t>Table 14 reports the failure-mode atlas and low-margin guardrail audit.</w:t>
      </w:r>
    </w:p>
    <w:p w:rsidR="00BF7867" w:rsidRPr="00AF2D23" w:rsidRDefault="00AF2D23">
      <w:pPr>
        <w:keepNext/>
        <w:jc w:val="center"/>
        <w:rPr>
          <w:sz w:val="20"/>
        </w:rPr>
      </w:pPr>
      <w:r w:rsidRPr="00AF2D23">
        <w:rPr>
          <w:b w:val="0"/>
          <w:sz w:val="22"/>
        </w:rPr>
        <w:t>Table 14. Failure-mode atlas and low-margin guardrail audit.</w:t>
      </w:r>
    </w:p>
    <w:tbl>
      <w:tblPr>
        <w:tblStyle w:val="PlainTable2"/>
        <w:tblW w:w="0" w:type="auto"/>
        <w:jc w:val="center"/>
        <w:tblLook w:val="0420" w:firstRow="1" w:lastRow="0" w:firstColumn="0" w:lastColumn="0" w:noHBand="0" w:noVBand="1"/>
      </w:tblPr>
      <w:tblGrid>
        <w:gridCol w:w="1337"/>
        <w:gridCol w:w="1337"/>
        <w:gridCol w:w="1337"/>
        <w:gridCol w:w="1337"/>
        <w:gridCol w:w="1337"/>
        <w:gridCol w:w="1337"/>
        <w:gridCol w:w="1337"/>
      </w:tblGrid>
      <w:tr w:rsidR="00BF7867" w:rsidRPr="00EC2BC6" w:rsidTr="00EC2BC6">
        <w:trPr>
          <w:cnfStyle w:val="100000000000" w:firstRow="1" w:lastRow="0" w:firstColumn="0" w:lastColumn="0" w:oddVBand="0" w:evenVBand="0" w:oddHBand="0" w:evenHBand="0" w:firstRowFirstColumn="0" w:firstRowLastColumn="0" w:lastRowFirstColumn="0" w:lastRowLastColumn="0"/>
          <w:tblHeader w:val="true"/>
        </w:trPr>
        <w:tc>
          <w:tcPr>
            <w:tcW w:w="1337" w:type="dxa"/>
            <w:vAlign w:val="center"/>
          </w:tcPr>
          <w:p w:rsidR="00BF7867" w:rsidRPr="00EC2BC6" w:rsidRDefault="00AF2D23">
            <w:pPr>
              <w:jc w:val="left"/>
              <w:rPr>
                <w:sz w:val="20"/>
              </w:rPr>
            </w:pPr>
            <w:r w:rsidRPr="00EC2BC6">
              <w:rPr>
                <w:b/>
                <w:sz w:val="20"/>
              </w:rPr>
              <w:t>Guardrail</w:t>
            </w:r>
          </w:p>
        </w:tc>
        <w:tc>
          <w:tcPr>
            <w:tcW w:w="1337" w:type="dxa"/>
            <w:vAlign w:val="center"/>
          </w:tcPr>
          <w:p w:rsidR="00BF7867" w:rsidRPr="00EC2BC6" w:rsidRDefault="00AF2D23">
            <w:pPr>
              <w:jc w:val="left"/>
              <w:rPr>
                <w:sz w:val="20"/>
              </w:rPr>
            </w:pPr>
            <w:r w:rsidRPr="00EC2BC6">
              <w:rPr>
                <w:b/>
                <w:sz w:val="20"/>
              </w:rPr>
              <w:t>Abstention</w:t>
            </w:r>
          </w:p>
        </w:tc>
        <w:tc>
          <w:tcPr>
            <w:tcW w:w="1337" w:type="dxa"/>
            <w:vAlign w:val="center"/>
          </w:tcPr>
          <w:p w:rsidR="00BF7867" w:rsidRPr="00EC2BC6" w:rsidRDefault="00AF2D23">
            <w:pPr>
              <w:jc w:val="left"/>
              <w:rPr>
                <w:sz w:val="20"/>
              </w:rPr>
            </w:pPr>
            <w:r w:rsidRPr="00EC2BC6">
              <w:rPr>
                <w:b/>
                <w:sz w:val="20"/>
              </w:rPr>
              <w:t>Released after</w:t>
            </w:r>
          </w:p>
        </w:tc>
        <w:tc>
          <w:tcPr>
            <w:tcW w:w="1337" w:type="dxa"/>
            <w:vAlign w:val="center"/>
          </w:tcPr>
          <w:p w:rsidR="00BF7867" w:rsidRPr="00EC2BC6" w:rsidRDefault="00AF2D23">
            <w:pPr>
              <w:jc w:val="left"/>
              <w:rPr>
                <w:sz w:val="20"/>
              </w:rPr>
            </w:pPr>
            <w:r w:rsidRPr="00EC2BC6">
              <w:rPr>
                <w:b/>
                <w:sz w:val="20"/>
              </w:rPr>
              <w:t>False-safe after</w:t>
            </w:r>
          </w:p>
        </w:tc>
        <w:tc>
          <w:tcPr>
            <w:tcW w:w="1337" w:type="dxa"/>
            <w:vAlign w:val="center"/>
          </w:tcPr>
          <w:p w:rsidR="00BF7867" w:rsidRPr="00EC2BC6" w:rsidRDefault="00AF2D23">
            <w:pPr>
              <w:jc w:val="left"/>
              <w:rPr>
                <w:sz w:val="20"/>
              </w:rPr>
            </w:pPr>
            <w:r w:rsidRPr="00EC2BC6">
              <w:rPr>
                <w:b/>
                <w:sz w:val="20"/>
              </w:rPr>
              <w:t>False-safe all-case</w:t>
            </w:r>
          </w:p>
        </w:tc>
        <w:tc>
          <w:tcPr>
            <w:tcW w:w="1337" w:type="dxa"/>
            <w:vAlign w:val="center"/>
          </w:tcPr>
          <w:p w:rsidR="00BF7867" w:rsidRPr="00EC2BC6" w:rsidRDefault="00AF2D23">
            <w:pPr>
              <w:jc w:val="left"/>
              <w:rPr>
                <w:sz w:val="20"/>
              </w:rPr>
            </w:pPr>
            <w:r w:rsidRPr="00EC2BC6">
              <w:rPr>
                <w:b/>
                <w:sz w:val="20"/>
              </w:rPr>
              <w:t>Safe-release retention</w:t>
            </w:r>
          </w:p>
        </w:tc>
        <w:tc>
          <w:tcPr>
            <w:tcW w:w="1337" w:type="dxa"/>
            <w:vAlign w:val="center"/>
          </w:tcPr>
          <w:p w:rsidR="00BF7867" w:rsidRPr="00EC2BC6" w:rsidRDefault="00AF2D23">
            <w:pPr>
              <w:jc w:val="left"/>
              <w:rPr>
                <w:sz w:val="20"/>
              </w:rPr>
            </w:pPr>
            <w:r w:rsidRPr="00EC2BC6">
              <w:rPr>
                <w:b/>
                <w:sz w:val="20"/>
              </w:rPr>
              <w:t>Cost per false-safe removed</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337" w:type="dxa"/>
            <w:vAlign w:val="center"/>
          </w:tcPr>
          <w:p w:rsidR="00BF7867" w:rsidRPr="00EC2BC6" w:rsidRDefault="00AF2D23">
            <w:pPr>
              <w:jc w:val="left"/>
              <w:rPr>
                <w:sz w:val="20"/>
              </w:rPr>
            </w:pPr>
            <w:r w:rsidRPr="00EC2BC6">
              <w:rPr>
                <w:b w:val="0"/>
                <w:sz w:val="20"/>
              </w:rPr>
              <w:t>none</w:t>
            </w:r>
          </w:p>
        </w:tc>
        <w:tc>
          <w:tcPr>
            <w:tcW w:w="1337" w:type="dxa"/>
            <w:vAlign w:val="center"/>
          </w:tcPr>
          <w:p w:rsidR="00BF7867" w:rsidRPr="00EC2BC6" w:rsidRDefault="00AF2D23">
            <w:pPr>
              <w:jc w:val="left"/>
              <w:rPr>
                <w:sz w:val="20"/>
              </w:rPr>
            </w:pPr>
            <w:r w:rsidRPr="00EC2BC6">
              <w:rPr>
                <w:b w:val="0"/>
                <w:sz w:val="20"/>
              </w:rPr>
              <w:t>0.0%</w:t>
            </w:r>
          </w:p>
        </w:tc>
        <w:tc>
          <w:tcPr>
            <w:tcW w:w="1337" w:type="dxa"/>
            <w:vAlign w:val="center"/>
          </w:tcPr>
          <w:p w:rsidR="00BF7867" w:rsidRPr="00EC2BC6" w:rsidRDefault="00AF2D23">
            <w:pPr>
              <w:jc w:val="left"/>
              <w:rPr>
                <w:sz w:val="20"/>
              </w:rPr>
            </w:pPr>
            <w:r w:rsidRPr="00EC2BC6">
              <w:rPr>
                <w:b w:val="0"/>
                <w:sz w:val="20"/>
              </w:rPr>
              <w:t>42</w:t>
            </w:r>
          </w:p>
        </w:tc>
        <w:tc>
          <w:tcPr>
            <w:tcW w:w="1337" w:type="dxa"/>
            <w:vAlign w:val="center"/>
          </w:tcPr>
          <w:p w:rsidR="00BF7867" w:rsidRPr="00EC2BC6" w:rsidRDefault="00AF2D23">
            <w:pPr>
              <w:jc w:val="left"/>
              <w:rPr>
                <w:sz w:val="20"/>
              </w:rPr>
            </w:pPr>
            <w:r w:rsidRPr="00EC2BC6">
              <w:rPr>
                <w:b w:val="0"/>
                <w:sz w:val="20"/>
              </w:rPr>
              <w:t>13</w:t>
            </w:r>
          </w:p>
        </w:tc>
        <w:tc>
          <w:tcPr>
            <w:tcW w:w="1337" w:type="dxa"/>
            <w:vAlign w:val="center"/>
          </w:tcPr>
          <w:p w:rsidR="00BF7867" w:rsidRPr="00EC2BC6" w:rsidRDefault="00AF2D23">
            <w:pPr>
              <w:jc w:val="left"/>
              <w:rPr>
                <w:sz w:val="20"/>
              </w:rPr>
            </w:pPr>
            <w:r w:rsidRPr="00EC2BC6">
              <w:rPr>
                <w:b w:val="0"/>
                <w:sz w:val="20"/>
              </w:rPr>
              <w:t>2.00%</w:t>
            </w:r>
          </w:p>
        </w:tc>
        <w:tc>
          <w:tcPr>
            <w:tcW w:w="1337" w:type="dxa"/>
            <w:vAlign w:val="center"/>
          </w:tcPr>
          <w:p w:rsidR="00BF7867" w:rsidRPr="00EC2BC6" w:rsidRDefault="00AF2D23">
            <w:pPr>
              <w:jc w:val="left"/>
              <w:rPr>
                <w:sz w:val="20"/>
              </w:rPr>
            </w:pPr>
            <w:r w:rsidRPr="00EC2BC6">
              <w:rPr>
                <w:b w:val="0"/>
                <w:sz w:val="20"/>
              </w:rPr>
              <w:t>100.0%</w:t>
            </w:r>
          </w:p>
        </w:tc>
        <w:tc>
          <w:tcPr>
            <w:tcW w:w="1337" w:type="dxa"/>
            <w:vAlign w:val="center"/>
          </w:tcPr>
          <w:p w:rsidR="00BF7867" w:rsidRPr="00EC2BC6" w:rsidRDefault="00AF2D23">
            <w:pPr>
              <w:jc w:val="left"/>
              <w:rPr>
                <w:sz w:val="20"/>
              </w:rPr>
            </w:pPr>
            <w:r w:rsidRPr="00EC2BC6">
              <w:rPr>
                <w:b w:val="0"/>
                <w:sz w:val="20"/>
              </w:rPr>
              <w:t>0.000</w:t>
            </w:r>
          </w:p>
        </w:tc>
      </w:tr>
      <w:tr w:rsidR="00BF7867" w:rsidRPr="00EC2BC6" w:rsidTr="00EC2BC6">
        <w:tc>
          <w:tcPr>
            <w:tcW w:w="1337" w:type="dxa"/>
            <w:vAlign w:val="center"/>
          </w:tcPr>
          <w:p w:rsidR="00BF7867" w:rsidRPr="00EC2BC6" w:rsidRDefault="00AF2D23">
            <w:pPr>
              <w:jc w:val="left"/>
              <w:rPr>
                <w:sz w:val="20"/>
              </w:rPr>
            </w:pPr>
            <w:r w:rsidRPr="00EC2BC6">
              <w:rPr>
                <w:b w:val="0"/>
                <w:sz w:val="20"/>
              </w:rPr>
              <w:t>release low margin</w:t>
            </w:r>
          </w:p>
        </w:tc>
        <w:tc>
          <w:tcPr>
            <w:tcW w:w="1337" w:type="dxa"/>
            <w:vAlign w:val="center"/>
          </w:tcPr>
          <w:p w:rsidR="00BF7867" w:rsidRPr="00EC2BC6" w:rsidRDefault="00AF2D23">
            <w:pPr>
              <w:jc w:val="left"/>
              <w:rPr>
                <w:sz w:val="20"/>
              </w:rPr>
            </w:pPr>
            <w:r w:rsidRPr="00EC2BC6">
              <w:rPr>
                <w:b w:val="0"/>
                <w:sz w:val="20"/>
              </w:rPr>
              <w:t>3.8%</w:t>
            </w:r>
          </w:p>
        </w:tc>
        <w:tc>
          <w:tcPr>
            <w:tcW w:w="1337" w:type="dxa"/>
            <w:vAlign w:val="center"/>
          </w:tcPr>
          <w:p w:rsidR="00BF7867" w:rsidRPr="00EC2BC6" w:rsidRDefault="00AF2D23">
            <w:pPr>
              <w:jc w:val="left"/>
              <w:rPr>
                <w:sz w:val="20"/>
              </w:rPr>
            </w:pPr>
            <w:r w:rsidRPr="00EC2BC6">
              <w:rPr>
                <w:b w:val="0"/>
                <w:sz w:val="20"/>
              </w:rPr>
              <w:t>17</w:t>
            </w:r>
          </w:p>
        </w:tc>
        <w:tc>
          <w:tcPr>
            <w:tcW w:w="1337" w:type="dxa"/>
            <w:vAlign w:val="center"/>
          </w:tcPr>
          <w:p w:rsidR="00BF7867" w:rsidRPr="00EC2BC6" w:rsidRDefault="00AF2D23">
            <w:pPr>
              <w:jc w:val="left"/>
              <w:rPr>
                <w:sz w:val="20"/>
              </w:rPr>
            </w:pPr>
            <w:r w:rsidRPr="00EC2BC6">
              <w:rPr>
                <w:b w:val="0"/>
                <w:sz w:val="20"/>
              </w:rPr>
              <w:t>0</w:t>
            </w:r>
          </w:p>
        </w:tc>
        <w:tc>
          <w:tcPr>
            <w:tcW w:w="1337" w:type="dxa"/>
            <w:vAlign w:val="center"/>
          </w:tcPr>
          <w:p w:rsidR="00BF7867" w:rsidRPr="00EC2BC6" w:rsidRDefault="00AF2D23">
            <w:pPr>
              <w:jc w:val="left"/>
              <w:rPr>
                <w:sz w:val="20"/>
              </w:rPr>
            </w:pPr>
            <w:r w:rsidRPr="00EC2BC6">
              <w:rPr>
                <w:b w:val="0"/>
                <w:sz w:val="20"/>
              </w:rPr>
              <w:t>0.00%</w:t>
            </w:r>
          </w:p>
        </w:tc>
        <w:tc>
          <w:tcPr>
            <w:tcW w:w="1337" w:type="dxa"/>
            <w:vAlign w:val="center"/>
          </w:tcPr>
          <w:p w:rsidR="00BF7867" w:rsidRPr="00EC2BC6" w:rsidRDefault="00AF2D23">
            <w:pPr>
              <w:jc w:val="left"/>
              <w:rPr>
                <w:sz w:val="20"/>
              </w:rPr>
            </w:pPr>
            <w:r w:rsidRPr="00EC2BC6">
              <w:rPr>
                <w:b w:val="0"/>
                <w:sz w:val="20"/>
              </w:rPr>
              <w:t>58.6%</w:t>
            </w:r>
          </w:p>
        </w:tc>
        <w:tc>
          <w:tcPr>
            <w:tcW w:w="1337" w:type="dxa"/>
            <w:vAlign w:val="center"/>
          </w:tcPr>
          <w:p w:rsidR="00BF7867" w:rsidRPr="00EC2BC6" w:rsidRDefault="00AF2D23">
            <w:pPr>
              <w:jc w:val="left"/>
              <w:rPr>
                <w:sz w:val="20"/>
              </w:rPr>
            </w:pPr>
            <w:r w:rsidRPr="00EC2BC6">
              <w:rPr>
                <w:b w:val="0"/>
                <w:sz w:val="20"/>
              </w:rPr>
              <w:t>1.923</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337" w:type="dxa"/>
            <w:vAlign w:val="center"/>
          </w:tcPr>
          <w:p w:rsidR="00BF7867" w:rsidRPr="00EC2BC6" w:rsidRDefault="00AF2D23">
            <w:pPr>
              <w:jc w:val="left"/>
              <w:rPr>
                <w:sz w:val="20"/>
              </w:rPr>
            </w:pPr>
            <w:r>
              <w:rPr>
                <w:b w:val="0"/>
                <w:sz w:val="20"/>
              </w:rPr>
              <w:t>release low margin or high λ</w:t>
            </w:r>
          </w:p>
        </w:tc>
        <w:tc>
          <w:tcPr>
            <w:tcW w:w="1337" w:type="dxa"/>
            <w:vAlign w:val="center"/>
          </w:tcPr>
          <w:p w:rsidR="00BF7867" w:rsidRPr="00EC2BC6" w:rsidRDefault="00AF2D23">
            <w:pPr>
              <w:jc w:val="left"/>
              <w:rPr>
                <w:sz w:val="20"/>
              </w:rPr>
            </w:pPr>
            <w:r w:rsidRPr="00EC2BC6">
              <w:rPr>
                <w:b w:val="0"/>
                <w:sz w:val="20"/>
              </w:rPr>
              <w:t>3.8%</w:t>
            </w:r>
          </w:p>
        </w:tc>
        <w:tc>
          <w:tcPr>
            <w:tcW w:w="1337" w:type="dxa"/>
            <w:vAlign w:val="center"/>
          </w:tcPr>
          <w:p w:rsidR="00BF7867" w:rsidRPr="00EC2BC6" w:rsidRDefault="00AF2D23">
            <w:pPr>
              <w:jc w:val="left"/>
              <w:rPr>
                <w:sz w:val="20"/>
              </w:rPr>
            </w:pPr>
            <w:r w:rsidRPr="00EC2BC6">
              <w:rPr>
                <w:b w:val="0"/>
                <w:sz w:val="20"/>
              </w:rPr>
              <w:t>17</w:t>
            </w:r>
          </w:p>
        </w:tc>
        <w:tc>
          <w:tcPr>
            <w:tcW w:w="1337" w:type="dxa"/>
            <w:vAlign w:val="center"/>
          </w:tcPr>
          <w:p w:rsidR="00BF7867" w:rsidRPr="00EC2BC6" w:rsidRDefault="00AF2D23">
            <w:pPr>
              <w:jc w:val="left"/>
              <w:rPr>
                <w:sz w:val="20"/>
              </w:rPr>
            </w:pPr>
            <w:r w:rsidRPr="00EC2BC6">
              <w:rPr>
                <w:b w:val="0"/>
                <w:sz w:val="20"/>
              </w:rPr>
              <w:t>0</w:t>
            </w:r>
          </w:p>
        </w:tc>
        <w:tc>
          <w:tcPr>
            <w:tcW w:w="1337" w:type="dxa"/>
            <w:vAlign w:val="center"/>
          </w:tcPr>
          <w:p w:rsidR="00BF7867" w:rsidRPr="00EC2BC6" w:rsidRDefault="00AF2D23">
            <w:pPr>
              <w:jc w:val="left"/>
              <w:rPr>
                <w:sz w:val="20"/>
              </w:rPr>
            </w:pPr>
            <w:r w:rsidRPr="00EC2BC6">
              <w:rPr>
                <w:b w:val="0"/>
                <w:sz w:val="20"/>
              </w:rPr>
              <w:t>0.00%</w:t>
            </w:r>
          </w:p>
        </w:tc>
        <w:tc>
          <w:tcPr>
            <w:tcW w:w="1337" w:type="dxa"/>
            <w:vAlign w:val="center"/>
          </w:tcPr>
          <w:p w:rsidR="00BF7867" w:rsidRPr="00EC2BC6" w:rsidRDefault="00AF2D23">
            <w:pPr>
              <w:jc w:val="left"/>
              <w:rPr>
                <w:sz w:val="20"/>
              </w:rPr>
            </w:pPr>
            <w:r w:rsidRPr="00EC2BC6">
              <w:rPr>
                <w:b w:val="0"/>
                <w:sz w:val="20"/>
              </w:rPr>
              <w:t>58.6%</w:t>
            </w:r>
          </w:p>
        </w:tc>
        <w:tc>
          <w:tcPr>
            <w:tcW w:w="1337" w:type="dxa"/>
            <w:vAlign w:val="center"/>
          </w:tcPr>
          <w:p w:rsidR="00BF7867" w:rsidRPr="00EC2BC6" w:rsidRDefault="00AF2D23">
            <w:pPr>
              <w:jc w:val="left"/>
              <w:rPr>
                <w:sz w:val="20"/>
              </w:rPr>
            </w:pPr>
            <w:r w:rsidRPr="00EC2BC6">
              <w:rPr>
                <w:b w:val="0"/>
                <w:sz w:val="20"/>
              </w:rPr>
              <w:t>1.923</w:t>
            </w:r>
          </w:p>
        </w:tc>
      </w:tr>
      <w:tr w:rsidR="00BF7867" w:rsidRPr="00EC2BC6" w:rsidTr="00EC2BC6">
        <w:tc>
          <w:tcPr>
            <w:tcW w:w="1337" w:type="dxa"/>
            <w:vAlign w:val="center"/>
          </w:tcPr>
          <w:p w:rsidR="00BF7867" w:rsidRPr="00EC2BC6" w:rsidRDefault="00AF2D23">
            <w:pPr>
              <w:jc w:val="left"/>
              <w:rPr>
                <w:sz w:val="20"/>
              </w:rPr>
            </w:pPr>
            <w:r w:rsidRPr="00EC2BC6">
              <w:rPr>
                <w:b w:val="0"/>
                <w:sz w:val="20"/>
              </w:rPr>
              <w:t>low margin</w:t>
            </w:r>
          </w:p>
        </w:tc>
        <w:tc>
          <w:tcPr>
            <w:tcW w:w="1337" w:type="dxa"/>
            <w:vAlign w:val="center"/>
          </w:tcPr>
          <w:p w:rsidR="00BF7867" w:rsidRPr="00EC2BC6" w:rsidRDefault="00AF2D23">
            <w:pPr>
              <w:jc w:val="left"/>
              <w:rPr>
                <w:sz w:val="20"/>
              </w:rPr>
            </w:pPr>
            <w:r w:rsidRPr="00EC2BC6">
              <w:rPr>
                <w:b w:val="0"/>
                <w:sz w:val="20"/>
              </w:rPr>
              <w:t>85.5%</w:t>
            </w:r>
          </w:p>
        </w:tc>
        <w:tc>
          <w:tcPr>
            <w:tcW w:w="1337" w:type="dxa"/>
            <w:vAlign w:val="center"/>
          </w:tcPr>
          <w:p w:rsidR="00BF7867" w:rsidRPr="00EC2BC6" w:rsidRDefault="00AF2D23">
            <w:pPr>
              <w:jc w:val="left"/>
              <w:rPr>
                <w:sz w:val="20"/>
              </w:rPr>
            </w:pPr>
            <w:r w:rsidRPr="00EC2BC6">
              <w:rPr>
                <w:b w:val="0"/>
                <w:sz w:val="20"/>
              </w:rPr>
              <w:t>30</w:t>
            </w:r>
          </w:p>
        </w:tc>
        <w:tc>
          <w:tcPr>
            <w:tcW w:w="1337" w:type="dxa"/>
            <w:vAlign w:val="center"/>
          </w:tcPr>
          <w:p w:rsidR="00BF7867" w:rsidRPr="00EC2BC6" w:rsidRDefault="00AF2D23">
            <w:pPr>
              <w:jc w:val="left"/>
              <w:rPr>
                <w:sz w:val="20"/>
              </w:rPr>
            </w:pPr>
            <w:r w:rsidRPr="00EC2BC6">
              <w:rPr>
                <w:b w:val="0"/>
                <w:sz w:val="20"/>
              </w:rPr>
              <w:t>6</w:t>
            </w:r>
          </w:p>
        </w:tc>
        <w:tc>
          <w:tcPr>
            <w:tcW w:w="1337" w:type="dxa"/>
            <w:vAlign w:val="center"/>
          </w:tcPr>
          <w:p w:rsidR="00BF7867" w:rsidRPr="00EC2BC6" w:rsidRDefault="00AF2D23">
            <w:pPr>
              <w:jc w:val="left"/>
              <w:rPr>
                <w:sz w:val="20"/>
              </w:rPr>
            </w:pPr>
            <w:r w:rsidRPr="00EC2BC6">
              <w:rPr>
                <w:b w:val="0"/>
                <w:sz w:val="20"/>
              </w:rPr>
              <w:t>0.92%</w:t>
            </w:r>
          </w:p>
        </w:tc>
        <w:tc>
          <w:tcPr>
            <w:tcW w:w="1337" w:type="dxa"/>
            <w:vAlign w:val="center"/>
          </w:tcPr>
          <w:p w:rsidR="00BF7867" w:rsidRPr="00EC2BC6" w:rsidRDefault="00AF2D23">
            <w:pPr>
              <w:jc w:val="left"/>
              <w:rPr>
                <w:sz w:val="20"/>
              </w:rPr>
            </w:pPr>
            <w:r w:rsidRPr="00EC2BC6">
              <w:rPr>
                <w:b w:val="0"/>
                <w:sz w:val="20"/>
              </w:rPr>
              <w:t>82.8%</w:t>
            </w:r>
          </w:p>
        </w:tc>
        <w:tc>
          <w:tcPr>
            <w:tcW w:w="1337" w:type="dxa"/>
            <w:vAlign w:val="center"/>
          </w:tcPr>
          <w:p w:rsidR="00BF7867" w:rsidRPr="00EC2BC6" w:rsidRDefault="00AF2D23">
            <w:pPr>
              <w:jc w:val="left"/>
              <w:rPr>
                <w:sz w:val="20"/>
              </w:rPr>
            </w:pPr>
            <w:r w:rsidRPr="00EC2BC6">
              <w:rPr>
                <w:b w:val="0"/>
                <w:sz w:val="20"/>
              </w:rPr>
              <w:t>79.429</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1337" w:type="dxa"/>
            <w:vAlign w:val="center"/>
          </w:tcPr>
          <w:p w:rsidR="00BF7867" w:rsidRPr="00EC2BC6" w:rsidRDefault="00AF2D23">
            <w:pPr>
              <w:jc w:val="left"/>
              <w:rPr>
                <w:sz w:val="20"/>
              </w:rPr>
            </w:pPr>
            <w:r>
              <w:rPr>
                <w:b w:val="0"/>
                <w:sz w:val="20"/>
              </w:rPr>
              <w:t>high λ</w:t>
            </w:r>
          </w:p>
        </w:tc>
        <w:tc>
          <w:tcPr>
            <w:tcW w:w="1337" w:type="dxa"/>
            <w:vAlign w:val="center"/>
          </w:tcPr>
          <w:p w:rsidR="00BF7867" w:rsidRPr="00EC2BC6" w:rsidRDefault="00AF2D23">
            <w:pPr>
              <w:jc w:val="left"/>
              <w:rPr>
                <w:sz w:val="20"/>
              </w:rPr>
            </w:pPr>
            <w:r w:rsidRPr="00EC2BC6">
              <w:rPr>
                <w:b w:val="0"/>
                <w:sz w:val="20"/>
              </w:rPr>
              <w:t>10.8%</w:t>
            </w:r>
          </w:p>
        </w:tc>
        <w:tc>
          <w:tcPr>
            <w:tcW w:w="1337" w:type="dxa"/>
            <w:vAlign w:val="center"/>
          </w:tcPr>
          <w:p w:rsidR="00BF7867" w:rsidRPr="00EC2BC6" w:rsidRDefault="00AF2D23">
            <w:pPr>
              <w:jc w:val="left"/>
              <w:rPr>
                <w:sz w:val="20"/>
              </w:rPr>
            </w:pPr>
            <w:r w:rsidRPr="00EC2BC6">
              <w:rPr>
                <w:b w:val="0"/>
                <w:sz w:val="20"/>
              </w:rPr>
              <w:t>42</w:t>
            </w:r>
          </w:p>
        </w:tc>
        <w:tc>
          <w:tcPr>
            <w:tcW w:w="1337" w:type="dxa"/>
            <w:vAlign w:val="center"/>
          </w:tcPr>
          <w:p w:rsidR="00BF7867" w:rsidRPr="00EC2BC6" w:rsidRDefault="00AF2D23">
            <w:pPr>
              <w:jc w:val="left"/>
              <w:rPr>
                <w:sz w:val="20"/>
              </w:rPr>
            </w:pPr>
            <w:r w:rsidRPr="00EC2BC6">
              <w:rPr>
                <w:b w:val="0"/>
                <w:sz w:val="20"/>
              </w:rPr>
              <w:t>13</w:t>
            </w:r>
          </w:p>
        </w:tc>
        <w:tc>
          <w:tcPr>
            <w:tcW w:w="1337" w:type="dxa"/>
            <w:vAlign w:val="center"/>
          </w:tcPr>
          <w:p w:rsidR="00BF7867" w:rsidRPr="00EC2BC6" w:rsidRDefault="00AF2D23">
            <w:pPr>
              <w:jc w:val="left"/>
              <w:rPr>
                <w:sz w:val="20"/>
              </w:rPr>
            </w:pPr>
            <w:r w:rsidRPr="00EC2BC6">
              <w:rPr>
                <w:b w:val="0"/>
                <w:sz w:val="20"/>
              </w:rPr>
              <w:t>2.00%</w:t>
            </w:r>
          </w:p>
        </w:tc>
        <w:tc>
          <w:tcPr>
            <w:tcW w:w="1337" w:type="dxa"/>
            <w:vAlign w:val="center"/>
          </w:tcPr>
          <w:p w:rsidR="00BF7867" w:rsidRPr="00EC2BC6" w:rsidRDefault="00AF2D23">
            <w:pPr>
              <w:jc w:val="left"/>
              <w:rPr>
                <w:sz w:val="20"/>
              </w:rPr>
            </w:pPr>
            <w:r w:rsidRPr="00EC2BC6">
              <w:rPr>
                <w:b w:val="0"/>
                <w:sz w:val="20"/>
              </w:rPr>
              <w:t>100.0%</w:t>
            </w:r>
          </w:p>
        </w:tc>
        <w:tc>
          <w:tcPr>
            <w:tcW w:w="1337" w:type="dxa"/>
            <w:vAlign w:val="center"/>
          </w:tcPr>
          <w:p w:rsidR="00BF7867" w:rsidRPr="00EC2BC6" w:rsidRDefault="00AF2D23">
            <w:pPr>
              <w:jc w:val="left"/>
              <w:rPr>
                <w:sz w:val="20"/>
              </w:rPr>
            </w:pPr>
            <w:r w:rsidRPr="00EC2BC6">
              <w:rPr>
                <w:b w:val="0"/>
                <w:sz w:val="20"/>
              </w:rPr>
              <w:t>70.000</w:t>
            </w:r>
          </w:p>
        </w:tc>
      </w:tr>
    </w:tbl>
    <w:p w:rsidR="00AF2D23" w:rsidRDefault="00AF2D23">
      <w:pPr>
        <w:jc w:val="both"/>
      </w:pPr>
      <w:r>
        <w:rPr>
          <w:b w:val="0"/>
          <w:sz w:val="22"/>
        </w:rPr>
        <w:t>Figure 2e shows the failure-mode atlas on the Demand-Polarity Map and the associated guardrail tradeoff.</w:t>
      </w:r>
    </w:p>
    <w:p w:rsidR="00BF7867" w:rsidRPr="00AF2D23" w:rsidRDefault="00AF2D23">
      <w:pPr>
        <w:keepNext/>
        <w:jc w:val="both"/>
        <w:rPr>
          <w:sz w:val="20"/>
        </w:rPr>
      </w:pPr>
      <w:r w:rsidRPr="00AF2D23">
        <w:rPr>
          <w:b w:val="0"/>
          <w:sz w:val="22"/>
        </w:rPr>
        <w:t>Figure 2e. Failure-mode atlas on the Demand-Polarity Map and guardrail tradeoff.</w:t>
      </w:r>
    </w:p>
    <w:p w:rsidR="00BF7867" w:rsidRDefault="00AF2D23">
      <w:pPr>
        <w:pStyle w:val="Heading1"/>
        <w:jc w:val="both"/>
      </w:pPr>
      <w:r>
        <w:rPr>
          <w:sz w:val="22"/>
        </w:rPr>
        <w:t>8.12 External FLIQ liquefaction-oriented false-safe audit</w:t>
      </w:r>
    </w:p>
    <w:p w:rsidR="00BF7867" w:rsidRDefault="00AF2D23">
      <w:pPr>
        <w:jc w:val="both"/>
      </w:pPr>
      <w:r>
        <w:rPr>
          <w:sz w:val="22"/>
        </w:rPr>
        <w:t>As a secondary external check, the public FLIQ foundation and ground performance in liquefaction experiments database was added as a false-safe audit. FLIQ contains centrifuge case histories for shallow foundations and liquefaction-oriented soil-foundation interaction, with consistently tabulated base motion, surface motion, settlement and rotation quantities (Allmond et al., 2015). This layer is deliberately framed as a displacement/settlement risk audit rather than as nonlinear 3D response-history validation.</w:t>
      </w:r>
    </w:p>
    <w:p w:rsidR="00BF7867" w:rsidRDefault="00AF2D23">
      <w:pPr>
        <w:jc w:val="both"/>
      </w:pPr>
      <w:r>
        <w:rPr>
          <w:sz w:val="22"/>
        </w:rPr>
        <w:t>The audit asks a narrow screening question: when acceleration-side response appears beneficial, does the case nevertheless show settlement or rotation penalties? From 405 FLIQ rows, 241 structural rows had sufficient base acceleration, surface acceleration, settlement and rotation quantities for the audit. Only three rows showed apparent acceleration-side benefit using the surface/base PGA proxy, and all three were false-safe under the settlement/rotation penalty definition. A pre-response guardrail using only input intensity and structural descriptors reduced the all-case false-safe rate to 8.7%, with 73.8% recall of settlement/rotation penalty cases and 77.9% safe precision.</w:t>
      </w:r>
    </w:p>
    <w:p w:rsidR="00BF7867" w:rsidRDefault="00AF2D23">
      <w:pPr>
        <w:jc w:val="both"/>
      </w:pPr>
      <w:r>
        <w:rPr>
          <w:sz w:val="22"/>
        </w:rPr>
        <w:t>This FLIQ layer supports the intended screening interpretation: acceleration or force-side benefit alone is not a sufficient safety release when settlement and rotation penalties are possible. It is used only as an external liquefaction-oriented false-safe audit; it does not replace the FoRDy/FoRCy proxy validation and does not establish nonlinear 3D site-specific predictive validation.</w:t>
      </w:r>
    </w:p>
    <w:p w:rsidR="00AF2D23" w:rsidRDefault="00AF2D23">
      <w:pPr>
        <w:jc w:val="both"/>
      </w:pPr>
      <w:r>
        <w:rPr>
          <w:b w:val="0"/>
          <w:sz w:val="22"/>
        </w:rPr>
        <w:t>Table 15 reports the external FLIQ liquefaction-oriented false-safe audit.</w:t>
      </w:r>
    </w:p>
    <w:p w:rsidR="00BF7867" w:rsidRPr="00AF2D23" w:rsidRDefault="00AF2D23">
      <w:pPr>
        <w:keepNext/>
        <w:jc w:val="center"/>
        <w:rPr>
          <w:sz w:val="20"/>
        </w:rPr>
      </w:pPr>
      <w:r w:rsidRPr="00AF2D23">
        <w:rPr>
          <w:b w:val="0"/>
          <w:sz w:val="22"/>
        </w:rPr>
        <w:t>Table 15. External FLIQ liquefaction-oriented false-safe audit.</w:t>
      </w:r>
    </w:p>
    <w:tbl>
      <w:tblPr>
        <w:tblStyle w:val="PlainTable2"/>
        <w:tblW w:w="0" w:type="auto"/>
        <w:jc w:val="center"/>
        <w:tblLook w:val="0420" w:firstRow="1" w:lastRow="0" w:firstColumn="0" w:lastColumn="0" w:noHBand="0" w:noVBand="1"/>
      </w:tblPr>
      <w:tblGrid>
        <w:gridCol w:w="4680"/>
        <w:gridCol w:w="4680"/>
      </w:tblGrid>
      <w:tr w:rsidR="00BF7867" w:rsidRPr="00EC2BC6" w:rsidTr="00EC2BC6">
        <w:trPr>
          <w:cnfStyle w:val="100000000000" w:firstRow="1" w:lastRow="0" w:firstColumn="0" w:lastColumn="0" w:oddVBand="0" w:evenVBand="0" w:oddHBand="0" w:evenHBand="0" w:firstRowFirstColumn="0" w:firstRowLastColumn="0" w:lastRowFirstColumn="0" w:lastRowLastColumn="0"/>
          <w:tblHeader w:val="true"/>
        </w:trPr>
        <w:tc>
          <w:tcPr>
            <w:tcW w:w="4680" w:type="dxa"/>
            <w:vAlign w:val="center"/>
          </w:tcPr>
          <w:p w:rsidR="00BF7867" w:rsidRPr="00EC2BC6" w:rsidRDefault="00AF2D23">
            <w:pPr>
              <w:jc w:val="left"/>
              <w:rPr>
                <w:sz w:val="20"/>
              </w:rPr>
            </w:pPr>
            <w:r w:rsidRPr="00EC2BC6">
              <w:rPr>
                <w:b/>
                <w:sz w:val="20"/>
              </w:rPr>
              <w:t>FLIQ audit quantity</w:t>
            </w:r>
          </w:p>
        </w:tc>
        <w:tc>
          <w:tcPr>
            <w:tcW w:w="4680" w:type="dxa"/>
            <w:vAlign w:val="center"/>
          </w:tcPr>
          <w:p w:rsidR="00BF7867" w:rsidRPr="00EC2BC6" w:rsidRDefault="00AF2D23">
            <w:pPr>
              <w:jc w:val="left"/>
              <w:rPr>
                <w:sz w:val="20"/>
              </w:rPr>
            </w:pPr>
            <w:r w:rsidRPr="00EC2BC6">
              <w:rPr>
                <w:b/>
                <w:sz w:val="20"/>
              </w:rPr>
              <w:t>Result</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4680" w:type="dxa"/>
            <w:vAlign w:val="center"/>
          </w:tcPr>
          <w:p w:rsidR="00BF7867" w:rsidRPr="00EC2BC6" w:rsidRDefault="00AF2D23">
            <w:pPr>
              <w:jc w:val="left"/>
              <w:rPr>
                <w:sz w:val="20"/>
              </w:rPr>
            </w:pPr>
            <w:r w:rsidRPr="00EC2BC6">
              <w:rPr>
                <w:b w:val="0"/>
                <w:sz w:val="20"/>
              </w:rPr>
              <w:t>Raw FLIQ rows</w:t>
            </w:r>
          </w:p>
        </w:tc>
        <w:tc>
          <w:tcPr>
            <w:tcW w:w="4680" w:type="dxa"/>
            <w:vAlign w:val="center"/>
          </w:tcPr>
          <w:p w:rsidR="00BF7867" w:rsidRPr="00EC2BC6" w:rsidRDefault="00AF2D23">
            <w:pPr>
              <w:jc w:val="left"/>
              <w:rPr>
                <w:sz w:val="20"/>
              </w:rPr>
            </w:pPr>
            <w:r w:rsidRPr="00EC2BC6">
              <w:rPr>
                <w:b w:val="0"/>
                <w:sz w:val="20"/>
              </w:rPr>
              <w:t>405</w:t>
            </w:r>
          </w:p>
        </w:tc>
      </w:tr>
      <w:tr w:rsidR="00BF7867" w:rsidRPr="00EC2BC6" w:rsidTr="00EC2BC6">
        <w:tc>
          <w:tcPr>
            <w:tcW w:w="4680" w:type="dxa"/>
            <w:vAlign w:val="center"/>
          </w:tcPr>
          <w:p w:rsidR="00BF7867" w:rsidRPr="00EC2BC6" w:rsidRDefault="00AF2D23">
            <w:pPr>
              <w:jc w:val="left"/>
              <w:rPr>
                <w:sz w:val="20"/>
              </w:rPr>
            </w:pPr>
            <w:r w:rsidRPr="00EC2BC6">
              <w:rPr>
                <w:b w:val="0"/>
                <w:sz w:val="20"/>
              </w:rPr>
              <w:t>Structural rows usable for audit</w:t>
            </w:r>
          </w:p>
        </w:tc>
        <w:tc>
          <w:tcPr>
            <w:tcW w:w="4680" w:type="dxa"/>
            <w:vAlign w:val="center"/>
          </w:tcPr>
          <w:p w:rsidR="00BF7867" w:rsidRPr="00EC2BC6" w:rsidRDefault="00AF2D23">
            <w:pPr>
              <w:jc w:val="left"/>
              <w:rPr>
                <w:sz w:val="20"/>
              </w:rPr>
            </w:pPr>
            <w:r w:rsidRPr="00EC2BC6">
              <w:rPr>
                <w:b w:val="0"/>
                <w:sz w:val="20"/>
              </w:rPr>
              <w:t>241</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4680" w:type="dxa"/>
            <w:vAlign w:val="center"/>
          </w:tcPr>
          <w:p w:rsidR="00BF7867" w:rsidRPr="00EC2BC6" w:rsidRDefault="00AF2D23">
            <w:pPr>
              <w:jc w:val="left"/>
              <w:rPr>
                <w:sz w:val="20"/>
              </w:rPr>
            </w:pPr>
            <w:r w:rsidRPr="00EC2BC6">
              <w:rPr>
                <w:b w:val="0"/>
                <w:sz w:val="20"/>
              </w:rPr>
              <w:t>Settlement/rotation penalty cases</w:t>
            </w:r>
          </w:p>
        </w:tc>
        <w:tc>
          <w:tcPr>
            <w:tcW w:w="4680" w:type="dxa"/>
            <w:vAlign w:val="center"/>
          </w:tcPr>
          <w:p w:rsidR="00BF7867" w:rsidRPr="00EC2BC6" w:rsidRDefault="00AF2D23">
            <w:pPr>
              <w:jc w:val="left"/>
              <w:rPr>
                <w:sz w:val="20"/>
              </w:rPr>
            </w:pPr>
            <w:r w:rsidRPr="00EC2BC6">
              <w:rPr>
                <w:b w:val="0"/>
                <w:sz w:val="20"/>
              </w:rPr>
              <w:t>80</w:t>
            </w:r>
          </w:p>
        </w:tc>
      </w:tr>
      <w:tr w:rsidR="00BF7867" w:rsidRPr="00EC2BC6" w:rsidTr="00EC2BC6">
        <w:tc>
          <w:tcPr>
            <w:tcW w:w="4680" w:type="dxa"/>
            <w:vAlign w:val="center"/>
          </w:tcPr>
          <w:p w:rsidR="00BF7867" w:rsidRPr="00EC2BC6" w:rsidRDefault="00AF2D23">
            <w:pPr>
              <w:jc w:val="left"/>
              <w:rPr>
                <w:sz w:val="20"/>
              </w:rPr>
            </w:pPr>
            <w:r w:rsidRPr="00EC2BC6">
              <w:rPr>
                <w:b w:val="0"/>
                <w:sz w:val="20"/>
              </w:rPr>
              <w:t>Apparent acceleration-benefit cases</w:t>
            </w:r>
          </w:p>
        </w:tc>
        <w:tc>
          <w:tcPr>
            <w:tcW w:w="4680" w:type="dxa"/>
            <w:vAlign w:val="center"/>
          </w:tcPr>
          <w:p w:rsidR="00BF7867" w:rsidRPr="00EC2BC6" w:rsidRDefault="00AF2D23">
            <w:pPr>
              <w:jc w:val="left"/>
              <w:rPr>
                <w:sz w:val="20"/>
              </w:rPr>
            </w:pPr>
            <w:r w:rsidRPr="00EC2BC6">
              <w:rPr>
                <w:b w:val="0"/>
                <w:sz w:val="20"/>
              </w:rPr>
              <w:t>3</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4680" w:type="dxa"/>
            <w:vAlign w:val="center"/>
          </w:tcPr>
          <w:p w:rsidR="00BF7867" w:rsidRPr="00EC2BC6" w:rsidRDefault="00AF2D23">
            <w:pPr>
              <w:jc w:val="left"/>
              <w:rPr>
                <w:sz w:val="20"/>
              </w:rPr>
            </w:pPr>
            <w:r w:rsidRPr="00EC2BC6">
              <w:rPr>
                <w:b w:val="0"/>
                <w:sz w:val="20"/>
              </w:rPr>
              <w:t>Acceleration-only false-safe cases</w:t>
            </w:r>
          </w:p>
        </w:tc>
        <w:tc>
          <w:tcPr>
            <w:tcW w:w="4680" w:type="dxa"/>
            <w:vAlign w:val="center"/>
          </w:tcPr>
          <w:p w:rsidR="00BF7867" w:rsidRPr="00EC2BC6" w:rsidRDefault="00AF2D23">
            <w:pPr>
              <w:jc w:val="left"/>
              <w:rPr>
                <w:sz w:val="20"/>
              </w:rPr>
            </w:pPr>
            <w:r w:rsidRPr="00EC2BC6">
              <w:rPr>
                <w:b w:val="0"/>
                <w:sz w:val="20"/>
              </w:rPr>
              <w:t>3</w:t>
            </w:r>
          </w:p>
        </w:tc>
      </w:tr>
      <w:tr w:rsidR="00BF7867" w:rsidRPr="00EC2BC6" w:rsidTr="00EC2BC6">
        <w:tc>
          <w:tcPr>
            <w:tcW w:w="4680" w:type="dxa"/>
            <w:vAlign w:val="center"/>
          </w:tcPr>
          <w:p w:rsidR="00BF7867" w:rsidRPr="00EC2BC6" w:rsidRDefault="00AF2D23">
            <w:pPr>
              <w:jc w:val="left"/>
              <w:rPr>
                <w:sz w:val="20"/>
              </w:rPr>
            </w:pPr>
            <w:r w:rsidRPr="00EC2BC6">
              <w:rPr>
                <w:b w:val="0"/>
                <w:sz w:val="20"/>
              </w:rPr>
              <w:t>False-safe rate among apparent acceleration-benefit cases</w:t>
            </w:r>
          </w:p>
        </w:tc>
        <w:tc>
          <w:tcPr>
            <w:tcW w:w="4680" w:type="dxa"/>
            <w:vAlign w:val="center"/>
          </w:tcPr>
          <w:p w:rsidR="00BF7867" w:rsidRPr="00EC2BC6" w:rsidRDefault="00AF2D23">
            <w:pPr>
              <w:jc w:val="left"/>
              <w:rPr>
                <w:sz w:val="20"/>
              </w:rPr>
            </w:pPr>
            <w:r w:rsidRPr="00EC2BC6">
              <w:rPr>
                <w:b w:val="0"/>
                <w:sz w:val="20"/>
              </w:rPr>
              <w:t>100%</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4680" w:type="dxa"/>
            <w:vAlign w:val="center"/>
          </w:tcPr>
          <w:p w:rsidR="00BF7867" w:rsidRPr="00EC2BC6" w:rsidRDefault="00AF2D23">
            <w:pPr>
              <w:jc w:val="left"/>
              <w:rPr>
                <w:sz w:val="20"/>
              </w:rPr>
            </w:pPr>
            <w:r w:rsidRPr="00EC2BC6">
              <w:rPr>
                <w:b w:val="0"/>
                <w:sz w:val="20"/>
              </w:rPr>
              <w:t>Pre-response guardrail all-case false-safe rate</w:t>
            </w:r>
          </w:p>
        </w:tc>
        <w:tc>
          <w:tcPr>
            <w:tcW w:w="4680" w:type="dxa"/>
            <w:vAlign w:val="center"/>
          </w:tcPr>
          <w:p w:rsidR="00BF7867" w:rsidRPr="00EC2BC6" w:rsidRDefault="00AF2D23">
            <w:pPr>
              <w:jc w:val="left"/>
              <w:rPr>
                <w:sz w:val="20"/>
              </w:rPr>
            </w:pPr>
            <w:r w:rsidRPr="00EC2BC6">
              <w:rPr>
                <w:b w:val="0"/>
                <w:sz w:val="20"/>
              </w:rPr>
              <w:t>8.7%</w:t>
            </w:r>
          </w:p>
        </w:tc>
      </w:tr>
      <w:tr w:rsidR="00BF7867" w:rsidRPr="00EC2BC6" w:rsidTr="00EC2BC6">
        <w:tc>
          <w:tcPr>
            <w:tcW w:w="4680" w:type="dxa"/>
            <w:vAlign w:val="center"/>
          </w:tcPr>
          <w:p w:rsidR="00BF7867" w:rsidRPr="00EC2BC6" w:rsidRDefault="00AF2D23">
            <w:pPr>
              <w:jc w:val="left"/>
              <w:rPr>
                <w:sz w:val="20"/>
              </w:rPr>
            </w:pPr>
            <w:r w:rsidRPr="00EC2BC6">
              <w:rPr>
                <w:b w:val="0"/>
                <w:sz w:val="20"/>
              </w:rPr>
              <w:t>Pre-response guardrail settlement/rotation penalty recall</w:t>
            </w:r>
          </w:p>
        </w:tc>
        <w:tc>
          <w:tcPr>
            <w:tcW w:w="4680" w:type="dxa"/>
            <w:vAlign w:val="center"/>
          </w:tcPr>
          <w:p w:rsidR="00BF7867" w:rsidRPr="00EC2BC6" w:rsidRDefault="00AF2D23">
            <w:pPr>
              <w:jc w:val="left"/>
              <w:rPr>
                <w:sz w:val="20"/>
              </w:rPr>
            </w:pPr>
            <w:r w:rsidRPr="00EC2BC6">
              <w:rPr>
                <w:b w:val="0"/>
                <w:sz w:val="20"/>
              </w:rPr>
              <w:t>73.8%</w:t>
            </w:r>
          </w:p>
        </w:tc>
      </w:tr>
      <w:tr w:rsidR="00BF7867" w:rsidRPr="00EC2BC6" w:rsidTr="00EC2BC6">
        <w:trPr>
          <w:cnfStyle w:val="000000100000" w:firstRow="0" w:lastRow="0" w:firstColumn="0" w:lastColumn="0" w:oddVBand="0" w:evenVBand="0" w:oddHBand="1" w:evenHBand="0" w:firstRowFirstColumn="0" w:firstRowLastColumn="0" w:lastRowFirstColumn="0" w:lastRowLastColumn="0"/>
        </w:trPr>
        <w:tc>
          <w:tcPr>
            <w:tcW w:w="4680" w:type="dxa"/>
            <w:vAlign w:val="center"/>
          </w:tcPr>
          <w:p w:rsidR="00BF7867" w:rsidRPr="00EC2BC6" w:rsidRDefault="00AF2D23">
            <w:pPr>
              <w:jc w:val="left"/>
              <w:rPr>
                <w:sz w:val="20"/>
              </w:rPr>
            </w:pPr>
            <w:r w:rsidRPr="00EC2BC6">
              <w:rPr>
                <w:b w:val="0"/>
                <w:sz w:val="20"/>
              </w:rPr>
              <w:t>Pre-response guardrail safe precision</w:t>
            </w:r>
          </w:p>
        </w:tc>
        <w:tc>
          <w:tcPr>
            <w:tcW w:w="4680" w:type="dxa"/>
            <w:vAlign w:val="center"/>
          </w:tcPr>
          <w:p w:rsidR="00BF7867" w:rsidRPr="00EC2BC6" w:rsidRDefault="00AF2D23">
            <w:pPr>
              <w:jc w:val="left"/>
              <w:rPr>
                <w:sz w:val="20"/>
              </w:rPr>
            </w:pPr>
            <w:r w:rsidRPr="00EC2BC6">
              <w:rPr>
                <w:b w:val="0"/>
                <w:sz w:val="20"/>
              </w:rPr>
              <w:t>77.9%</w:t>
            </w:r>
          </w:p>
        </w:tc>
      </w:tr>
    </w:tbl>
    <w:p w:rsidR="00AF2D23" w:rsidRDefault="00AF2D23" w:rsidP="001A58DF">
      <w:pPr>
        <w:pStyle w:val="Heading1"/>
        <w:jc w:val="both"/>
      </w:pPr>
      <w:r>
        <w:rPr>
          <w:sz w:val="22"/>
        </w:rPr>
        <w:t>8.13 External literature consistency benchmark</w:t>
      </w:r>
    </w:p>
    <w:p w:rsidR="00AF2D23" w:rsidRDefault="00AF2D23" w:rsidP="001A58DF">
      <w:pPr>
        <w:pStyle w:val="Heading1"/>
      </w:pPr>
    </w:p>
    <w:p w:rsidR="00AF2D23" w:rsidRDefault="00AF2D23" w:rsidP="00C07FCD">
      <w:pPr>
        <w:jc w:val="both"/>
      </w:pPr>
      <w:r>
        <w:rPr>
          <w:sz w:val="22"/>
        </w:rPr>
        <w:t>As an additional literature-based consistency benchmark, recent and classical SSI studies were screened for independently reported combinations of force-side and displacement-side response. Zhang and Far (2024) provide the strongest quantitative mapping candidate because their finite-element soil-foundation-structure study was verified against shaking-table tests and reports normalized base-shear and inter-storey drift ratios for a large high-rise parametric matrix. Their reported mechanism, in which foundation rotation can reduce base shear while increasing inter-storey drift, is consistent with the mixed demand-polarity region of the present map. Yang et al. (2024) provide an independent range check under far-field long-period motions: reported SSI base-shear coefficients are generally below unity, while displacement and drift coefficients exceed unity, with the caveat that bimodal spectra can still produce shear amplification. Tao et al. (2024) further supports the spectral-shift interpretation by showing that SSI can be detrimental when period/frequency shift moves the system into an unfavorable demand region. Mylonakis and Gazetas (2000) provide the classical theoretical and recorded-motion basis for treating SSI as conditionally beneficial or detrimental, rather than automatically favorable. Tileylioglu et al. (2011) adds field evidence that foundation stiffness and damping are frequency dependent and measurable at the Garner Valley SFSI structure, supporting the physical plausibility of the reduced-model inputs.</w:t>
      </w:r>
    </w:p>
    <w:p w:rsidR="00AF2D23" w:rsidRDefault="00AF2D23" w:rsidP="001A58DF">
      <w:pPr>
        <w:pStyle w:val="Heading1"/>
      </w:pPr>
    </w:p>
    <w:p w:rsidR="00AF2D23" w:rsidRDefault="00AF2D23" w:rsidP="00C07FCD">
      <w:pPr>
        <w:jc w:val="both"/>
      </w:pPr>
      <w:r>
        <w:rPr>
          <w:sz w:val="22"/>
        </w:rPr>
        <w:t>This literature layer is deliberately treated as external consistency evidence, not as independent nonlinear three-dimensional validation. The comparison strengthens the screening interpretation because independent studies report the same force/displacement polarity separation and the same dependence on spectral or frequency shift, but it does not establish calibrated response-history prediction. The claim boundary therefore remains unchanged: the proposed criterion is a reproducible class-screening and false-safe audit tool that flags demand-polarity risk before detailed nonlinear SSI analysis.</w:t>
      </w:r>
    </w:p>
    <w:p w:rsidR="00AF2D23" w:rsidRDefault="00AF2D23" w:rsidP="001A58DF">
      <w:pPr>
        <w:pStyle w:val="Heading1"/>
      </w:pPr>
    </w:p>
    <w:p>
      <w:r>
        <w:br w:type="page"/>
      </w:r>
    </w:p>
    <w:p>
      <w:pPr>
        <w:jc w:val="both"/>
      </w:pPr>
      <w:r>
        <w:rPr>
          <w:b/>
          <w:sz w:val="22"/>
        </w:rPr>
        <w:t>S6. Moved validation figures</w:t>
      </w:r>
    </w:p>
    <w:p>
      <w:pPr>
        <w:keepNext/>
        <w:jc w:val="both"/>
      </w:pPr>
      <w:r>
        <w:rPr>
          <w:b w:val="0"/>
          <w:sz w:val="22"/>
        </w:rPr>
        <w:t>Figure S5.1. Experimental FoRDy/FoRCy proxy points on the SSI Demand-Polarity Map.</w:t>
      </w:r>
    </w:p>
    <w:p>
      <w:r>
        <w:drawing>
          <wp:inline xmlns:a="http://schemas.openxmlformats.org/drawingml/2006/main" xmlns:pic="http://schemas.openxmlformats.org/drawingml/2006/picture">
            <wp:extent cx="5669280" cy="3804385"/>
            <wp:docPr id="1" name="Picture 1"/>
            <wp:cNvGraphicFramePr>
              <a:graphicFrameLocks noChangeAspect="1"/>
            </wp:cNvGraphicFramePr>
            <a:graphic>
              <a:graphicData uri="http://schemas.openxmlformats.org/drawingml/2006/picture">
                <pic:pic>
                  <pic:nvPicPr>
                    <pic:cNvPr id="0" name="demand_polarity_map_experimental.png"/>
                    <pic:cNvPicPr/>
                  </pic:nvPicPr>
                  <pic:blipFill>
                    <a:blip r:embed="rId6"/>
                    <a:stretch>
                      <a:fillRect/>
                    </a:stretch>
                  </pic:blipFill>
                  <pic:spPr>
                    <a:xfrm>
                      <a:off x="0" y="0"/>
                      <a:ext cx="5669280" cy="3804385"/>
                    </a:xfrm>
                    <a:prstGeom prst="rect"/>
                  </pic:spPr>
                </pic:pic>
              </a:graphicData>
            </a:graphic>
          </wp:inline>
        </w:drawing>
      </w:r>
    </w:p>
    <w:p>
      <w:pPr>
        <w:keepNext/>
        <w:jc w:val="both"/>
      </w:pPr>
      <w:r>
        <w:rPr>
          <w:b w:val="0"/>
          <w:sz w:val="22"/>
        </w:rPr>
        <w:t>Figure S5.2. Independent predictive validation confusion matrix.</w:t>
      </w:r>
    </w:p>
    <w:p>
      <w:r>
        <w:drawing>
          <wp:inline xmlns:a="http://schemas.openxmlformats.org/drawingml/2006/main" xmlns:pic="http://schemas.openxmlformats.org/drawingml/2006/picture">
            <wp:extent cx="5669280" cy="4797083"/>
            <wp:docPr id="2" name="Picture 2"/>
            <wp:cNvGraphicFramePr>
              <a:graphicFrameLocks noChangeAspect="1"/>
            </wp:cNvGraphicFramePr>
            <a:graphic>
              <a:graphicData uri="http://schemas.openxmlformats.org/drawingml/2006/picture">
                <pic:pic>
                  <pic:nvPicPr>
                    <pic:cNvPr id="0" name="predictive_confusion_matrix.png"/>
                    <pic:cNvPicPr/>
                  </pic:nvPicPr>
                  <pic:blipFill>
                    <a:blip r:embed="rId7"/>
                    <a:stretch>
                      <a:fillRect/>
                    </a:stretch>
                  </pic:blipFill>
                  <pic:spPr>
                    <a:xfrm>
                      <a:off x="0" y="0"/>
                      <a:ext cx="5669280" cy="4797083"/>
                    </a:xfrm>
                    <a:prstGeom prst="rect"/>
                  </pic:spPr>
                </pic:pic>
              </a:graphicData>
            </a:graphic>
          </wp:inline>
        </w:drawing>
      </w:r>
    </w:p>
    <w:p>
      <w:pPr>
        <w:keepNext/>
        <w:jc w:val="both"/>
      </w:pPr>
      <w:r>
        <w:rPr>
          <w:b w:val="0"/>
          <w:sz w:val="22"/>
        </w:rPr>
        <w:t>Figure S5.3. Decision-value loss-ratio sweep.</w:t>
      </w:r>
    </w:p>
    <w:p>
      <w:r>
        <w:drawing>
          <wp:inline xmlns:a="http://schemas.openxmlformats.org/drawingml/2006/main" xmlns:pic="http://schemas.openxmlformats.org/drawingml/2006/picture">
            <wp:extent cx="5669280" cy="3618103"/>
            <wp:docPr id="3" name="Picture 3"/>
            <wp:cNvGraphicFramePr>
              <a:graphicFrameLocks noChangeAspect="1"/>
            </wp:cNvGraphicFramePr>
            <a:graphic>
              <a:graphicData uri="http://schemas.openxmlformats.org/drawingml/2006/picture">
                <pic:pic>
                  <pic:nvPicPr>
                    <pic:cNvPr id="0" name="loss_ratio_sweep.png"/>
                    <pic:cNvPicPr/>
                  </pic:nvPicPr>
                  <pic:blipFill>
                    <a:blip r:embed="rId8"/>
                    <a:stretch>
                      <a:fillRect/>
                    </a:stretch>
                  </pic:blipFill>
                  <pic:spPr>
                    <a:xfrm>
                      <a:off x="0" y="0"/>
                      <a:ext cx="5669280" cy="3618103"/>
                    </a:xfrm>
                    <a:prstGeom prst="rect"/>
                  </pic:spPr>
                </pic:pic>
              </a:graphicData>
            </a:graphic>
          </wp:inline>
        </w:drawing>
      </w:r>
    </w:p>
    <w:p>
      <w:pPr>
        <w:keepNext/>
        <w:jc w:val="both"/>
      </w:pPr>
      <w:r>
        <w:rPr>
          <w:b w:val="0"/>
          <w:sz w:val="22"/>
        </w:rPr>
        <w:t>Figure S5.4. Guardrail tradeoff and failure-mode map.</w:t>
      </w:r>
    </w:p>
    <w:p>
      <w:r>
        <w:drawing>
          <wp:inline xmlns:a="http://schemas.openxmlformats.org/drawingml/2006/main" xmlns:pic="http://schemas.openxmlformats.org/drawingml/2006/picture">
            <wp:extent cx="5669280" cy="3644537"/>
            <wp:docPr id="4" name="Picture 4"/>
            <wp:cNvGraphicFramePr>
              <a:graphicFrameLocks noChangeAspect="1"/>
            </wp:cNvGraphicFramePr>
            <a:graphic>
              <a:graphicData uri="http://schemas.openxmlformats.org/drawingml/2006/picture">
                <pic:pic>
                  <pic:nvPicPr>
                    <pic:cNvPr id="0" name="guardrail_tradeoff.png"/>
                    <pic:cNvPicPr/>
                  </pic:nvPicPr>
                  <pic:blipFill>
                    <a:blip r:embed="rId9"/>
                    <a:stretch>
                      <a:fillRect/>
                    </a:stretch>
                  </pic:blipFill>
                  <pic:spPr>
                    <a:xfrm>
                      <a:off x="0" y="0"/>
                      <a:ext cx="5669280" cy="3644537"/>
                    </a:xfrm>
                    <a:prstGeom prst="rect"/>
                  </pic:spPr>
                </pic:pic>
              </a:graphicData>
            </a:graphic>
          </wp:inline>
        </w:drawing>
      </w:r>
    </w:p>
    <w:p>
      <w:pPr>
        <w:keepNext/>
        <w:jc w:val="both"/>
      </w:pPr>
      <w:r>
        <w:rPr>
          <w:b w:val="0"/>
          <w:sz w:val="22"/>
        </w:rPr>
        <w:t>Figure S5.5. Solver-backed demand-polarity map.</w:t>
      </w:r>
    </w:p>
    <w:p>
      <w:r>
        <w:drawing>
          <wp:inline xmlns:a="http://schemas.openxmlformats.org/drawingml/2006/main" xmlns:pic="http://schemas.openxmlformats.org/drawingml/2006/picture">
            <wp:extent cx="5669280" cy="4389120"/>
            <wp:docPr id="5" name="Picture 5"/>
            <wp:cNvGraphicFramePr>
              <a:graphicFrameLocks noChangeAspect="1"/>
            </wp:cNvGraphicFramePr>
            <a:graphic>
              <a:graphicData uri="http://schemas.openxmlformats.org/drawingml/2006/picture">
                <pic:pic>
                  <pic:nvPicPr>
                    <pic:cNvPr id="0" name="solver_backed_demand_map.png"/>
                    <pic:cNvPicPr/>
                  </pic:nvPicPr>
                  <pic:blipFill>
                    <a:blip r:embed="rId10"/>
                    <a:stretch>
                      <a:fillRect/>
                    </a:stretch>
                  </pic:blipFill>
                  <pic:spPr>
                    <a:xfrm>
                      <a:off x="0" y="0"/>
                      <a:ext cx="5669280" cy="4389120"/>
                    </a:xfrm>
                    <a:prstGeom prst="rect"/>
                  </pic:spPr>
                </pic:pic>
              </a:graphicData>
            </a:graphic>
          </wp:inline>
        </w:drawing>
      </w:r>
    </w:p>
    <w:sectPr w:rsidR="00C54BB4" w:rsidRPr="00C54BB4">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4BB4"/>
    <w:rsid w:val="001F4785"/>
    <w:rsid w:val="00317398"/>
    <w:rsid w:val="00A81312"/>
    <w:rsid w:val="00C54BB4"/>
    <w:rsid w:val="00D201AE"/>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7FB43C1-5FF3-418B-92F6-5E705477C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hAnsi="Times New Roman"/>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2">
    <w:name w:val="Plain Table 2"/>
    <w:basedOn w:val="TableNormal"/>
    <w:uiPriority w:val="42"/>
    <w:rsid w:val="00C54BB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481</Words>
  <Characters>2646</Characters>
  <Application>Microsoft Office Word</Application>
  <DocSecurity>0</DocSecurity>
  <Lines>22</Lines>
  <Paragraphs>6</Paragraphs>
  <ScaleCrop>false</ScaleCrop>
  <Company/>
  <LinksUpToDate>false</LinksUpToDate>
  <CharactersWithSpaces>3121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 yo</dc:creator>
  <cp:keywords/>
  <dc:description/>
  <cp:lastModifiedBy>yo yo</cp:lastModifiedBy>
  <cp:revision>4</cp:revision>
  <dcterms:created xsi:type="dcterms:W3CDTF">2026-05-30T09:08:00Z</dcterms:created>
  <dcterms:modified xsi:type="dcterms:W3CDTF">2026-05-30T10:24:00Z</dcterms:modified>
</cp:coreProperties>
</file>