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DCD" w:rsidRPr="00374DCD" w:rsidRDefault="00374DCD" w:rsidP="00EC40F0">
      <w:pPr>
        <w:pStyle w:val="Heading1"/>
        <w:spacing w:line="480" w:lineRule="auto"/>
        <w:jc w:val="center"/>
        <w:rPr>
          <w:color w:val="auto"/>
        </w:rPr>
      </w:pPr>
      <w:bookmarkStart w:id="0" w:name="_GoBack"/>
      <w:bookmarkEnd w:id="0"/>
      <w:r w:rsidRPr="00374DCD">
        <w:rPr>
          <w:color w:val="auto"/>
        </w:rPr>
        <w:t>Supplementary Material</w:t>
      </w:r>
    </w:p>
    <w:p w:rsidR="00BF5A91" w:rsidRDefault="00BF5A91" w:rsidP="003B7B86">
      <w:pPr>
        <w:spacing w:line="480" w:lineRule="auto"/>
      </w:pPr>
      <w:r>
        <w:t>Public repository: https://github.com/gabrielmontufar/article-114-optimization-and-engineering-claim-admissibility. This repository contains this supplementary Word document, the submitted reproducibility archive, and the public-facing README for the article 114 Optimization and Engineering package. Third-party raw datasets are not bundled in the submission ZIP; the repository provides processed response-support points, manifests, acquisition notes, and acquisition instructions.</w:t>
      </w:r>
    </w:p>
    <w:p w:rsidR="001500F3" w:rsidRPr="00374DCD" w:rsidRDefault="000C2C1E" w:rsidP="003B7B86">
      <w:pPr>
        <w:spacing w:line="480" w:lineRule="auto"/>
      </w:pPr>
      <w:r w:rsidRPr="00374DCD">
        <w:t>An Optimizer-Agnostic Certification Layer for Engineering Design Optimization Outputs</w:t>
      </w:r>
    </w:p>
    <w:p w:rsidR="001500F3" w:rsidRPr="00374DCD" w:rsidRDefault="000C2C1E" w:rsidP="003B7B86">
      <w:pPr>
        <w:spacing w:line="480" w:lineRule="auto"/>
      </w:pPr>
      <w:r w:rsidRPr="00374DCD">
        <w:t>Gabriel Jesús Montúfar Chiriboga</w:t>
      </w:r>
    </w:p>
    <w:p w:rsidR="001500F3" w:rsidRPr="00374DCD" w:rsidRDefault="000C2C1E" w:rsidP="003B7B86">
      <w:pPr>
        <w:spacing w:line="480" w:lineRule="auto"/>
      </w:pPr>
      <w:r w:rsidRPr="00374DCD">
        <w:t>This file contains only supplementary methods, extended evidence, replication notes, reporting-guide alignment, and the certificate-handoff schema used to connect the optimizer-agnostic encoded-claim layer to future validation workflows. Candidate-level data, figures, executable scripts, run_all_log.txt, cgc_claim_risk_sensitivity.csv, cgc_certificate_handoff_schema.json, and environment files are supplied in the supplementary_files directory and its clean ZIP package.</w:t>
      </w:r>
    </w:p>
    <w:p w:rsidR="001500F3" w:rsidRPr="00374DCD" w:rsidRDefault="000C2C1E" w:rsidP="003B7B86">
      <w:pPr>
        <w:pStyle w:val="Heading1"/>
        <w:spacing w:line="480" w:lineRule="auto"/>
        <w:rPr>
          <w:color w:val="auto"/>
        </w:rPr>
      </w:pPr>
      <w:r w:rsidRPr="00374DCD">
        <w:rPr>
          <w:color w:val="auto"/>
        </w:rPr>
        <w:t>S1. Mathematical scope and encoded-claim notation</w:t>
      </w:r>
    </w:p>
    <w:p w:rsidR="001500F3" w:rsidRPr="00374DCD" w:rsidRDefault="000C2C1E" w:rsidP="003B7B86">
      <w:pPr>
        <w:spacing w:line="480" w:lineRule="auto"/>
      </w:pPr>
      <w:r w:rsidRPr="00374DCD">
        <w:t>The certificate is conditional: a design supports only the requirements encoded in the declared residual vector, catalog-membership checks, tolerance policy, and verification route. It is not a professional approval, comprehensive experimental validation, complete regulatory approval, or unrestricted global MINLP certificate.</w:t>
      </w:r>
    </w:p>
    <w:p w:rsidR="00FC0F33" w:rsidRDefault="000C2C1E" w:rsidP="00EC40F0">
      <w:pPr>
        <w:spacing w:line="480" w:lineRule="auto"/>
      </w:pPr>
      <w:r w:rsidRPr="00374DCD">
        <w:t xml:space="preserve">A candidate x supports an encoded-compliance claim only when every encoded residual is non-positive within tolerance, catalog membership is valid, and the solver/enumeration status is recorded. If any </w:t>
      </w:r>
      <w:r w:rsidRPr="00374DCD">
        <w:lastRenderedPageBreak/>
        <w:t>condition is absent, the supported statement is downgraded to an optimization-result claim or an unresolved-claim record.</w:t>
      </w:r>
      <w:r w:rsidR="00EC40F0">
        <w:t xml:space="preserve"> </w:t>
      </w:r>
      <w:r w:rsidR="00EC40F0" w:rsidRPr="00EC40F0">
        <w:t>Table S1 summarizes the certificate components, the evidence required for each component, and the type of unsupported overstatement that each check prevents.</w:t>
      </w:r>
    </w:p>
    <w:p w:rsidR="00FC0F33" w:rsidRDefault="00EC40F0">
      <w:pPr>
        <w:pStyle w:val="SupplementaryTableCaption"/>
      </w:pPr>
      <w:r>
        <w:t xml:space="preserve">Table S1. </w:t>
      </w:r>
      <w:r>
        <w:rPr>
          <w:b w:val="0"/>
        </w:rPr>
        <w:t>Certificate components, required evidence, and unsupported overstatements prevented.</w:t>
      </w:r>
    </w:p>
    <w:tbl>
      <w:tblPr>
        <w:tblStyle w:val="PlainTable2"/>
        <w:tblW w:w="0" w:type="auto"/>
        <w:tblLook w:val="04A0" w:firstRow="1" w:lastRow="0" w:firstColumn="1" w:lastColumn="0" w:noHBand="0" w:noVBand="1"/>
      </w:tblPr>
      <w:tblGrid>
        <w:gridCol w:w="3120"/>
        <w:gridCol w:w="3120"/>
        <w:gridCol w:w="3120"/>
      </w:tblGrid>
      <w:tr w:rsidR="00374DCD" w:rsidRPr="00374DCD" w:rsidTr="00A544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rsidR="001500F3" w:rsidRPr="00374DCD" w:rsidRDefault="000C2C1E" w:rsidP="003B7B86">
            <w:pPr>
              <w:spacing w:line="480" w:lineRule="auto"/>
            </w:pPr>
            <w:r w:rsidRPr="00374DCD">
              <w:rPr>
                <w:color w:val="000000"/>
                <w:sz w:val="18"/>
              </w:rPr>
              <w:t>Certificate component</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Required evidence</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Unsupported overstatement prevented</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Residual vector</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Named encoded requirements and tolerance</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Feasible-looking design reported as compliant without checks</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Catalog membership</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Discrete section/area index from declared catalog</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Continuous or off-catalog design reported as buildable</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Verification route</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Enumeration, solver status, or independent evaluator log</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Untraceable claim about why the design is acceptable</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Scope limits</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Explicit unencoded requirements</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Nominal encoded feasibility reported as physical safety or full building-code approval</w:t>
            </w:r>
          </w:p>
        </w:tc>
      </w:tr>
    </w:tbl>
    <w:p w:rsidR="001500F3" w:rsidRPr="00374DCD" w:rsidRDefault="000C2C1E" w:rsidP="003B7B86">
      <w:pPr>
        <w:pStyle w:val="Heading1"/>
        <w:spacing w:line="480" w:lineRule="auto"/>
        <w:rPr>
          <w:color w:val="auto"/>
        </w:rPr>
      </w:pPr>
      <w:r w:rsidRPr="00374DCD">
        <w:rPr>
          <w:color w:val="auto"/>
        </w:rPr>
        <w:t>S2. Benchmark definitions and data files</w:t>
      </w:r>
    </w:p>
    <w:p w:rsidR="00FC0F33" w:rsidRDefault="000C2C1E" w:rsidP="00EC40F0">
      <w:pPr>
        <w:spacing w:line="480" w:lineRule="auto"/>
      </w:pPr>
      <w:r w:rsidRPr="00374DCD">
        <w:t>The benchmark suite is split between the manuscript summary and machine-readable files. The complete candidate tables are intentionally kept as CSV files to avoid unreadable multi-column tables in the Word/PDF submission.</w:t>
      </w:r>
      <w:r w:rsidR="00EC40F0">
        <w:t xml:space="preserve"> </w:t>
      </w:r>
      <w:r w:rsidR="00EC40F0" w:rsidRPr="00EC40F0">
        <w:t>Table S2 lists the benchmark files used in the supplementary package, their validation role, and the main output produced by each file.</w:t>
      </w:r>
    </w:p>
    <w:p w:rsidR="00FD2334" w:rsidRDefault="00FD2334">
      <w:pPr>
        <w:pStyle w:val="SupplementaryTableCaption"/>
      </w:pPr>
      <w:r>
        <w:t xml:space="preserve">The file cgc_operator_property_examples.csv provides a compact index of benchmark-level examples for the post-optimization admissibility operator properties used in the manuscript: missing-evidence blocking, </w:t>
      </w:r>
      <w:r w:rsidR="002C5304">
        <w:t>compatible-evidence monotonicity and contradictory-evidence downgrade</w:t>
      </w:r>
      <w:r>
        <w:t>, idempotence for an unchanged evidence record, and scope monotonicity. It is an index over existing benchmark outputs rather than a new structural validation result.</w:t>
      </w:r>
    </w:p>
    <w:p w:rsidR="00FC0F33" w:rsidRDefault="00EC40F0">
      <w:pPr>
        <w:pStyle w:val="SupplementaryTableCaption"/>
      </w:pPr>
      <w:r>
        <w:t xml:space="preserve">Table S2. </w:t>
      </w:r>
      <w:r>
        <w:rPr>
          <w:b w:val="0"/>
        </w:rPr>
        <w:t>Benchmark files, validation roles, and main outputs.</w:t>
      </w:r>
    </w:p>
    <w:tbl>
      <w:tblPr>
        <w:tblStyle w:val="PlainTable2"/>
        <w:tblW w:w="0" w:type="auto"/>
        <w:tblLook w:val="04A0" w:firstRow="1" w:lastRow="0" w:firstColumn="1" w:lastColumn="0" w:noHBand="0" w:noVBand="1"/>
      </w:tblPr>
      <w:tblGrid>
        <w:gridCol w:w="3580"/>
        <w:gridCol w:w="2887"/>
        <w:gridCol w:w="2893"/>
      </w:tblGrid>
      <w:tr w:rsidR="00374DCD" w:rsidRPr="00374DCD" w:rsidTr="00A544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rsidR="001500F3" w:rsidRPr="00374DCD" w:rsidRDefault="000C2C1E" w:rsidP="003B7B86">
            <w:pPr>
              <w:spacing w:line="480" w:lineRule="auto"/>
            </w:pPr>
            <w:r w:rsidRPr="00374DCD">
              <w:rPr>
                <w:color w:val="000000"/>
                <w:sz w:val="18"/>
              </w:rPr>
              <w:t>Benchmark file</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Role in validation</w:t>
            </w:r>
          </w:p>
        </w:tc>
        <w:tc>
          <w:tcPr>
            <w:tcW w:w="312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Main output</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cgc_scalar_benchmark.py / .csv</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Minimal falsifiable example of residual-positive penalty selection</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Claim-risk status for scalar feasible and infeasible choices</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cgc_ten_bar_truss_exhaustive_grouped.py / .csv</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Exact grouped finite-catalog truss enumeration</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100,000 candidates and 3,518 feasible designs</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cgc_milp_crosscheck_pulp.py / log</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Independent MILP selection over pre-enumerated feasible candidates</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Minimum selection within the enumerated feasible set</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cgc_opensees_blind_crosscheck.py / .csv</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Independent evaluator check</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0/45 classification mismatches</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cgc_aisc_portal_frame_catalog_benchmark.py / .csv</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Real W-shape catalog audit</w:t>
            </w:r>
          </w:p>
        </w:tc>
        <w:tc>
          <w:tcPr>
            <w:tcW w:w="312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83,521 member-pair candidates and 37,156 feasible candidates</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3120" w:type="dxa"/>
          </w:tcPr>
          <w:p w:rsidR="001500F3" w:rsidRPr="00A544BF" w:rsidRDefault="000C2C1E" w:rsidP="003B7B86">
            <w:pPr>
              <w:spacing w:line="480" w:lineRule="auto"/>
              <w:rPr>
                <w:b w:val="0"/>
              </w:rPr>
            </w:pPr>
            <w:r w:rsidRPr="00A544BF">
              <w:rPr>
                <w:b w:val="0"/>
                <w:color w:val="000000"/>
                <w:sz w:val="18"/>
              </w:rPr>
              <w:t>cgc_uncertainty_robustness_probe.py / .csv</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Boundary robustness probe</w:t>
            </w:r>
          </w:p>
        </w:tc>
        <w:tc>
          <w:tcPr>
            <w:tcW w:w="312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Nominal feasibility does not imply robust-compliance claim</w:t>
            </w:r>
          </w:p>
        </w:tc>
      </w:tr>
    </w:tbl>
    <w:p w:rsidR="001500F3" w:rsidRPr="00374DCD" w:rsidRDefault="000C2C1E" w:rsidP="003B7B86">
      <w:pPr>
        <w:pStyle w:val="Heading1"/>
        <w:spacing w:line="480" w:lineRule="auto"/>
        <w:rPr>
          <w:color w:val="auto"/>
        </w:rPr>
      </w:pPr>
      <w:r w:rsidRPr="00374DCD">
        <w:rPr>
          <w:color w:val="auto"/>
        </w:rPr>
        <w:t>S3. Penalty-weight and claim-risk reporting</w:t>
      </w:r>
    </w:p>
    <w:p w:rsidR="00FC0F33" w:rsidRDefault="000C2C1E" w:rsidP="00EC40F0">
      <w:pPr>
        <w:spacing w:line="480" w:lineRule="auto"/>
      </w:pPr>
      <w:r w:rsidRPr="00374DCD">
        <w:t>Penalty-weight sweeps are reported to show that penalties can reduce residuals without authorizing encoded-compliance wording. The claim-risk benchmark now uses a deterministic ordinal rule as the primary classification: positive residual or unsupported encoded feasibility yields high claim risk; zero residual plus encoded feasibility but no recorded certificate yields moderate claim risk; zero residual plus encoded feasibility plus recorded enumeration or solver route yields low encoded-claim risk. The numeric score is retained only as a secondary audit index, and cgc_claim_risk_sensitivity.csv reports baseline, residual-heavy, certificate-heavy, and feasibility-heavy weight sets.</w:t>
      </w:r>
      <w:r w:rsidR="00EC40F0">
        <w:t xml:space="preserve"> </w:t>
      </w:r>
      <w:r w:rsidR="00EC40F0" w:rsidRPr="00EC40F0">
        <w:t>Table S3 identifies the reported penalty-weight and claim-risk quantities and explains why each quantity is included in the audit record.</w:t>
      </w:r>
    </w:p>
    <w:p w:rsidR="00FC0F33" w:rsidRDefault="00EC40F0">
      <w:pPr>
        <w:pStyle w:val="SupplementaryTableCaption"/>
      </w:pPr>
      <w:r>
        <w:t xml:space="preserve">Table S3. </w:t>
      </w:r>
      <w:r>
        <w:rPr>
          <w:b w:val="0"/>
        </w:rPr>
        <w:t>Penalty-weight and claim-risk reporting quantities.</w:t>
      </w:r>
    </w:p>
    <w:tbl>
      <w:tblPr>
        <w:tblStyle w:val="PlainTable2"/>
        <w:tblW w:w="0" w:type="auto"/>
        <w:tblLook w:val="04A0" w:firstRow="1" w:lastRow="0" w:firstColumn="1" w:lastColumn="0" w:noHBand="0" w:noVBand="1"/>
      </w:tblPr>
      <w:tblGrid>
        <w:gridCol w:w="4680"/>
        <w:gridCol w:w="4680"/>
      </w:tblGrid>
      <w:tr w:rsidR="00374DCD" w:rsidRPr="00374DCD" w:rsidTr="00A544B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rsidR="001500F3" w:rsidRPr="00374DCD" w:rsidRDefault="000C2C1E" w:rsidP="003B7B86">
            <w:pPr>
              <w:spacing w:line="480" w:lineRule="auto"/>
            </w:pPr>
            <w:r w:rsidRPr="00374DCD">
              <w:rPr>
                <w:color w:val="000000"/>
                <w:sz w:val="18"/>
              </w:rPr>
              <w:t>Reported quantity</w:t>
            </w:r>
          </w:p>
        </w:tc>
        <w:tc>
          <w:tcPr>
            <w:tcW w:w="468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Reason for inclusion</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Objective value</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Shows optimization performance within the tested formulation</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Maximum positive residual</w:t>
            </w:r>
          </w:p>
        </w:tc>
        <w:tc>
          <w:tcPr>
            <w:tcW w:w="468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Separates true encoded feasibility from residual-positive outcomes</w:t>
            </w:r>
          </w:p>
        </w:tc>
      </w:tr>
      <w:tr w:rsidR="00374DCD" w:rsidRPr="00374DCD" w:rsidTr="00A544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Catalog status</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Confirms whether the design belongs to the declared discrete catalog</w:t>
            </w:r>
          </w:p>
        </w:tc>
      </w:tr>
      <w:tr w:rsidR="00374DCD" w:rsidRPr="00374DCD" w:rsidTr="00A544BF">
        <w:tc>
          <w:tcPr>
            <w:cnfStyle w:val="001000000000" w:firstRow="0" w:lastRow="0" w:firstColumn="1" w:lastColumn="0" w:oddVBand="0" w:evenVBand="0" w:oddHBand="0" w:evenHBand="0" w:firstRowFirstColumn="0" w:firstRowLastColumn="0" w:lastRowFirstColumn="0" w:lastRowLastColumn="0"/>
            <w:tcW w:w="4680" w:type="dxa"/>
          </w:tcPr>
          <w:p w:rsidR="001500F3" w:rsidRPr="00A544BF" w:rsidRDefault="000C2C1E" w:rsidP="003B7B86">
            <w:pPr>
              <w:spacing w:line="480" w:lineRule="auto"/>
              <w:rPr>
                <w:b w:val="0"/>
              </w:rPr>
            </w:pPr>
            <w:r w:rsidRPr="00A544BF">
              <w:rPr>
                <w:b w:val="0"/>
                <w:color w:val="000000"/>
                <w:sz w:val="18"/>
              </w:rPr>
              <w:t>Claim label</w:t>
            </w:r>
          </w:p>
        </w:tc>
        <w:tc>
          <w:tcPr>
            <w:tcW w:w="468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Prevents a residual-positive or out-of-scope result from being described as compliant</w:t>
            </w:r>
          </w:p>
        </w:tc>
      </w:tr>
    </w:tbl>
    <w:p w:rsidR="001500F3" w:rsidRPr="00374DCD" w:rsidRDefault="000C2C1E" w:rsidP="003B7B86">
      <w:pPr>
        <w:pStyle w:val="Heading1"/>
        <w:spacing w:line="480" w:lineRule="auto"/>
        <w:rPr>
          <w:color w:val="auto"/>
        </w:rPr>
      </w:pPr>
      <w:r w:rsidRPr="00374DCD">
        <w:rPr>
          <w:color w:val="auto"/>
        </w:rPr>
        <w:t>S4. Independent OpenSeesPy blind FEM cross-check</w:t>
      </w:r>
    </w:p>
    <w:p w:rsidR="001500F3" w:rsidRPr="00374DCD" w:rsidRDefault="000C2C1E" w:rsidP="003B7B86">
      <w:pPr>
        <w:spacing w:line="480" w:lineRule="auto"/>
      </w:pPr>
      <w:r w:rsidRPr="00374DCD">
        <w:t>The independent OpenSeesPy cross-check evaluates 45 cases with a separate finite-element implementation. The result file reports zero classification mismatches and numerical differences at round-off scale, supporting the structural evaluator used in the certification workflow.</w:t>
      </w:r>
    </w:p>
    <w:p w:rsidR="001500F3" w:rsidRPr="00374DCD" w:rsidRDefault="000C2C1E" w:rsidP="003B7B86">
      <w:pPr>
        <w:pStyle w:val="Heading1"/>
        <w:spacing w:line="480" w:lineRule="auto"/>
        <w:rPr>
          <w:color w:val="auto"/>
        </w:rPr>
      </w:pPr>
      <w:r w:rsidRPr="00374DCD">
        <w:rPr>
          <w:color w:val="auto"/>
        </w:rPr>
        <w:t>S5. AISC W-shape real-catalog portal-frame audit</w:t>
      </w:r>
    </w:p>
    <w:p w:rsidR="003D79E2" w:rsidRDefault="003D79E2" w:rsidP="003B7B86">
      <w:pPr>
        <w:pStyle w:val="Heading1"/>
        <w:spacing w:line="480" w:lineRule="auto"/>
        <w:rPr>
          <w:rFonts w:ascii="Times New Roman" w:eastAsiaTheme="minorEastAsia" w:hAnsi="Times New Roman" w:cstheme="minorBidi"/>
          <w:b w:val="0"/>
          <w:bCs w:val="0"/>
          <w:color w:val="auto"/>
          <w:sz w:val="22"/>
          <w:szCs w:val="22"/>
        </w:rPr>
      </w:pPr>
      <w:r>
        <w:rPr>
          <w:rFonts w:ascii="Times New Roman" w:eastAsiaTheme="minorEastAsia" w:hAnsi="Times New Roman" w:cstheme="minorBidi"/>
          <w:b w:val="0"/>
          <w:bCs w:val="0"/>
          <w:color w:val="auto"/>
          <w:sz w:val="22"/>
          <w:szCs w:val="22"/>
        </w:rPr>
        <w:t>The AISC benchmark is an optional external-data benchmark. The AISC spreadsheet is not redistributed in the clean ZIP; users must obtain the official spreadsheet and place it at the documented path. The local audit used 289 W-shapes, producing 83,521 member-pair candidates and 37,156 feasible candidates under the declared simplified loads and encoded limits. The file cgc_aisc_source_traceability.csv reports the local spreadsheet SHA256 used for verification, the benchmark-output SHA256, shape count, candidate count, feasible count, and best feasible W-shape pair. This supports only an AISC W-shape catalog audit under declared assumptions, not AISC approval, professional certification, comprehensive experimental validation, or full building-code translation.</w:t>
      </w:r>
    </w:p>
    <w:p w:rsidR="001500F3" w:rsidRPr="00374DCD" w:rsidRDefault="000C2C1E" w:rsidP="003B7B86">
      <w:pPr>
        <w:pStyle w:val="Heading1"/>
        <w:spacing w:line="480" w:lineRule="auto"/>
        <w:rPr>
          <w:color w:val="auto"/>
        </w:rPr>
      </w:pPr>
      <w:r w:rsidRPr="00374DCD">
        <w:rPr>
          <w:color w:val="auto"/>
        </w:rPr>
        <w:t>S6. Certificate propositions and scope limits</w:t>
      </w:r>
    </w:p>
    <w:p w:rsidR="001500F3" w:rsidRPr="00374DCD" w:rsidRDefault="000C2C1E" w:rsidP="003B7B86">
      <w:pPr>
        <w:spacing w:line="480" w:lineRule="auto"/>
      </w:pPr>
      <w:r w:rsidRPr="00374DCD">
        <w:t>Proposition S1, encoded-compliance certificate: if all declared encoded residuals are non-positive within tolerance, catalog membership is valid, and the verification route is recorded, the design supports only the corresponding encoded-compliance claim.</w:t>
      </w:r>
    </w:p>
    <w:p w:rsidR="001500F3" w:rsidRPr="00374DCD" w:rsidRDefault="000C2C1E" w:rsidP="003B7B86">
      <w:pPr>
        <w:spacing w:line="480" w:lineRule="auto"/>
      </w:pPr>
      <w:r w:rsidRPr="00374DCD">
        <w:t>Proposition S2, finite-catalog optimality certificate: if every member of a finite declared catalog set is evaluated and the selected candidate has the minimum objective among feasible candidates, optimality is certified only over that finite enumerated set.</w:t>
      </w:r>
    </w:p>
    <w:p w:rsidR="001500F3" w:rsidRPr="00374DCD" w:rsidRDefault="000C2C1E" w:rsidP="003B7B86">
      <w:pPr>
        <w:spacing w:line="480" w:lineRule="auto"/>
      </w:pPr>
      <w:r w:rsidRPr="00374DCD">
        <w:t>Proposition S3, penalty non-certification: a penalty-selected candidate with any positive encoded residual cannot support an encoded-compliance claim even if its penalized objective is competitive.</w:t>
      </w:r>
    </w:p>
    <w:p w:rsidR="001500F3" w:rsidRPr="00374DCD" w:rsidRDefault="000C2C1E" w:rsidP="003B7B86">
      <w:pPr>
        <w:pStyle w:val="Heading1"/>
        <w:spacing w:line="480" w:lineRule="auto"/>
        <w:rPr>
          <w:color w:val="auto"/>
        </w:rPr>
      </w:pPr>
      <w:r w:rsidRPr="00374DCD">
        <w:rPr>
          <w:color w:val="auto"/>
        </w:rPr>
        <w:t>S7. Monte Carlo robustness boundary probe</w:t>
      </w:r>
    </w:p>
    <w:p w:rsidR="001500F3" w:rsidRPr="00374DCD" w:rsidRDefault="000C2C1E" w:rsidP="003B7B86">
      <w:pPr>
        <w:spacing w:line="480" w:lineRule="auto"/>
      </w:pPr>
      <w:r w:rsidRPr="00374DCD">
        <w:t>The robustness probe perturbs load and elastic modulus by +/-10% over 2,000 samples per design. The nominal exact design had feasible rate 0.5515 and the near-boundary design had feasible rate 0.3675. These results deliberately prevent nominal encoded feasibility from being overstated as a robust-design-support claim.</w:t>
      </w:r>
    </w:p>
    <w:p w:rsidR="001500F3" w:rsidRPr="00374DCD" w:rsidRDefault="000C2C1E" w:rsidP="003B7B86">
      <w:pPr>
        <w:pStyle w:val="Heading1"/>
        <w:spacing w:line="480" w:lineRule="auto"/>
        <w:rPr>
          <w:color w:val="auto"/>
        </w:rPr>
      </w:pPr>
      <w:r w:rsidRPr="00374DCD">
        <w:rPr>
          <w:color w:val="auto"/>
        </w:rPr>
        <w:t>S8. Alignment with original-research reporting guides</w:t>
      </w:r>
    </w:p>
    <w:p w:rsidR="00FC0F33" w:rsidRPr="00EC40F0" w:rsidRDefault="000C2C1E" w:rsidP="00EC40F0">
      <w:pPr>
        <w:spacing w:line="480" w:lineRule="auto"/>
      </w:pPr>
      <w:r w:rsidRPr="00374DCD">
        <w:t>The reporting package follows original-research principles from the supplied ICMJE, MDAR, EQUATOR, and LEEME guidance: transparent methods, explicit materials/data availability, reproducible computational workflow, limits of inference, and separation between main findings and suppl</w:t>
      </w:r>
      <w:r w:rsidR="00EC40F0">
        <w:t xml:space="preserve">ementary evidence. </w:t>
      </w:r>
      <w:r w:rsidR="00EC40F0" w:rsidRPr="00EC40F0">
        <w:t>Table S4 summarizes how the supplementary package aligns reporting items with the locations where they are addressed in the manuscript and supporting files.</w:t>
      </w:r>
    </w:p>
    <w:p w:rsidR="00FC0F33" w:rsidRDefault="00EC40F0">
      <w:pPr>
        <w:pStyle w:val="SupplementaryTableCaption"/>
      </w:pPr>
      <w:r>
        <w:t xml:space="preserve">Table S4. </w:t>
      </w:r>
      <w:r>
        <w:rPr>
          <w:b w:val="0"/>
        </w:rPr>
        <w:t>Reporting-guide alignment items and locations.</w:t>
      </w:r>
    </w:p>
    <w:tbl>
      <w:tblPr>
        <w:tblStyle w:val="PlainTable2"/>
        <w:tblW w:w="0" w:type="auto"/>
        <w:tblLook w:val="04A0" w:firstRow="1" w:lastRow="0" w:firstColumn="1" w:lastColumn="0" w:noHBand="0" w:noVBand="1"/>
      </w:tblPr>
      <w:tblGrid>
        <w:gridCol w:w="4680"/>
        <w:gridCol w:w="4680"/>
      </w:tblGrid>
      <w:tr w:rsidR="00374DCD" w:rsidRPr="00374DCD" w:rsidTr="008613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rsidR="001500F3" w:rsidRPr="00374DCD" w:rsidRDefault="000C2C1E" w:rsidP="003B7B86">
            <w:pPr>
              <w:spacing w:line="480" w:lineRule="auto"/>
            </w:pPr>
            <w:r w:rsidRPr="00374DCD">
              <w:rPr>
                <w:color w:val="000000"/>
                <w:sz w:val="18"/>
              </w:rPr>
              <w:t>Reporting item</w:t>
            </w:r>
          </w:p>
        </w:tc>
        <w:tc>
          <w:tcPr>
            <w:tcW w:w="4680" w:type="dxa"/>
          </w:tcPr>
          <w:p w:rsidR="001500F3" w:rsidRPr="00374DCD" w:rsidRDefault="000C2C1E" w:rsidP="003B7B86">
            <w:pPr>
              <w:spacing w:line="480" w:lineRule="auto"/>
              <w:cnfStyle w:val="100000000000" w:firstRow="1" w:lastRow="0" w:firstColumn="0" w:lastColumn="0" w:oddVBand="0" w:evenVBand="0" w:oddHBand="0" w:evenHBand="0" w:firstRowFirstColumn="0" w:firstRowLastColumn="0" w:lastRowFirstColumn="0" w:lastRowLastColumn="0"/>
            </w:pPr>
            <w:r w:rsidRPr="00374DCD">
              <w:rPr>
                <w:color w:val="000000"/>
                <w:sz w:val="18"/>
              </w:rPr>
              <w:t>Where addressed</w:t>
            </w:r>
          </w:p>
        </w:tc>
      </w:tr>
      <w:tr w:rsidR="00374DCD" w:rsidRPr="00374DCD" w:rsidTr="00861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861351" w:rsidRDefault="000C2C1E" w:rsidP="003B7B86">
            <w:pPr>
              <w:spacing w:line="480" w:lineRule="auto"/>
              <w:rPr>
                <w:b w:val="0"/>
              </w:rPr>
            </w:pPr>
            <w:r w:rsidRPr="00861351">
              <w:rPr>
                <w:b w:val="0"/>
                <w:color w:val="000000"/>
                <w:sz w:val="18"/>
              </w:rPr>
              <w:t>Methods transparency</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Main methods plus S1-S3 and executable scripts</w:t>
            </w:r>
          </w:p>
        </w:tc>
      </w:tr>
      <w:tr w:rsidR="00374DCD" w:rsidRPr="00374DCD" w:rsidTr="00861351">
        <w:tc>
          <w:tcPr>
            <w:cnfStyle w:val="001000000000" w:firstRow="0" w:lastRow="0" w:firstColumn="1" w:lastColumn="0" w:oddVBand="0" w:evenVBand="0" w:oddHBand="0" w:evenHBand="0" w:firstRowFirstColumn="0" w:firstRowLastColumn="0" w:lastRowFirstColumn="0" w:lastRowLastColumn="0"/>
            <w:tcW w:w="4680" w:type="dxa"/>
          </w:tcPr>
          <w:p w:rsidR="003D79E2" w:rsidRDefault="003D79E2" w:rsidP="003B7B86">
            <w:pPr>
              <w:spacing w:line="480" w:lineRule="auto"/>
              <w:rPr>
                <w:b w:val="0"/>
                <w:color w:val="000000"/>
                <w:sz w:val="18"/>
              </w:rPr>
            </w:pPr>
            <w:r>
              <w:rPr>
                <w:b w:val="0"/>
                <w:color w:val="000000"/>
                <w:sz w:val="18"/>
              </w:rPr>
              <w:t>Verification, response-support sensitivity, and reproducibility</w:t>
            </w:r>
          </w:p>
          <w:p w:rsidR="001500F3" w:rsidRPr="00861351" w:rsidRDefault="001500F3" w:rsidP="003B7B86">
            <w:pPr>
              <w:spacing w:line="480" w:lineRule="auto"/>
              <w:rPr>
                <w:b w:val="0"/>
              </w:rPr>
            </w:pPr>
          </w:p>
        </w:tc>
        <w:tc>
          <w:tcPr>
            <w:tcW w:w="4680" w:type="dxa"/>
          </w:tcPr>
          <w:p w:rsidR="003D79E2" w:rsidRDefault="003D79E2" w:rsidP="003B7B86">
            <w:pPr>
              <w:spacing w:line="480" w:lineRule="auto"/>
              <w:cnfStyle w:val="000000000000" w:firstRow="0" w:lastRow="0" w:firstColumn="0" w:lastColumn="0" w:oddVBand="0" w:evenVBand="0" w:oddHBand="0" w:evenHBand="0" w:firstRowFirstColumn="0" w:firstRowLastColumn="0" w:lastRowFirstColumn="0" w:lastRowLastColumn="0"/>
              <w:rPr>
                <w:color w:val="000000"/>
                <w:sz w:val="18"/>
              </w:rPr>
            </w:pPr>
            <w:r>
              <w:rPr>
                <w:color w:val="000000"/>
                <w:sz w:val="18"/>
              </w:rPr>
              <w:t>OpenSeesPy cross-check, AISC optional audit and traceability, threshold-sensitivity table, run_all.py --quick/--smoke, README, requirements.txt</w:t>
            </w:r>
          </w:p>
          <w:p w:rsidR="001500F3" w:rsidRPr="00374DCD" w:rsidRDefault="001500F3" w:rsidP="003B7B86">
            <w:pPr>
              <w:spacing w:line="480" w:lineRule="auto"/>
              <w:cnfStyle w:val="000000000000" w:firstRow="0" w:lastRow="0" w:firstColumn="0" w:lastColumn="0" w:oddVBand="0" w:evenVBand="0" w:oddHBand="0" w:evenHBand="0" w:firstRowFirstColumn="0" w:firstRowLastColumn="0" w:lastRowFirstColumn="0" w:lastRowLastColumn="0"/>
            </w:pPr>
          </w:p>
        </w:tc>
      </w:tr>
      <w:tr w:rsidR="00374DCD" w:rsidRPr="00374DCD" w:rsidTr="00861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rsidR="001500F3" w:rsidRPr="00861351" w:rsidRDefault="000C2C1E" w:rsidP="003B7B86">
            <w:pPr>
              <w:spacing w:line="480" w:lineRule="auto"/>
              <w:rPr>
                <w:b w:val="0"/>
              </w:rPr>
            </w:pPr>
            <w:r w:rsidRPr="00861351">
              <w:rPr>
                <w:b w:val="0"/>
                <w:color w:val="000000"/>
                <w:sz w:val="18"/>
              </w:rPr>
              <w:t>Limits of inference</w:t>
            </w:r>
          </w:p>
        </w:tc>
        <w:tc>
          <w:tcPr>
            <w:tcW w:w="4680" w:type="dxa"/>
          </w:tcPr>
          <w:p w:rsidR="001500F3" w:rsidRPr="00374DCD" w:rsidRDefault="000C2C1E" w:rsidP="003B7B86">
            <w:pPr>
              <w:spacing w:line="480" w:lineRule="auto"/>
              <w:cnfStyle w:val="000000100000" w:firstRow="0" w:lastRow="0" w:firstColumn="0" w:lastColumn="0" w:oddVBand="0" w:evenVBand="0" w:oddHBand="1" w:evenHBand="0" w:firstRowFirstColumn="0" w:firstRowLastColumn="0" w:lastRowFirstColumn="0" w:lastRowLastColumn="0"/>
            </w:pPr>
            <w:r w:rsidRPr="00374DCD">
              <w:rPr>
                <w:color w:val="000000"/>
                <w:sz w:val="18"/>
              </w:rPr>
              <w:t>Main limitations plus S5-S7 scope statements</w:t>
            </w:r>
          </w:p>
        </w:tc>
      </w:tr>
      <w:tr w:rsidR="00374DCD" w:rsidRPr="00374DCD" w:rsidTr="00861351">
        <w:tc>
          <w:tcPr>
            <w:cnfStyle w:val="001000000000" w:firstRow="0" w:lastRow="0" w:firstColumn="1" w:lastColumn="0" w:oddVBand="0" w:evenVBand="0" w:oddHBand="0" w:evenHBand="0" w:firstRowFirstColumn="0" w:firstRowLastColumn="0" w:lastRowFirstColumn="0" w:lastRowLastColumn="0"/>
            <w:tcW w:w="4680" w:type="dxa"/>
          </w:tcPr>
          <w:p w:rsidR="001500F3" w:rsidRPr="00861351" w:rsidRDefault="000C2C1E" w:rsidP="003B7B86">
            <w:pPr>
              <w:spacing w:line="480" w:lineRule="auto"/>
              <w:rPr>
                <w:b w:val="0"/>
              </w:rPr>
            </w:pPr>
            <w:r w:rsidRPr="00861351">
              <w:rPr>
                <w:b w:val="0"/>
                <w:color w:val="000000"/>
                <w:sz w:val="18"/>
              </w:rPr>
              <w:t>Data/material availability</w:t>
            </w:r>
          </w:p>
        </w:tc>
        <w:tc>
          <w:tcPr>
            <w:tcW w:w="4680" w:type="dxa"/>
          </w:tcPr>
          <w:p w:rsidR="001500F3" w:rsidRPr="00374DCD" w:rsidRDefault="000C2C1E" w:rsidP="003B7B86">
            <w:pPr>
              <w:spacing w:line="480" w:lineRule="auto"/>
              <w:cnfStyle w:val="000000000000" w:firstRow="0" w:lastRow="0" w:firstColumn="0" w:lastColumn="0" w:oddVBand="0" w:evenVBand="0" w:oddHBand="0" w:evenHBand="0" w:firstRowFirstColumn="0" w:firstRowLastColumn="0" w:lastRowFirstColumn="0" w:lastRowLastColumn="0"/>
            </w:pPr>
            <w:r w:rsidRPr="00374DCD">
              <w:rPr>
                <w:color w:val="000000"/>
                <w:sz w:val="18"/>
              </w:rPr>
              <w:t>CSV files, scripts, AISC acquisition note, clean supplementary ZIP</w:t>
            </w:r>
          </w:p>
        </w:tc>
      </w:tr>
    </w:tbl>
    <w:p w:rsidR="00861351" w:rsidRDefault="000C2C1E" w:rsidP="00861351">
      <w:pPr>
        <w:pStyle w:val="Heading1"/>
        <w:rPr>
          <w:color w:val="auto"/>
        </w:rPr>
      </w:pPr>
      <w:r w:rsidRPr="00861351">
        <w:rPr>
          <w:color w:val="auto"/>
        </w:rPr>
        <w:t>S9. Certificate handoff for virtual testing and full-code audit</w:t>
      </w:r>
    </w:p>
    <w:p w:rsidR="00861351" w:rsidRPr="00861351" w:rsidRDefault="00861351" w:rsidP="00861351"/>
    <w:p w:rsidR="001500F3" w:rsidRPr="00374DCD" w:rsidRDefault="000C2C1E" w:rsidP="003B7B86">
      <w:pPr>
        <w:spacing w:line="480" w:lineRule="auto"/>
      </w:pPr>
      <w:r w:rsidRPr="00374DCD">
        <w:t xml:space="preserve">The file cgc_certificate_handoff_schema.json provides a structured example of the information that a residual-evidence claim passport should pass to downstream verification environments: geometry, assigned catalog sections, encoded residual checks, declared exclusions, verification route, and intended handoff targets. The schema is deliberately not presented as evidence of </w:t>
      </w:r>
      <w:r w:rsidR="00077558">
        <w:t>completed external response validation</w:t>
      </w:r>
      <w:r w:rsidRPr="00374DCD">
        <w:t xml:space="preserve"> or clause-complete code support. Its role is to make the transition from optimization audit to later nonlinear virtual testing, commercial design-engine checking, or </w:t>
      </w:r>
      <w:r w:rsidR="00077558">
        <w:t>laboratory-response planning</w:t>
      </w:r>
      <w:r w:rsidRPr="00374DCD">
        <w:t xml:space="preserve"> explicit and reproducible.</w:t>
      </w:r>
    </w:p>
    <w:p w:rsidR="001500F3" w:rsidRPr="00374DCD" w:rsidRDefault="000C2C1E" w:rsidP="003B7B86">
      <w:pPr>
        <w:spacing w:line="480" w:lineRule="auto"/>
      </w:pPr>
      <w:r w:rsidRPr="00374DCD">
        <w:t>A downstream virtual-laboratory implementation could import the certificate into a high-fidelity nonlinear finite-element model with material inelasticity, geometric nonlinearity, post-buckling checks, or dynamic collapse simulations. A downstream full-code implementation could map the same metadata into a commercial design-checking API and return violated clauses as new residuals. These extensions are future validation pathways, not claims made by the present benchmark.</w:t>
      </w:r>
    </w:p>
    <w:p w:rsidR="001500F3" w:rsidRDefault="000C2C1E" w:rsidP="00861351">
      <w:pPr>
        <w:pStyle w:val="Heading1"/>
        <w:rPr>
          <w:color w:val="auto"/>
        </w:rPr>
      </w:pPr>
      <w:r w:rsidRPr="00861351">
        <w:rPr>
          <w:color w:val="auto"/>
        </w:rPr>
        <w:t xml:space="preserve">S10. </w:t>
      </w:r>
      <w:r w:rsidR="0078183F">
        <w:rPr>
          <w:color w:val="auto"/>
        </w:rPr>
        <w:t>Code-and-response support extension</w:t>
      </w:r>
    </w:p>
    <w:p w:rsidR="00861351" w:rsidRPr="00861351" w:rsidRDefault="00861351" w:rsidP="00861351"/>
    <w:p w:rsidR="001500F3" w:rsidRPr="00374DCD" w:rsidRDefault="000C2C1E" w:rsidP="003B7B86">
      <w:pPr>
        <w:spacing w:line="480" w:lineRule="auto"/>
      </w:pPr>
      <w:r w:rsidRPr="00374DCD">
        <w:t xml:space="preserve">The files cgc_full_code_clause_register.csv, cgc_full_code_validation_oracle_comparison.py, cgc_portal_frame_full_code_validation.py, cgc_extended_claim_risk_benchmark.py, and </w:t>
      </w:r>
      <w:r w:rsidR="00F66BCB">
        <w:t>cgc_aisc_claim_gate.py</w:t>
      </w:r>
      <w:r w:rsidRPr="00374DCD">
        <w:t xml:space="preserve"> add explicit code-validation status fields to the benchmark report. The current status is partial code-oracle support for declared simplified checks, not full ASCE/AISC approval. A full-code-check-supported claim would require clause-complete coverage for the declared code editions, load combinations, member types, and connection/detailing assumptions, plus independent oracle agreement.</w:t>
      </w:r>
    </w:p>
    <w:p w:rsidR="0004287B" w:rsidRPr="00374DCD" w:rsidRDefault="00374DCD" w:rsidP="003B7B86">
      <w:pPr>
        <w:spacing w:line="480" w:lineRule="auto"/>
      </w:pPr>
      <w:r w:rsidRPr="00374DCD">
        <w:t xml:space="preserve">The evidence ladder is L0 optimization-result only; L1 encoded-compliance support; L2 load-code-supported support; L3 clause-complete code-check-supported support; L4 </w:t>
      </w:r>
      <w:r w:rsidR="00463BDE">
        <w:t>published-response support</w:t>
      </w:r>
      <w:r w:rsidRPr="00374DCD">
        <w:t xml:space="preserve"> within a declared structural class and loading protocol; and L5 engineering approval. L5 is outside the paper. L3 and L4 are admissible only when the corresponding oracle and </w:t>
      </w:r>
      <w:r w:rsidR="0078183F">
        <w:t>published-response</w:t>
      </w:r>
      <w:r w:rsidRPr="00374DCD">
        <w:t xml:space="preserve"> evidence files report passing status.</w:t>
      </w:r>
    </w:p>
    <w:p w:rsidR="0004287B" w:rsidRPr="00374DCD" w:rsidRDefault="00374DCD" w:rsidP="003B7B86">
      <w:pPr>
        <w:spacing w:line="480" w:lineRule="auto"/>
      </w:pPr>
      <w:r w:rsidRPr="00374DCD">
        <w:t xml:space="preserve">The supplementary file cgc_code_physics_validation_extension.md records this ladder, required evidence, current package status, and blocked overclaim examples so that reviewers can distinguish encoded feasibility, partial code-oracle support, clause-complete code-check support, and </w:t>
      </w:r>
      <w:r w:rsidR="00463BDE">
        <w:t>published-response support</w:t>
      </w:r>
      <w:r w:rsidRPr="00374DCD">
        <w:t>.</w:t>
      </w:r>
    </w:p>
    <w:p w:rsidR="003D79E2" w:rsidRDefault="003D79E2" w:rsidP="003B7B86">
      <w:pPr>
        <w:spacing w:line="480" w:lineRule="auto"/>
      </w:pPr>
      <w:r>
        <w:t>The files cgc_portal_frame_published_test_register.csv, cgc_portal_frame_experimental_response.csv, cgc_portal_frame_response_support.py, cgc_portal_frame_response_support_summary.csv, cgc_portal_frame_response_support_details.csv, cgc_response_support_threshold_sensitivity.csv, cgc_portal_frame_raw_data_manifest.csv, and cgc_portal_frame_raw_data_acquisition_note.md add a limited published-response support layer. The raw DesignSafe/NEES SAC Steel Project Experiment 5 files are stored outside the submission ZIP in the local/Drive raw-data folder, while the processed service-envelope points are included in the ZIP. The script screens ten raw cyclic response curves, accepts seven specimens under the declared service-response and initial-stiffness tolerances, logs three failed or insufficient cases, and reports false_certified_count = 0. The sensitivity table reports how the passing count changes under NRMSE limits 0.10/0.15/0.20 and stiffness-error limits 0.15/0.20/0.25. The resulting response_support_status is supported_by_processed_published_response_data for the tested steel-frame response family only; it is not safety certification, AISC approval, professional certification, or complete regulatory approval.</w:t>
      </w:r>
    </w:p>
    <w:p w:rsidR="00BF5A91" w:rsidRDefault="00BF5A91" w:rsidP="00861351">
      <w:pPr>
        <w:pStyle w:val="Heading1"/>
        <w:rPr>
          <w:rFonts w:ascii="Times New Roman" w:eastAsiaTheme="minorEastAsia" w:hAnsi="Times New Roman" w:cstheme="minorBidi"/>
          <w:b w:val="0"/>
          <w:bCs w:val="0"/>
          <w:color w:val="auto"/>
          <w:sz w:val="22"/>
          <w:szCs w:val="22"/>
        </w:rPr>
      </w:pPr>
      <w:r>
        <w:rPr>
          <w:rFonts w:ascii="Times New Roman" w:eastAsiaTheme="minorEastAsia" w:hAnsi="Times New Roman" w:cstheme="minorBidi"/>
          <w:b w:val="0"/>
          <w:bCs w:val="0"/>
          <w:color w:val="auto"/>
          <w:sz w:val="22"/>
          <w:szCs w:val="22"/>
        </w:rPr>
        <w:t>The files cgc_truss_published_test_register.csv, cgc_truss_experimental_response.csv, cgc_truss_response_support.py, cgc_truss_response_support_summary.csv, cgc_truss_response_support_details.csv, cgc_response_support_threshold_sensitivity.csv, cgc_truss_raw_data_manifest.csv, and cgc_truss_raw_data_acquisition_note.md add a limited published truss published-response support layer. The public Zenodo workbook 10.5281/zenodo.15658671 is not bundled in the submission ZIP; the ZIP provides processed response points, a manifest, and acquisition instructions for optional raw-data reruns. The module screens seven truss damage/collapse cases against intact-state sensor baselines, accepts six under the declared detection rule, logs one discrepancy, and reports false_certified_count = 0. The sensitivity table reports the passing count under detection-rate limits 0.45/0.50/0.55.</w:t>
      </w:r>
    </w:p>
    <w:p w:rsidR="000C2C1E" w:rsidRDefault="000C2C1E" w:rsidP="00861351">
      <w:pPr>
        <w:pStyle w:val="Heading1"/>
        <w:rPr>
          <w:color w:val="auto"/>
        </w:rPr>
      </w:pPr>
      <w:r w:rsidRPr="00861351">
        <w:rPr>
          <w:color w:val="auto"/>
        </w:rPr>
        <w:t>S11. Reviewer-facing claim-status controls</w:t>
      </w:r>
    </w:p>
    <w:p w:rsidR="00861351" w:rsidRPr="00861351" w:rsidRDefault="00861351" w:rsidP="00861351"/>
    <w:p w:rsidR="000C2C1E" w:rsidRPr="00374DCD" w:rsidRDefault="000C2C1E" w:rsidP="003B7B86">
      <w:pPr>
        <w:spacing w:line="480" w:lineRule="auto"/>
      </w:pPr>
      <w:r w:rsidRPr="00374DCD">
        <w:t>The final supplementary package adds reviewer-facing controls that test whether the framework blocks unsupported wording rather than merely accepting residual-zero cases. The file cgc_claim_status_by_evidence_layer.csv records the evidence layer supporting each benchmark claim. The negative-control claim test deliberately introduces off-catalog sections, positive residuals, missing verification routes, AISC-approval wording without code-clause evidence, and robust wording without robust-design evidence; all cases are blocked or downgraded and false_certified_count remains 0. The manual oracle check compares 18 hand-calculation cases for drift, demand/capacity, strong-column/weak-beam, shear hierarchy, catalog membership, and residual sign convention, with zero classification mismatches. The file cgc_reviewer_claim_audit_checklist.md maps likely reviewer questions to the exact supplementary artifact that answers each question.</w:t>
      </w:r>
    </w:p>
    <w:p w:rsidR="00861351" w:rsidRDefault="00374DCD" w:rsidP="00861351">
      <w:pPr>
        <w:pStyle w:val="Heading1"/>
        <w:rPr>
          <w:color w:val="auto"/>
        </w:rPr>
      </w:pPr>
      <w:r w:rsidRPr="00861351">
        <w:rPr>
          <w:color w:val="auto"/>
        </w:rPr>
        <w:t xml:space="preserve">S12. </w:t>
      </w:r>
      <w:r w:rsidR="002C5304">
        <w:rPr>
          <w:color w:val="auto"/>
        </w:rPr>
        <w:t>Software-package integrity</w:t>
      </w:r>
      <w:r w:rsidRPr="00861351">
        <w:rPr>
          <w:color w:val="auto"/>
        </w:rPr>
        <w:t>.</w:t>
      </w:r>
    </w:p>
    <w:p w:rsidR="00861351" w:rsidRPr="00861351" w:rsidRDefault="00861351" w:rsidP="00861351"/>
    <w:p w:rsidR="003D79E2" w:rsidRDefault="003D79E2" w:rsidP="003B7B86">
      <w:pPr>
        <w:spacing w:line="480" w:lineRule="auto"/>
      </w:pPr>
      <w:r>
        <w:t>The files cgc_software_package_integrity.py, cgc_software_package_integrity_details.csv, cgc_software_package_integrity_summary.csv, and cgc_software_package_integrity_note.txt check the reproducibility package across presentation, application, data, and integration layers. The checker compiles package Python scripts, checks required entry points, verifies critical CSV schemas and processed datasets, confirms ZIP exclusions and upload-package hash consistency, and writes software_package_integrity_status back to cgc_benchmark_reporting_summary.csv. A passed result authorizes only software-package integrity of the reproducibility package; it is not structural-code approval, professional approval, legal approval, or complete regulatory approval. The checker also confirms that the redistributable Zenodo raw workbook, response-support threshold-sensitivity table, AISC traceability table, and vendored PuLP/CBC license note are present when the full package is checked.</w:t>
      </w:r>
    </w:p>
    <w:p w:rsidR="003D79E2" w:rsidRDefault="003D79E2" w:rsidP="003B7B86">
      <w:pPr>
        <w:spacing w:line="480" w:lineRule="auto"/>
      </w:pPr>
      <w:r>
        <w:t>Third-party raw-data redistribution note. The file third_party_raw_data_redistribution_note.md summarizes why some third-party raw datasets are included while others are not. The Zenodo truss workbook is redistributed because the source record declares CC BY 4.0 licensing. The DesignSafe/NEES portal-frame raw files and the AISC Shapes Database spreadsheet are not redistributed because open redistribution permission was not confirmed for those third-party resources; the package therefore includes processed response-support points, source manifests, acquisition notes, AISC source/output checksums, and rerun instructions instead.</w:t>
      </w:r>
    </w:p>
    <w:p w:rsidR="0004287B" w:rsidRPr="00374DCD" w:rsidRDefault="0004287B" w:rsidP="003B7B86">
      <w:pPr>
        <w:spacing w:line="480" w:lineRule="auto"/>
      </w:pPr>
    </w:p>
    <w:sectPr w:rsidR="0004287B" w:rsidRPr="00374D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87B"/>
    <w:rsid w:val="0006063C"/>
    <w:rsid w:val="00077558"/>
    <w:rsid w:val="000C2C1E"/>
    <w:rsid w:val="001500F3"/>
    <w:rsid w:val="0015074B"/>
    <w:rsid w:val="0029639D"/>
    <w:rsid w:val="002C5304"/>
    <w:rsid w:val="00326F90"/>
    <w:rsid w:val="003449C4"/>
    <w:rsid w:val="00374DCD"/>
    <w:rsid w:val="003B7B86"/>
    <w:rsid w:val="003D79E2"/>
    <w:rsid w:val="00463BDE"/>
    <w:rsid w:val="00513C10"/>
    <w:rsid w:val="0078183F"/>
    <w:rsid w:val="00861351"/>
    <w:rsid w:val="00A32F84"/>
    <w:rsid w:val="00A544BF"/>
    <w:rsid w:val="00AA1D8D"/>
    <w:rsid w:val="00B47730"/>
    <w:rsid w:val="00BF5A91"/>
    <w:rsid w:val="00CB0664"/>
    <w:rsid w:val="00D46EFD"/>
    <w:rsid w:val="00EC40F0"/>
    <w:rsid w:val="00F40640"/>
    <w:rsid w:val="00F66BCB"/>
    <w:rsid w:val="00F81545"/>
    <w:rsid w:val="00FC0F33"/>
    <w:rsid w:val="00FC693F"/>
    <w:rsid w:val="00FD2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4509C5-07E6-4F53-A49E-9CEE9E06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A544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upplementaryTableCaption">
    <w:name w:val="Supplementary Table Caption"/>
    <w:basedOn w:val="Caption"/>
    <w:pPr>
      <w:keepNext/>
      <w:spacing w:before="120" w:after="6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94010D-D640-48E2-9E1A-39399CEB3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2513</Words>
  <Characters>13827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 An Optimizer-Agnostic Certification Layer for Engineering Design Optimization Outputs</dc:title>
  <dc:subject>Residual-evidence claim-assurance audit prepared for Engineering Optimization</dc:subject>
  <dc:creator>Gabriel Jesus Montufar Chiriboga</dc:creator>
  <cp:keywords>encoded-claim optimization; claim-assurance audit; residual-risk benchmark; discrete catalog search; verification route; evidence layer</cp:keywords>
  <dc:description>generated by python-docx</dc:description>
  <cp:lastModifiedBy>yo yo</cp:lastModifiedBy>
  <cp:revision>18</cp:revision>
  <dcterms:created xsi:type="dcterms:W3CDTF">2013-12-23T23:15:00Z</dcterms:created>
  <dcterms:modified xsi:type="dcterms:W3CDTF">2026-06-01T01:18:00Z</dcterms:modified>
  <cp:category/>
</cp:coreProperties>
</file>