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bookmarkStart w:id="0" w:name="_GoBack"/>
      <w:bookmarkEnd w:id="0"/>
      <w:r>
        <w:t>Non-stationary liquefaction reliability updating under groundwater and gradation-change scenarios</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Panama, Panama. </w:t>
      </w:r>
      <w:r>
        <w:t>Corresponding author: gabriel.montufar@up.ac.pa</w:t>
      </w:r>
    </w:p>
    <w:p w:rsidR="00AD65CC" w:rsidRPr="00F436BC" w:rsidRDefault="000A5A2B" w:rsidP="00F436BC">
      <w:pPr>
        <w:pStyle w:val="Heading1"/>
        <w:rPr>
          <w:rFonts w:ascii="Arial" w:hAnsi="Arial"/>
        </w:rPr>
      </w:pPr>
      <w:r w:rsidRPr="00F436BC">
        <w:t>Abstract</w:t>
      </w:r>
    </w:p>
    <w:p w:rsidR="001E223A" w:rsidRDefault="001E223A" w:rsidP="00F436BC">
      <w:pPr>
        <w:pStyle w:val="Heading1"/>
        <w:rPr>
          <w:rFonts w:cs="Times New Roman"/>
          <w:b w:val="0"/>
          <w:bCs w:val="0"/>
          <w:kern w:val="0"/>
          <w:szCs w:val="24"/>
        </w:rPr>
      </w:pPr>
      <w:r>
        <w:rPr>
          <w:rFonts w:cs="Times New Roman"/>
          <w:b w:val="0"/>
          <w:bCs w:val="0"/>
          <w:kern w:val="0"/>
          <w:szCs w:val="24"/>
        </w:rPr>
        <w:t xml:space="preserve">Liquefaction assessments are often reported as a factor of safety or as a probability for fixed groundwater and soil-gradation conditions. This stationary representation is convenient for design checks, but it can understate service-life georisk when groundwater depth and gradation states change during the lifetime of an engineered system. This paper presents a non-stationary liquefaction reliability updating method for groundwater and gradation-change scenarios, framed as a risk-management and decision-support problem rather than only as a computational benchmark. The method defines a time-dependent limit-state function using cyclic stress ratio, cyclic resistance ratio, fines-content correction, model uncertainty, groundwater depth and layer-wise soil variability, and evaluates a transparent four-layer profile over a 50-year planning horizon under stationary, rising, seasonal and extreme groundwater scenarios combined with constant gradation, fines accumulation and fines washout. Stationary, deterministic-probabilistic and non-stationary probabilistic assessments are compared to expose when the critical layer, Pf(t) trajectory, threshold-crossing time and screening decision change. External case-history discrimination and calibration checks are reported using AUC, Brier score, sensitivity and specificity. The documented evidence chain separates Hu et al. [16] case-history discrimination, Nisqually PRJ-3758 spatial holdout calibration diagnostics, SODO/UW adverse-holdout guardrails and Canterbury PRJ-2937 multi-site external transfer. A cost-sensitive decision frontier then evaluates whether calibration-favoured or missed-event-averse screening rules are preferable when false negatives are assigned higher engineering cost than false positives. The contribution is a decision-oriented reliability update for changing geotechnical </w:t>
      </w:r>
      <w:r>
        <w:rPr>
          <w:rFonts w:cs="Times New Roman"/>
          <w:b w:val="0"/>
          <w:bCs w:val="0"/>
          <w:kern w:val="0"/>
          <w:szCs w:val="24"/>
        </w:rPr>
        <w:lastRenderedPageBreak/>
        <w:t>states that turns non-stationary geomaterial and groundwater uncertainty into auditable risk-ranking and operating-policy evidence.</w:t>
      </w:r>
    </w:p>
    <w:p w:rsidR="00AD65CC" w:rsidRPr="00F436BC" w:rsidRDefault="000A5A2B" w:rsidP="00F436BC">
      <w:pPr>
        <w:pStyle w:val="Heading1"/>
        <w:rPr>
          <w:rFonts w:ascii="Arial" w:hAnsi="Arial"/>
        </w:rPr>
      </w:pPr>
      <w:r w:rsidRPr="00F436BC">
        <w:t>Keywords</w:t>
      </w:r>
    </w:p>
    <w:p w:rsidR="00AD65CC" w:rsidRDefault="000A5A2B">
      <w:pPr>
        <w:pStyle w:val="Keywords"/>
      </w:pPr>
      <w:r>
        <w:t>liquefaction; geotechnical reliability; geohazard risk; groundwater; gradation; non-stationary modelling</w:t>
      </w:r>
    </w:p>
    <w:p w:rsidR="00AD65CC" w:rsidRPr="00F436BC" w:rsidRDefault="000A5A2B" w:rsidP="00F436BC">
      <w:pPr>
        <w:pStyle w:val="Heading1"/>
        <w:rPr>
          <w:rFonts w:ascii="Arial" w:hAnsi="Arial"/>
        </w:rPr>
      </w:pPr>
      <w:r w:rsidRPr="00F436BC">
        <w:t>1. Introduction</w:t>
      </w:r>
    </w:p>
    <w:p w:rsidR="00AD65CC" w:rsidRDefault="000A5A2B">
      <w:pPr>
        <w:pStyle w:val="Paragraph"/>
      </w:pPr>
      <w:r>
        <w:t>Simplified liquefaction procedures remain central to geotechnical earthquake engineering because they transform site investigation data and seismic demand into an interpretable triggering index [4, 17, 42, 43, 50]. Probabilistic extensions of these procedures acknowledge epistemic and aleatory uncertainty in demand, resistance and model form [5, 21, 22, 32]. However, many practical assessments remain effectively stationary: the groundwater table, fines content and soil index parameters are treated as fixed descriptors of the site rather than as variables that may evolve during the planning horizon.</w:t>
      </w:r>
    </w:p>
    <w:p w:rsidR="003B066E" w:rsidRDefault="003B066E">
      <w:pPr>
        <w:pStyle w:val="Tabletitle"/>
      </w:pPr>
      <w:r>
        <w:t>Recent probabilistic liquefaction studies already address important parts of this problem. Modern PLHA and performance-based procedures integrate ground-motion hazard, triggering uncertainty, settlement consequences, regional screening and groundwater uncertainty [7, 13, 14, 29, 33, 34]. Recent Georisk papers also show the journal's direct interest in risk-informed liquefaction mapping, site liquefaction probability under spatial variability, geotechnical risk management and exploration-based decision updating [51-54]. Those studies motivate the present work, but they also define its boundary: this manuscript does not claim a new regional hazard model, a new settlement model or a new triggering correlation. Its narrower contribution is a georisk-oriented reliability-updating and operating-policy diagnostic that isolates prescribed non-stationary groundwater and gradation states within the same disclosed layer-wise probability workflow, then asks a decision question that ordinary Brier-score comparison cannot answer: when is a more conservative fixed-threshold screen justified because the cost of a missed liquefaction manifestation dominates the cost of a false alarm?</w:t>
      </w:r>
    </w:p>
    <w:p w:rsidR="003B066E" w:rsidRDefault="003B066E">
      <w:pPr>
        <w:pStyle w:val="Tabletitle"/>
      </w:pPr>
      <w:r>
        <w:t>Table 1 summarises representative recent and established work against the specific georisk gap addressed here. The comparison shows that probabilistic triggering models, PLHA tools, regional mapping studies and open geospatial engines already treat important components of liquefaction uncertainty, including groundwater as an input. Georisk work has further advanced risk-informed sampling for liquefaction severity mapping, spatial-variability-aware liquefaction probability and geotechnical risk-management decision processes [51-54]. The missing element targeted by this paper is narrower but editorially central for risk assessment: a compact, runnable and externally stress-tested workflow that isolates prescribed non-stationary groundwater and fines/gradation states in the same layer-wise Pf(t) decision framework, and then converts adverse validation results into a transparent false-negative-cost frontier rather than hiding them behind a single accuracy metric.</w:t>
      </w:r>
    </w:p>
    <w:p w:rsidR="00497881" w:rsidRDefault="00B513B6">
      <w:pPr>
        <w:pStyle w:val="Tabletitle"/>
      </w:pPr>
      <w:r>
        <w:t>Table 1. Position of the proposed benchmark relative to established and recent probabilistic liquefaction work.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028"/>
        <w:gridCol w:w="1077"/>
        <w:gridCol w:w="862"/>
        <w:gridCol w:w="848"/>
        <w:gridCol w:w="960"/>
        <w:gridCol w:w="903"/>
        <w:gridCol w:w="1569"/>
        <w:gridCol w:w="1257"/>
      </w:tblGrid>
      <w:tr w:rsidR="00497881"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604" w:type="pct"/>
            <w:vAlign w:val="center"/>
          </w:tcPr>
          <w:p w:rsidR="00497881" w:rsidRPr="00AB200C" w:rsidRDefault="00B513B6" w:rsidP="00AB200C">
            <w:pPr>
              <w:spacing w:line="240" w:lineRule="auto"/>
              <w:rPr>
                <w:sz w:val="18"/>
              </w:rPr>
            </w:pPr>
            <w:r w:rsidRPr="00AB200C">
              <w:rPr>
                <w:sz w:val="18"/>
                <w:szCs w:val="17"/>
              </w:rPr>
              <w:t>Study</w:t>
            </w:r>
          </w:p>
        </w:tc>
        <w:tc>
          <w:tcPr>
            <w:tcW w:w="633" w:type="pct"/>
            <w:vAlign w:val="center"/>
          </w:tcPr>
          <w:p w:rsidR="00497881" w:rsidRPr="00AB200C" w:rsidRDefault="00B513B6" w:rsidP="00AB200C">
            <w:pPr>
              <w:spacing w:line="240" w:lineRule="auto"/>
              <w:rPr>
                <w:sz w:val="18"/>
              </w:rPr>
            </w:pPr>
            <w:r w:rsidRPr="00AB200C">
              <w:rPr>
                <w:sz w:val="18"/>
                <w:szCs w:val="17"/>
              </w:rPr>
              <w:t>Scale/data</w:t>
            </w:r>
          </w:p>
        </w:tc>
        <w:tc>
          <w:tcPr>
            <w:tcW w:w="507" w:type="pct"/>
            <w:vAlign w:val="center"/>
          </w:tcPr>
          <w:p w:rsidR="00497881" w:rsidRPr="00AB200C" w:rsidRDefault="00B513B6" w:rsidP="00AB200C">
            <w:pPr>
              <w:spacing w:line="240" w:lineRule="auto"/>
              <w:rPr>
                <w:sz w:val="18"/>
              </w:rPr>
            </w:pPr>
            <w:r w:rsidRPr="00AB200C">
              <w:rPr>
                <w:sz w:val="18"/>
                <w:szCs w:val="17"/>
              </w:rPr>
              <w:t>Uncertainty</w:t>
            </w:r>
          </w:p>
        </w:tc>
        <w:tc>
          <w:tcPr>
            <w:tcW w:w="499" w:type="pct"/>
            <w:vAlign w:val="center"/>
          </w:tcPr>
          <w:p w:rsidR="00497881" w:rsidRPr="00AB200C" w:rsidRDefault="00B513B6" w:rsidP="00AB200C">
            <w:pPr>
              <w:spacing w:line="240" w:lineRule="auto"/>
              <w:rPr>
                <w:sz w:val="18"/>
              </w:rPr>
            </w:pPr>
            <w:r w:rsidRPr="00AB200C">
              <w:rPr>
                <w:sz w:val="18"/>
                <w:szCs w:val="17"/>
              </w:rPr>
              <w:t>Groundwater</w:t>
            </w:r>
          </w:p>
        </w:tc>
        <w:tc>
          <w:tcPr>
            <w:tcW w:w="564" w:type="pct"/>
            <w:vAlign w:val="center"/>
          </w:tcPr>
          <w:p w:rsidR="00497881" w:rsidRPr="00AB200C" w:rsidRDefault="00B513B6" w:rsidP="00AB200C">
            <w:pPr>
              <w:spacing w:line="240" w:lineRule="auto"/>
              <w:rPr>
                <w:sz w:val="18"/>
              </w:rPr>
            </w:pPr>
            <w:r w:rsidRPr="00AB200C">
              <w:rPr>
                <w:sz w:val="18"/>
                <w:szCs w:val="17"/>
              </w:rPr>
              <w:t>Fines/gradation</w:t>
            </w:r>
          </w:p>
        </w:tc>
        <w:tc>
          <w:tcPr>
            <w:tcW w:w="531" w:type="pct"/>
            <w:vAlign w:val="center"/>
          </w:tcPr>
          <w:p w:rsidR="00497881" w:rsidRPr="00AB200C" w:rsidRDefault="00B513B6" w:rsidP="00AB200C">
            <w:pPr>
              <w:spacing w:line="240" w:lineRule="auto"/>
              <w:rPr>
                <w:sz w:val="18"/>
              </w:rPr>
            </w:pPr>
            <w:r w:rsidRPr="00AB200C">
              <w:rPr>
                <w:sz w:val="18"/>
                <w:szCs w:val="17"/>
              </w:rPr>
              <w:t>Temporal treatment</w:t>
            </w:r>
          </w:p>
        </w:tc>
        <w:tc>
          <w:tcPr>
            <w:tcW w:w="923" w:type="pct"/>
            <w:vAlign w:val="center"/>
          </w:tcPr>
          <w:p w:rsidR="00904639" w:rsidRPr="00AB200C" w:rsidRDefault="00FB42F7" w:rsidP="00AB200C">
            <w:pPr>
              <w:spacing w:line="240" w:lineRule="auto"/>
              <w:rPr>
                <w:sz w:val="18"/>
              </w:rPr>
            </w:pPr>
            <w:r w:rsidRPr="00AB200C">
              <w:rPr>
                <w:sz w:val="18"/>
                <w:szCs w:val="17"/>
              </w:rPr>
              <w:t>Assessment/reproducibility</w:t>
            </w:r>
          </w:p>
        </w:tc>
        <w:tc>
          <w:tcPr>
            <w:tcW w:w="739" w:type="pct"/>
            <w:vAlign w:val="center"/>
          </w:tcPr>
          <w:p w:rsidR="00497881" w:rsidRPr="00AB200C" w:rsidRDefault="00B513B6" w:rsidP="00AB200C">
            <w:pPr>
              <w:spacing w:line="240" w:lineRule="auto"/>
              <w:rPr>
                <w:sz w:val="18"/>
              </w:rPr>
            </w:pPr>
            <w:r w:rsidRPr="00AB200C">
              <w:rPr>
                <w:sz w:val="18"/>
                <w:szCs w:val="17"/>
              </w:rPr>
              <w:t>Gap relative to this benchmark</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Cetin et al. [5]</w:t>
            </w:r>
          </w:p>
        </w:tc>
        <w:tc>
          <w:tcPr>
            <w:tcW w:w="633" w:type="pct"/>
            <w:vAlign w:val="center"/>
          </w:tcPr>
          <w:p w:rsidR="00497881" w:rsidRPr="00AB200C" w:rsidRDefault="00B513B6" w:rsidP="00AB200C">
            <w:pPr>
              <w:spacing w:line="240" w:lineRule="auto"/>
              <w:rPr>
                <w:sz w:val="18"/>
              </w:rPr>
            </w:pPr>
            <w:r w:rsidRPr="00AB200C">
              <w:rPr>
                <w:sz w:val="18"/>
                <w:szCs w:val="17"/>
              </w:rPr>
              <w:t>SPT case-history triggering</w:t>
            </w:r>
          </w:p>
        </w:tc>
        <w:tc>
          <w:tcPr>
            <w:tcW w:w="507" w:type="pct"/>
            <w:vAlign w:val="center"/>
          </w:tcPr>
          <w:p w:rsidR="00497881" w:rsidRPr="00AB200C" w:rsidRDefault="00B513B6" w:rsidP="00AB200C">
            <w:pPr>
              <w:spacing w:line="240" w:lineRule="auto"/>
              <w:rPr>
                <w:sz w:val="18"/>
              </w:rPr>
            </w:pPr>
            <w:r w:rsidRPr="00AB200C">
              <w:rPr>
                <w:sz w:val="18"/>
                <w:szCs w:val="17"/>
              </w:rPr>
              <w:t>Probabilistic triggering model</w:t>
            </w:r>
          </w:p>
        </w:tc>
        <w:tc>
          <w:tcPr>
            <w:tcW w:w="499" w:type="pct"/>
            <w:vAlign w:val="center"/>
          </w:tcPr>
          <w:p w:rsidR="00497881" w:rsidRPr="00AB200C" w:rsidRDefault="00B513B6" w:rsidP="00AB200C">
            <w:pPr>
              <w:spacing w:line="240" w:lineRule="auto"/>
              <w:rPr>
                <w:sz w:val="18"/>
              </w:rPr>
            </w:pPr>
            <w:r w:rsidRPr="00AB200C">
              <w:rPr>
                <w:sz w:val="18"/>
                <w:szCs w:val="17"/>
              </w:rPr>
              <w:t>Implicit/site input</w:t>
            </w:r>
          </w:p>
        </w:tc>
        <w:tc>
          <w:tcPr>
            <w:tcW w:w="564" w:type="pct"/>
            <w:vAlign w:val="center"/>
          </w:tcPr>
          <w:p w:rsidR="00497881" w:rsidRPr="00AB200C" w:rsidRDefault="00B513B6" w:rsidP="00AB200C">
            <w:pPr>
              <w:spacing w:line="240" w:lineRule="auto"/>
              <w:rPr>
                <w:sz w:val="18"/>
              </w:rPr>
            </w:pPr>
            <w:r w:rsidRPr="00AB200C">
              <w:rPr>
                <w:sz w:val="18"/>
                <w:szCs w:val="17"/>
              </w:rPr>
              <w:t>SPT-based corrections</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Case-history model</w:t>
            </w:r>
          </w:p>
        </w:tc>
        <w:tc>
          <w:tcPr>
            <w:tcW w:w="739" w:type="pct"/>
            <w:vAlign w:val="center"/>
          </w:tcPr>
          <w:p w:rsidR="00497881" w:rsidRPr="00AB200C" w:rsidRDefault="00B513B6" w:rsidP="00AB200C">
            <w:pPr>
              <w:spacing w:line="240" w:lineRule="auto"/>
              <w:rPr>
                <w:sz w:val="18"/>
              </w:rPr>
            </w:pPr>
            <w:r w:rsidRPr="00AB200C">
              <w:rPr>
                <w:sz w:val="18"/>
                <w:szCs w:val="17"/>
              </w:rPr>
              <w:t>No prescribed groundwater/gradation trajectories or open layer-time benchmark</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Moss et al. [32]</w:t>
            </w:r>
          </w:p>
        </w:tc>
        <w:tc>
          <w:tcPr>
            <w:tcW w:w="633" w:type="pct"/>
            <w:vAlign w:val="center"/>
          </w:tcPr>
          <w:p w:rsidR="00497881" w:rsidRPr="00AB200C" w:rsidRDefault="00B513B6" w:rsidP="00AB200C">
            <w:pPr>
              <w:spacing w:line="240" w:lineRule="auto"/>
              <w:rPr>
                <w:sz w:val="18"/>
              </w:rPr>
            </w:pPr>
            <w:r w:rsidRPr="00AB200C">
              <w:rPr>
                <w:sz w:val="18"/>
                <w:szCs w:val="17"/>
              </w:rPr>
              <w:t>CPT case-history triggering</w:t>
            </w:r>
          </w:p>
        </w:tc>
        <w:tc>
          <w:tcPr>
            <w:tcW w:w="507" w:type="pct"/>
            <w:vAlign w:val="center"/>
          </w:tcPr>
          <w:p w:rsidR="00497881" w:rsidRPr="00AB200C" w:rsidRDefault="00B513B6" w:rsidP="00AB200C">
            <w:pPr>
              <w:spacing w:line="240" w:lineRule="auto"/>
              <w:rPr>
                <w:sz w:val="18"/>
              </w:rPr>
            </w:pPr>
            <w:r w:rsidRPr="00AB200C">
              <w:rPr>
                <w:sz w:val="18"/>
                <w:szCs w:val="17"/>
              </w:rPr>
              <w:t>Probabilistic CPT model</w:t>
            </w:r>
          </w:p>
        </w:tc>
        <w:tc>
          <w:tcPr>
            <w:tcW w:w="499" w:type="pct"/>
            <w:vAlign w:val="center"/>
          </w:tcPr>
          <w:p w:rsidR="00497881" w:rsidRPr="00AB200C" w:rsidRDefault="00B513B6" w:rsidP="00AB200C">
            <w:pPr>
              <w:spacing w:line="240" w:lineRule="auto"/>
              <w:rPr>
                <w:sz w:val="18"/>
              </w:rPr>
            </w:pPr>
            <w:r w:rsidRPr="00AB200C">
              <w:rPr>
                <w:sz w:val="18"/>
                <w:szCs w:val="17"/>
              </w:rPr>
              <w:t>Implicit/site input</w:t>
            </w:r>
          </w:p>
        </w:tc>
        <w:tc>
          <w:tcPr>
            <w:tcW w:w="564" w:type="pct"/>
            <w:vAlign w:val="center"/>
          </w:tcPr>
          <w:p w:rsidR="00497881" w:rsidRPr="00AB200C" w:rsidRDefault="00B513B6" w:rsidP="00AB200C">
            <w:pPr>
              <w:spacing w:line="240" w:lineRule="auto"/>
              <w:rPr>
                <w:sz w:val="18"/>
              </w:rPr>
            </w:pPr>
            <w:r w:rsidRPr="00AB200C">
              <w:rPr>
                <w:sz w:val="18"/>
                <w:szCs w:val="17"/>
              </w:rPr>
              <w:t>CPT soil behavior terms</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Case-history model</w:t>
            </w:r>
          </w:p>
        </w:tc>
        <w:tc>
          <w:tcPr>
            <w:tcW w:w="739" w:type="pct"/>
            <w:vAlign w:val="center"/>
          </w:tcPr>
          <w:p w:rsidR="00497881" w:rsidRPr="00AB200C" w:rsidRDefault="00B513B6" w:rsidP="00AB200C">
            <w:pPr>
              <w:spacing w:line="240" w:lineRule="auto"/>
              <w:rPr>
                <w:sz w:val="18"/>
              </w:rPr>
            </w:pPr>
            <w:r w:rsidRPr="00AB200C">
              <w:rPr>
                <w:sz w:val="18"/>
                <w:szCs w:val="17"/>
              </w:rPr>
              <w:t>No non-stationary scenario benchmark</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Kayen et al. [22]</w:t>
            </w:r>
          </w:p>
        </w:tc>
        <w:tc>
          <w:tcPr>
            <w:tcW w:w="633" w:type="pct"/>
            <w:vAlign w:val="center"/>
          </w:tcPr>
          <w:p w:rsidR="00497881" w:rsidRPr="00AB200C" w:rsidRDefault="00B513B6" w:rsidP="00AB200C">
            <w:pPr>
              <w:spacing w:line="240" w:lineRule="auto"/>
              <w:rPr>
                <w:sz w:val="18"/>
              </w:rPr>
            </w:pPr>
            <w:r w:rsidRPr="00AB200C">
              <w:rPr>
                <w:sz w:val="18"/>
                <w:szCs w:val="17"/>
              </w:rPr>
              <w:t>Vs-based triggering</w:t>
            </w:r>
          </w:p>
        </w:tc>
        <w:tc>
          <w:tcPr>
            <w:tcW w:w="507" w:type="pct"/>
            <w:vAlign w:val="center"/>
          </w:tcPr>
          <w:p w:rsidR="00497881" w:rsidRPr="00AB200C" w:rsidRDefault="00B513B6" w:rsidP="00AB200C">
            <w:pPr>
              <w:spacing w:line="240" w:lineRule="auto"/>
              <w:rPr>
                <w:sz w:val="18"/>
              </w:rPr>
            </w:pPr>
            <w:r w:rsidRPr="00AB200C">
              <w:rPr>
                <w:sz w:val="18"/>
                <w:szCs w:val="17"/>
              </w:rPr>
              <w:t>Probabilistic Vs model</w:t>
            </w:r>
          </w:p>
        </w:tc>
        <w:tc>
          <w:tcPr>
            <w:tcW w:w="499" w:type="pct"/>
            <w:vAlign w:val="center"/>
          </w:tcPr>
          <w:p w:rsidR="00497881" w:rsidRPr="00AB200C" w:rsidRDefault="00B513B6" w:rsidP="00AB200C">
            <w:pPr>
              <w:spacing w:line="240" w:lineRule="auto"/>
              <w:rPr>
                <w:sz w:val="18"/>
              </w:rPr>
            </w:pPr>
            <w:r w:rsidRPr="00AB200C">
              <w:rPr>
                <w:sz w:val="18"/>
                <w:szCs w:val="17"/>
              </w:rPr>
              <w:t>Implicit/site input</w:t>
            </w:r>
          </w:p>
        </w:tc>
        <w:tc>
          <w:tcPr>
            <w:tcW w:w="564" w:type="pct"/>
            <w:vAlign w:val="center"/>
          </w:tcPr>
          <w:p w:rsidR="00497881" w:rsidRPr="00AB200C" w:rsidRDefault="00B513B6" w:rsidP="00AB200C">
            <w:pPr>
              <w:spacing w:line="240" w:lineRule="auto"/>
              <w:rPr>
                <w:sz w:val="18"/>
              </w:rPr>
            </w:pPr>
            <w:r w:rsidRPr="00AB200C">
              <w:rPr>
                <w:sz w:val="18"/>
                <w:szCs w:val="17"/>
              </w:rPr>
              <w:t>Vs proxy, not gradation evolution</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Case-history model</w:t>
            </w:r>
          </w:p>
        </w:tc>
        <w:tc>
          <w:tcPr>
            <w:tcW w:w="739" w:type="pct"/>
            <w:vAlign w:val="center"/>
          </w:tcPr>
          <w:p w:rsidR="00497881" w:rsidRPr="00AB200C" w:rsidRDefault="00B513B6" w:rsidP="00AB200C">
            <w:pPr>
              <w:spacing w:line="240" w:lineRule="auto"/>
              <w:rPr>
                <w:sz w:val="18"/>
              </w:rPr>
            </w:pPr>
            <w:r w:rsidRPr="00AB200C">
              <w:rPr>
                <w:sz w:val="18"/>
                <w:szCs w:val="17"/>
              </w:rPr>
              <w:t>No prescribed fines/gradation scenarios</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Yang and Wei [49]</w:t>
            </w:r>
          </w:p>
        </w:tc>
        <w:tc>
          <w:tcPr>
            <w:tcW w:w="633" w:type="pct"/>
            <w:vAlign w:val="center"/>
          </w:tcPr>
          <w:p w:rsidR="00497881" w:rsidRPr="00AB200C" w:rsidRDefault="00B513B6" w:rsidP="00AB200C">
            <w:pPr>
              <w:spacing w:line="240" w:lineRule="auto"/>
              <w:rPr>
                <w:sz w:val="18"/>
              </w:rPr>
            </w:pPr>
            <w:r w:rsidRPr="00AB200C">
              <w:rPr>
                <w:sz w:val="18"/>
                <w:szCs w:val="17"/>
              </w:rPr>
              <w:t>Vs/logistic model</w:t>
            </w:r>
          </w:p>
        </w:tc>
        <w:tc>
          <w:tcPr>
            <w:tcW w:w="507" w:type="pct"/>
            <w:vAlign w:val="center"/>
          </w:tcPr>
          <w:p w:rsidR="00497881" w:rsidRPr="00AB200C" w:rsidRDefault="00B513B6" w:rsidP="00AB200C">
            <w:pPr>
              <w:spacing w:line="240" w:lineRule="auto"/>
              <w:rPr>
                <w:sz w:val="18"/>
              </w:rPr>
            </w:pPr>
            <w:r w:rsidRPr="00AB200C">
              <w:rPr>
                <w:sz w:val="18"/>
                <w:szCs w:val="17"/>
              </w:rPr>
              <w:t>Model uncertainty via logistic regression</w:t>
            </w:r>
          </w:p>
        </w:tc>
        <w:tc>
          <w:tcPr>
            <w:tcW w:w="499" w:type="pct"/>
            <w:vAlign w:val="center"/>
          </w:tcPr>
          <w:p w:rsidR="00497881" w:rsidRPr="00AB200C" w:rsidRDefault="00B513B6" w:rsidP="00AB200C">
            <w:pPr>
              <w:spacing w:line="240" w:lineRule="auto"/>
              <w:rPr>
                <w:sz w:val="18"/>
              </w:rPr>
            </w:pPr>
            <w:r w:rsidRPr="00AB200C">
              <w:rPr>
                <w:sz w:val="18"/>
                <w:szCs w:val="17"/>
              </w:rPr>
              <w:t>Not central</w:t>
            </w:r>
          </w:p>
        </w:tc>
        <w:tc>
          <w:tcPr>
            <w:tcW w:w="564" w:type="pct"/>
            <w:vAlign w:val="center"/>
          </w:tcPr>
          <w:p w:rsidR="00497881" w:rsidRPr="00AB200C" w:rsidRDefault="00B513B6" w:rsidP="00AB200C">
            <w:pPr>
              <w:spacing w:line="240" w:lineRule="auto"/>
              <w:rPr>
                <w:sz w:val="18"/>
              </w:rPr>
            </w:pPr>
            <w:r w:rsidRPr="00AB200C">
              <w:rPr>
                <w:sz w:val="18"/>
                <w:szCs w:val="17"/>
              </w:rPr>
              <w:t>Fines content emphasized</w:t>
            </w:r>
          </w:p>
        </w:tc>
        <w:tc>
          <w:tcPr>
            <w:tcW w:w="531" w:type="pct"/>
            <w:vAlign w:val="center"/>
          </w:tcPr>
          <w:p w:rsidR="00497881" w:rsidRPr="00AB200C" w:rsidRDefault="00B513B6" w:rsidP="00AB200C">
            <w:pPr>
              <w:spacing w:line="240" w:lineRule="auto"/>
              <w:rPr>
                <w:sz w:val="18"/>
              </w:rPr>
            </w:pPr>
            <w:r w:rsidRPr="00AB200C">
              <w:rPr>
                <w:sz w:val="18"/>
                <w:szCs w:val="17"/>
              </w:rPr>
              <w:t>Stationary</w:t>
            </w:r>
          </w:p>
        </w:tc>
        <w:tc>
          <w:tcPr>
            <w:tcW w:w="923" w:type="pct"/>
            <w:vAlign w:val="center"/>
          </w:tcPr>
          <w:p w:rsidR="00497881" w:rsidRPr="00AB200C" w:rsidRDefault="00B513B6" w:rsidP="00AB200C">
            <w:pPr>
              <w:spacing w:line="240" w:lineRule="auto"/>
              <w:rPr>
                <w:sz w:val="18"/>
              </w:rPr>
            </w:pPr>
            <w:r w:rsidRPr="00AB200C">
              <w:rPr>
                <w:sz w:val="18"/>
                <w:szCs w:val="17"/>
              </w:rPr>
              <w:t>Published model</w:t>
            </w:r>
          </w:p>
        </w:tc>
        <w:tc>
          <w:tcPr>
            <w:tcW w:w="739" w:type="pct"/>
            <w:vAlign w:val="center"/>
          </w:tcPr>
          <w:p w:rsidR="00497881" w:rsidRPr="00AB200C" w:rsidRDefault="00B513B6" w:rsidP="00AB200C">
            <w:pPr>
              <w:spacing w:line="240" w:lineRule="auto"/>
              <w:rPr>
                <w:sz w:val="18"/>
              </w:rPr>
            </w:pPr>
            <w:r w:rsidRPr="00AB200C">
              <w:rPr>
                <w:sz w:val="18"/>
                <w:szCs w:val="17"/>
              </w:rPr>
              <w:t>Supports fines sensitivity but not coupled groundwater-gradation trajectories</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Greenfield et al. [14]</w:t>
            </w:r>
          </w:p>
        </w:tc>
        <w:tc>
          <w:tcPr>
            <w:tcW w:w="633" w:type="pct"/>
            <w:vAlign w:val="center"/>
          </w:tcPr>
          <w:p w:rsidR="00497881" w:rsidRPr="00AB200C" w:rsidRDefault="00B513B6" w:rsidP="00AB200C">
            <w:pPr>
              <w:spacing w:line="240" w:lineRule="auto"/>
              <w:rPr>
                <w:sz w:val="18"/>
              </w:rPr>
            </w:pPr>
            <w:r w:rsidRPr="00AB200C">
              <w:rPr>
                <w:sz w:val="18"/>
                <w:szCs w:val="17"/>
              </w:rPr>
              <w:t>Regional extension</w:t>
            </w:r>
          </w:p>
        </w:tc>
        <w:tc>
          <w:tcPr>
            <w:tcW w:w="507" w:type="pct"/>
            <w:vAlign w:val="center"/>
          </w:tcPr>
          <w:p w:rsidR="00497881" w:rsidRPr="00AB200C" w:rsidRDefault="00B513B6" w:rsidP="00AB200C">
            <w:pPr>
              <w:spacing w:line="240" w:lineRule="auto"/>
              <w:rPr>
                <w:sz w:val="18"/>
              </w:rPr>
            </w:pPr>
            <w:r w:rsidRPr="00AB200C">
              <w:rPr>
                <w:sz w:val="18"/>
                <w:szCs w:val="17"/>
              </w:rPr>
              <w:t>Soil, groundwater and manifestation uncertainty</w:t>
            </w:r>
          </w:p>
        </w:tc>
        <w:tc>
          <w:tcPr>
            <w:tcW w:w="499" w:type="pct"/>
            <w:vAlign w:val="center"/>
          </w:tcPr>
          <w:p w:rsidR="00497881" w:rsidRPr="00AB200C" w:rsidRDefault="00B513B6" w:rsidP="00AB200C">
            <w:pPr>
              <w:spacing w:line="240" w:lineRule="auto"/>
              <w:rPr>
                <w:sz w:val="18"/>
              </w:rPr>
            </w:pPr>
            <w:r w:rsidRPr="00AB200C">
              <w:rPr>
                <w:sz w:val="18"/>
                <w:szCs w:val="17"/>
              </w:rPr>
              <w:t>Explicit uncertainty</w:t>
            </w:r>
          </w:p>
        </w:tc>
        <w:tc>
          <w:tcPr>
            <w:tcW w:w="564" w:type="pct"/>
            <w:vAlign w:val="center"/>
          </w:tcPr>
          <w:p w:rsidR="00497881" w:rsidRPr="00AB200C" w:rsidRDefault="00B513B6" w:rsidP="00AB200C">
            <w:pPr>
              <w:spacing w:line="240" w:lineRule="auto"/>
              <w:rPr>
                <w:sz w:val="18"/>
              </w:rPr>
            </w:pPr>
            <w:r w:rsidRPr="00AB200C">
              <w:rPr>
                <w:sz w:val="18"/>
                <w:szCs w:val="17"/>
              </w:rPr>
              <w:t>Regional soil classification</w:t>
            </w:r>
          </w:p>
        </w:tc>
        <w:tc>
          <w:tcPr>
            <w:tcW w:w="531" w:type="pct"/>
            <w:vAlign w:val="center"/>
          </w:tcPr>
          <w:p w:rsidR="00497881" w:rsidRPr="00AB200C" w:rsidRDefault="00B513B6" w:rsidP="00AB200C">
            <w:pPr>
              <w:spacing w:line="240" w:lineRule="auto"/>
              <w:rPr>
                <w:sz w:val="18"/>
              </w:rPr>
            </w:pPr>
            <w:r w:rsidRPr="00AB200C">
              <w:rPr>
                <w:sz w:val="18"/>
                <w:szCs w:val="17"/>
              </w:rPr>
              <w:t>Regional/static</w:t>
            </w:r>
          </w:p>
        </w:tc>
        <w:tc>
          <w:tcPr>
            <w:tcW w:w="923" w:type="pct"/>
            <w:vAlign w:val="center"/>
          </w:tcPr>
          <w:p w:rsidR="00497881" w:rsidRPr="00AB200C" w:rsidRDefault="00B513B6" w:rsidP="00AB200C">
            <w:pPr>
              <w:spacing w:line="240" w:lineRule="auto"/>
              <w:rPr>
                <w:sz w:val="18"/>
              </w:rPr>
            </w:pPr>
            <w:r w:rsidRPr="00AB200C">
              <w:rPr>
                <w:sz w:val="18"/>
                <w:szCs w:val="17"/>
              </w:rPr>
              <w:t>Regional evaluation</w:t>
            </w:r>
          </w:p>
        </w:tc>
        <w:tc>
          <w:tcPr>
            <w:tcW w:w="739" w:type="pct"/>
            <w:vAlign w:val="center"/>
          </w:tcPr>
          <w:p w:rsidR="00497881" w:rsidRPr="00AB200C" w:rsidRDefault="00B513B6" w:rsidP="00AB200C">
            <w:pPr>
              <w:spacing w:line="240" w:lineRule="auto"/>
              <w:rPr>
                <w:sz w:val="18"/>
              </w:rPr>
            </w:pPr>
            <w:r w:rsidRPr="00AB200C">
              <w:rPr>
                <w:sz w:val="18"/>
                <w:szCs w:val="17"/>
              </w:rPr>
              <w:t>No compact open benchmark isolating prescribed state trajectories</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Makdisi and Kramer [29]</w:t>
            </w:r>
          </w:p>
        </w:tc>
        <w:tc>
          <w:tcPr>
            <w:tcW w:w="633" w:type="pct"/>
            <w:vAlign w:val="center"/>
          </w:tcPr>
          <w:p w:rsidR="00497881" w:rsidRPr="00AB200C" w:rsidRDefault="00B513B6" w:rsidP="00AB200C">
            <w:pPr>
              <w:spacing w:line="240" w:lineRule="auto"/>
              <w:rPr>
                <w:sz w:val="18"/>
              </w:rPr>
            </w:pPr>
            <w:r w:rsidRPr="00AB200C">
              <w:rPr>
                <w:sz w:val="18"/>
                <w:szCs w:val="17"/>
              </w:rPr>
              <w:t>PLHA computation</w:t>
            </w:r>
          </w:p>
        </w:tc>
        <w:tc>
          <w:tcPr>
            <w:tcW w:w="507" w:type="pct"/>
            <w:vAlign w:val="center"/>
          </w:tcPr>
          <w:p w:rsidR="00497881" w:rsidRPr="00AB200C" w:rsidRDefault="00B513B6" w:rsidP="00AB200C">
            <w:pPr>
              <w:spacing w:line="240" w:lineRule="auto"/>
              <w:rPr>
                <w:sz w:val="18"/>
              </w:rPr>
            </w:pPr>
            <w:r w:rsidRPr="00AB200C">
              <w:rPr>
                <w:sz w:val="18"/>
                <w:szCs w:val="17"/>
              </w:rPr>
              <w:t>Hazard-space and triggering uncertainty</w:t>
            </w:r>
          </w:p>
        </w:tc>
        <w:tc>
          <w:tcPr>
            <w:tcW w:w="499" w:type="pct"/>
            <w:vAlign w:val="center"/>
          </w:tcPr>
          <w:p w:rsidR="00497881" w:rsidRPr="00AB200C" w:rsidRDefault="00B513B6" w:rsidP="00AB200C">
            <w:pPr>
              <w:spacing w:line="240" w:lineRule="auto"/>
              <w:rPr>
                <w:sz w:val="18"/>
              </w:rPr>
            </w:pPr>
            <w:r w:rsidRPr="00AB200C">
              <w:rPr>
                <w:sz w:val="18"/>
                <w:szCs w:val="17"/>
              </w:rPr>
              <w:t>Site/regional input</w:t>
            </w:r>
          </w:p>
        </w:tc>
        <w:tc>
          <w:tcPr>
            <w:tcW w:w="564" w:type="pct"/>
            <w:vAlign w:val="center"/>
          </w:tcPr>
          <w:p w:rsidR="00497881" w:rsidRPr="00AB200C" w:rsidRDefault="00B513B6" w:rsidP="00AB200C">
            <w:pPr>
              <w:spacing w:line="240" w:lineRule="auto"/>
              <w:rPr>
                <w:sz w:val="18"/>
              </w:rPr>
            </w:pPr>
            <w:r w:rsidRPr="00AB200C">
              <w:rPr>
                <w:sz w:val="18"/>
                <w:szCs w:val="17"/>
              </w:rPr>
              <w:t>Not focus</w:t>
            </w:r>
          </w:p>
        </w:tc>
        <w:tc>
          <w:tcPr>
            <w:tcW w:w="531" w:type="pct"/>
            <w:vAlign w:val="center"/>
          </w:tcPr>
          <w:p w:rsidR="00497881" w:rsidRPr="00AB200C" w:rsidRDefault="00B513B6" w:rsidP="00AB200C">
            <w:pPr>
              <w:spacing w:line="240" w:lineRule="auto"/>
              <w:rPr>
                <w:sz w:val="18"/>
              </w:rPr>
            </w:pPr>
            <w:r w:rsidRPr="00AB200C">
              <w:rPr>
                <w:sz w:val="18"/>
                <w:szCs w:val="17"/>
              </w:rPr>
              <w:t>PSHA/hazard return periods</w:t>
            </w:r>
          </w:p>
        </w:tc>
        <w:tc>
          <w:tcPr>
            <w:tcW w:w="923" w:type="pct"/>
            <w:vAlign w:val="center"/>
          </w:tcPr>
          <w:p w:rsidR="00497881" w:rsidRPr="00AB200C" w:rsidRDefault="00B513B6" w:rsidP="00AB200C">
            <w:pPr>
              <w:spacing w:line="240" w:lineRule="auto"/>
              <w:rPr>
                <w:sz w:val="18"/>
              </w:rPr>
            </w:pPr>
            <w:r w:rsidRPr="00AB200C">
              <w:rPr>
                <w:sz w:val="18"/>
                <w:szCs w:val="17"/>
              </w:rPr>
              <w:t>Computational method</w:t>
            </w:r>
          </w:p>
        </w:tc>
        <w:tc>
          <w:tcPr>
            <w:tcW w:w="739" w:type="pct"/>
            <w:vAlign w:val="center"/>
          </w:tcPr>
          <w:p w:rsidR="00497881" w:rsidRPr="00AB200C" w:rsidRDefault="00B513B6" w:rsidP="00AB200C">
            <w:pPr>
              <w:spacing w:line="240" w:lineRule="auto"/>
              <w:rPr>
                <w:sz w:val="18"/>
              </w:rPr>
            </w:pPr>
            <w:r w:rsidRPr="00AB200C">
              <w:rPr>
                <w:sz w:val="18"/>
                <w:szCs w:val="17"/>
              </w:rPr>
              <w:t>Addresses PLHA, not synthetic non-stationary groundwater/gradation paths</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Ordaz et al. [34]</w:t>
            </w:r>
          </w:p>
        </w:tc>
        <w:tc>
          <w:tcPr>
            <w:tcW w:w="633" w:type="pct"/>
            <w:vAlign w:val="center"/>
          </w:tcPr>
          <w:p w:rsidR="00497881" w:rsidRPr="00AB200C" w:rsidRDefault="00B513B6" w:rsidP="00AB200C">
            <w:pPr>
              <w:spacing w:line="240" w:lineRule="auto"/>
              <w:rPr>
                <w:sz w:val="18"/>
              </w:rPr>
            </w:pPr>
            <w:r w:rsidRPr="00AB200C">
              <w:rPr>
                <w:sz w:val="18"/>
                <w:szCs w:val="17"/>
              </w:rPr>
              <w:t>Event-based PLHA</w:t>
            </w:r>
          </w:p>
        </w:tc>
        <w:tc>
          <w:tcPr>
            <w:tcW w:w="507" w:type="pct"/>
            <w:vAlign w:val="center"/>
          </w:tcPr>
          <w:p w:rsidR="00497881" w:rsidRPr="00AB200C" w:rsidRDefault="00B513B6" w:rsidP="00AB200C">
            <w:pPr>
              <w:spacing w:line="240" w:lineRule="auto"/>
              <w:rPr>
                <w:sz w:val="18"/>
              </w:rPr>
            </w:pPr>
            <w:r w:rsidRPr="00AB200C">
              <w:rPr>
                <w:sz w:val="18"/>
                <w:szCs w:val="17"/>
              </w:rPr>
              <w:t>PSHA/event uncertainty</w:t>
            </w:r>
          </w:p>
        </w:tc>
        <w:tc>
          <w:tcPr>
            <w:tcW w:w="499" w:type="pct"/>
            <w:vAlign w:val="center"/>
          </w:tcPr>
          <w:p w:rsidR="00497881" w:rsidRPr="00AB200C" w:rsidRDefault="00B513B6" w:rsidP="00AB200C">
            <w:pPr>
              <w:spacing w:line="240" w:lineRule="auto"/>
              <w:rPr>
                <w:sz w:val="18"/>
              </w:rPr>
            </w:pPr>
            <w:r w:rsidRPr="00AB200C">
              <w:rPr>
                <w:sz w:val="18"/>
                <w:szCs w:val="17"/>
              </w:rPr>
              <w:t>Model input</w:t>
            </w:r>
          </w:p>
        </w:tc>
        <w:tc>
          <w:tcPr>
            <w:tcW w:w="564" w:type="pct"/>
            <w:vAlign w:val="center"/>
          </w:tcPr>
          <w:p w:rsidR="00497881" w:rsidRPr="00AB200C" w:rsidRDefault="00B513B6" w:rsidP="00AB200C">
            <w:pPr>
              <w:spacing w:line="240" w:lineRule="auto"/>
              <w:rPr>
                <w:sz w:val="18"/>
              </w:rPr>
            </w:pPr>
            <w:r w:rsidRPr="00AB200C">
              <w:rPr>
                <w:sz w:val="18"/>
                <w:szCs w:val="17"/>
              </w:rPr>
              <w:t>Not focus</w:t>
            </w:r>
          </w:p>
        </w:tc>
        <w:tc>
          <w:tcPr>
            <w:tcW w:w="531" w:type="pct"/>
            <w:vAlign w:val="center"/>
          </w:tcPr>
          <w:p w:rsidR="00497881" w:rsidRPr="00AB200C" w:rsidRDefault="00B513B6" w:rsidP="00AB200C">
            <w:pPr>
              <w:spacing w:line="240" w:lineRule="auto"/>
              <w:rPr>
                <w:sz w:val="18"/>
              </w:rPr>
            </w:pPr>
            <w:r w:rsidRPr="00AB200C">
              <w:rPr>
                <w:sz w:val="18"/>
                <w:szCs w:val="17"/>
              </w:rPr>
              <w:t>Event-based annual hazard</w:t>
            </w:r>
          </w:p>
        </w:tc>
        <w:tc>
          <w:tcPr>
            <w:tcW w:w="923" w:type="pct"/>
            <w:vAlign w:val="center"/>
          </w:tcPr>
          <w:p w:rsidR="00497881" w:rsidRPr="00AB200C" w:rsidRDefault="00B513B6" w:rsidP="00AB200C">
            <w:pPr>
              <w:spacing w:line="240" w:lineRule="auto"/>
              <w:rPr>
                <w:sz w:val="18"/>
              </w:rPr>
            </w:pPr>
            <w:r w:rsidRPr="00AB200C">
              <w:rPr>
                <w:sz w:val="18"/>
                <w:szCs w:val="17"/>
              </w:rPr>
              <w:t>PLHA framework</w:t>
            </w:r>
          </w:p>
        </w:tc>
        <w:tc>
          <w:tcPr>
            <w:tcW w:w="739" w:type="pct"/>
            <w:vAlign w:val="center"/>
          </w:tcPr>
          <w:p w:rsidR="00497881" w:rsidRPr="00AB200C" w:rsidRDefault="00B513B6" w:rsidP="00AB200C">
            <w:pPr>
              <w:spacing w:line="240" w:lineRule="auto"/>
              <w:rPr>
                <w:sz w:val="18"/>
              </w:rPr>
            </w:pPr>
            <w:r w:rsidRPr="00AB200C">
              <w:rPr>
                <w:sz w:val="18"/>
                <w:szCs w:val="17"/>
              </w:rPr>
              <w:t>Distinguishes annual hazard from this state-conditioned Pf(t) benchmark</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Olaya et al. [33]</w:t>
            </w:r>
          </w:p>
        </w:tc>
        <w:tc>
          <w:tcPr>
            <w:tcW w:w="633" w:type="pct"/>
            <w:vAlign w:val="center"/>
          </w:tcPr>
          <w:p w:rsidR="00497881" w:rsidRPr="00AB200C" w:rsidRDefault="00B513B6" w:rsidP="00AB200C">
            <w:pPr>
              <w:spacing w:line="240" w:lineRule="auto"/>
              <w:rPr>
                <w:sz w:val="18"/>
              </w:rPr>
            </w:pPr>
            <w:r w:rsidRPr="00AB200C">
              <w:rPr>
                <w:sz w:val="18"/>
                <w:szCs w:val="17"/>
              </w:rPr>
              <w:t>Performance-based settlement</w:t>
            </w:r>
          </w:p>
        </w:tc>
        <w:tc>
          <w:tcPr>
            <w:tcW w:w="507" w:type="pct"/>
            <w:vAlign w:val="center"/>
          </w:tcPr>
          <w:p w:rsidR="00497881" w:rsidRPr="00AB200C" w:rsidRDefault="00B513B6" w:rsidP="00AB200C">
            <w:pPr>
              <w:spacing w:line="240" w:lineRule="auto"/>
              <w:rPr>
                <w:sz w:val="18"/>
              </w:rPr>
            </w:pPr>
            <w:r w:rsidRPr="00AB200C">
              <w:rPr>
                <w:sz w:val="18"/>
                <w:szCs w:val="17"/>
              </w:rPr>
              <w:t>Ground-motion and settlement uncertainty</w:t>
            </w:r>
          </w:p>
        </w:tc>
        <w:tc>
          <w:tcPr>
            <w:tcW w:w="499" w:type="pct"/>
            <w:vAlign w:val="center"/>
          </w:tcPr>
          <w:p w:rsidR="00497881" w:rsidRPr="00AB200C" w:rsidRDefault="00B513B6" w:rsidP="00AB200C">
            <w:pPr>
              <w:spacing w:line="240" w:lineRule="auto"/>
              <w:rPr>
                <w:sz w:val="18"/>
              </w:rPr>
            </w:pPr>
            <w:r w:rsidRPr="00AB200C">
              <w:rPr>
                <w:sz w:val="18"/>
                <w:szCs w:val="17"/>
              </w:rPr>
              <w:t>Input variable</w:t>
            </w:r>
          </w:p>
        </w:tc>
        <w:tc>
          <w:tcPr>
            <w:tcW w:w="564" w:type="pct"/>
            <w:vAlign w:val="center"/>
          </w:tcPr>
          <w:p w:rsidR="00497881" w:rsidRPr="00AB200C" w:rsidRDefault="00B513B6" w:rsidP="00AB200C">
            <w:pPr>
              <w:spacing w:line="240" w:lineRule="auto"/>
              <w:rPr>
                <w:sz w:val="18"/>
              </w:rPr>
            </w:pPr>
            <w:r w:rsidRPr="00AB200C">
              <w:rPr>
                <w:sz w:val="18"/>
                <w:szCs w:val="17"/>
              </w:rPr>
              <w:t>Not focus</w:t>
            </w:r>
          </w:p>
        </w:tc>
        <w:tc>
          <w:tcPr>
            <w:tcW w:w="531" w:type="pct"/>
            <w:vAlign w:val="center"/>
          </w:tcPr>
          <w:p w:rsidR="00497881" w:rsidRPr="00AB200C" w:rsidRDefault="00B513B6" w:rsidP="00AB200C">
            <w:pPr>
              <w:spacing w:line="240" w:lineRule="auto"/>
              <w:rPr>
                <w:sz w:val="18"/>
              </w:rPr>
            </w:pPr>
            <w:r w:rsidRPr="00AB200C">
              <w:rPr>
                <w:sz w:val="18"/>
                <w:szCs w:val="17"/>
              </w:rPr>
              <w:t>Performance-based hazard</w:t>
            </w:r>
          </w:p>
        </w:tc>
        <w:tc>
          <w:tcPr>
            <w:tcW w:w="923" w:type="pct"/>
            <w:vAlign w:val="center"/>
          </w:tcPr>
          <w:p w:rsidR="00904639" w:rsidRPr="00AB200C" w:rsidRDefault="00FB42F7" w:rsidP="00AB200C">
            <w:pPr>
              <w:spacing w:line="240" w:lineRule="auto"/>
              <w:rPr>
                <w:sz w:val="18"/>
              </w:rPr>
            </w:pPr>
            <w:r w:rsidRPr="00AB200C">
              <w:rPr>
                <w:sz w:val="18"/>
                <w:szCs w:val="17"/>
              </w:rPr>
              <w:t>Procedure assessment</w:t>
            </w:r>
          </w:p>
        </w:tc>
        <w:tc>
          <w:tcPr>
            <w:tcW w:w="739" w:type="pct"/>
            <w:vAlign w:val="center"/>
          </w:tcPr>
          <w:p w:rsidR="00497881" w:rsidRPr="00AB200C" w:rsidRDefault="00B513B6" w:rsidP="00AB200C">
            <w:pPr>
              <w:spacing w:line="240" w:lineRule="auto"/>
              <w:rPr>
                <w:sz w:val="18"/>
              </w:rPr>
            </w:pPr>
            <w:r w:rsidRPr="00AB200C">
              <w:rPr>
                <w:sz w:val="18"/>
                <w:szCs w:val="17"/>
              </w:rPr>
              <w:t>Focuses settlement, not layer-wise Pf(t) scenario mechanics</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Javanbakht et al. [20]</w:t>
            </w:r>
          </w:p>
        </w:tc>
        <w:tc>
          <w:tcPr>
            <w:tcW w:w="633" w:type="pct"/>
            <w:vAlign w:val="center"/>
          </w:tcPr>
          <w:p w:rsidR="00497881" w:rsidRPr="00AB200C" w:rsidRDefault="00B513B6" w:rsidP="00AB200C">
            <w:pPr>
              <w:spacing w:line="240" w:lineRule="auto"/>
              <w:rPr>
                <w:sz w:val="18"/>
              </w:rPr>
            </w:pPr>
            <w:r w:rsidRPr="00AB200C">
              <w:rPr>
                <w:sz w:val="18"/>
                <w:szCs w:val="17"/>
              </w:rPr>
              <w:t>787 CPTs, regional mapping</w:t>
            </w:r>
          </w:p>
        </w:tc>
        <w:tc>
          <w:tcPr>
            <w:tcW w:w="507" w:type="pct"/>
            <w:vAlign w:val="center"/>
          </w:tcPr>
          <w:p w:rsidR="00497881" w:rsidRPr="00AB200C" w:rsidRDefault="00B513B6" w:rsidP="00AB200C">
            <w:pPr>
              <w:spacing w:line="240" w:lineRule="auto"/>
              <w:rPr>
                <w:sz w:val="18"/>
              </w:rPr>
            </w:pPr>
            <w:r w:rsidRPr="00AB200C">
              <w:rPr>
                <w:sz w:val="18"/>
                <w:szCs w:val="17"/>
              </w:rPr>
              <w:t>Model and soil resistance uncertainty</w:t>
            </w:r>
          </w:p>
        </w:tc>
        <w:tc>
          <w:tcPr>
            <w:tcW w:w="499" w:type="pct"/>
            <w:vAlign w:val="center"/>
          </w:tcPr>
          <w:p w:rsidR="00497881" w:rsidRPr="00AB200C" w:rsidRDefault="00B513B6" w:rsidP="00AB200C">
            <w:pPr>
              <w:spacing w:line="240" w:lineRule="auto"/>
              <w:rPr>
                <w:sz w:val="18"/>
              </w:rPr>
            </w:pPr>
            <w:r w:rsidRPr="00AB200C">
              <w:rPr>
                <w:sz w:val="18"/>
                <w:szCs w:val="17"/>
              </w:rPr>
              <w:t>Regional input</w:t>
            </w:r>
          </w:p>
        </w:tc>
        <w:tc>
          <w:tcPr>
            <w:tcW w:w="564" w:type="pct"/>
            <w:vAlign w:val="center"/>
          </w:tcPr>
          <w:p w:rsidR="00497881" w:rsidRPr="00AB200C" w:rsidRDefault="00B513B6" w:rsidP="00AB200C">
            <w:pPr>
              <w:spacing w:line="240" w:lineRule="auto"/>
              <w:rPr>
                <w:sz w:val="18"/>
              </w:rPr>
            </w:pPr>
            <w:r w:rsidRPr="00AB200C">
              <w:rPr>
                <w:sz w:val="18"/>
                <w:szCs w:val="17"/>
              </w:rPr>
              <w:t>CPT resistance, not evolution</w:t>
            </w:r>
          </w:p>
        </w:tc>
        <w:tc>
          <w:tcPr>
            <w:tcW w:w="531" w:type="pct"/>
            <w:vAlign w:val="center"/>
          </w:tcPr>
          <w:p w:rsidR="00497881" w:rsidRPr="00AB200C" w:rsidRDefault="00B513B6" w:rsidP="00AB200C">
            <w:pPr>
              <w:spacing w:line="240" w:lineRule="auto"/>
              <w:rPr>
                <w:sz w:val="18"/>
              </w:rPr>
            </w:pPr>
            <w:r w:rsidRPr="00AB200C">
              <w:rPr>
                <w:sz w:val="18"/>
                <w:szCs w:val="17"/>
              </w:rPr>
              <w:t>PSHA/hazard mapping</w:t>
            </w:r>
          </w:p>
        </w:tc>
        <w:tc>
          <w:tcPr>
            <w:tcW w:w="923" w:type="pct"/>
            <w:vAlign w:val="center"/>
          </w:tcPr>
          <w:p w:rsidR="00497881" w:rsidRPr="00AB200C" w:rsidRDefault="00B513B6" w:rsidP="00AB200C">
            <w:pPr>
              <w:spacing w:line="240" w:lineRule="auto"/>
              <w:rPr>
                <w:sz w:val="18"/>
              </w:rPr>
            </w:pPr>
            <w:r w:rsidRPr="00AB200C">
              <w:rPr>
                <w:sz w:val="18"/>
                <w:szCs w:val="17"/>
              </w:rPr>
              <w:t>CPT database available</w:t>
            </w:r>
          </w:p>
        </w:tc>
        <w:tc>
          <w:tcPr>
            <w:tcW w:w="739" w:type="pct"/>
            <w:vAlign w:val="center"/>
          </w:tcPr>
          <w:p w:rsidR="00497881" w:rsidRPr="00AB200C" w:rsidRDefault="00B513B6" w:rsidP="00AB200C">
            <w:pPr>
              <w:spacing w:line="240" w:lineRule="auto"/>
              <w:rPr>
                <w:sz w:val="18"/>
              </w:rPr>
            </w:pPr>
            <w:r w:rsidRPr="00AB200C">
              <w:rPr>
                <w:sz w:val="18"/>
                <w:szCs w:val="17"/>
              </w:rPr>
              <w:t>Regional mapping; not reproducible synthetic benchmark for prescribed gradation change</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Cruz et al. [7]</w:t>
            </w:r>
          </w:p>
        </w:tc>
        <w:tc>
          <w:tcPr>
            <w:tcW w:w="633" w:type="pct"/>
            <w:vAlign w:val="center"/>
          </w:tcPr>
          <w:p w:rsidR="00497881" w:rsidRPr="00AB200C" w:rsidRDefault="00B513B6" w:rsidP="00AB200C">
            <w:pPr>
              <w:spacing w:line="240" w:lineRule="auto"/>
              <w:rPr>
                <w:sz w:val="18"/>
              </w:rPr>
            </w:pPr>
            <w:r w:rsidRPr="00AB200C">
              <w:rPr>
                <w:sz w:val="18"/>
                <w:szCs w:val="17"/>
              </w:rPr>
              <w:t>Review of urban PLHA</w:t>
            </w:r>
          </w:p>
        </w:tc>
        <w:tc>
          <w:tcPr>
            <w:tcW w:w="507" w:type="pct"/>
            <w:vAlign w:val="center"/>
          </w:tcPr>
          <w:p w:rsidR="00497881" w:rsidRPr="00AB200C" w:rsidRDefault="00B513B6" w:rsidP="00AB200C">
            <w:pPr>
              <w:spacing w:line="240" w:lineRule="auto"/>
              <w:rPr>
                <w:sz w:val="18"/>
              </w:rPr>
            </w:pPr>
            <w:r w:rsidRPr="00AB200C">
              <w:rPr>
                <w:sz w:val="18"/>
                <w:szCs w:val="17"/>
              </w:rPr>
              <w:t>Synthesis of uncertainty sources</w:t>
            </w:r>
          </w:p>
        </w:tc>
        <w:tc>
          <w:tcPr>
            <w:tcW w:w="499" w:type="pct"/>
            <w:vAlign w:val="center"/>
          </w:tcPr>
          <w:p w:rsidR="00497881" w:rsidRPr="00AB200C" w:rsidRDefault="00B513B6" w:rsidP="00AB200C">
            <w:pPr>
              <w:spacing w:line="240" w:lineRule="auto"/>
              <w:rPr>
                <w:sz w:val="18"/>
              </w:rPr>
            </w:pPr>
            <w:r w:rsidRPr="00AB200C">
              <w:rPr>
                <w:sz w:val="18"/>
                <w:szCs w:val="17"/>
              </w:rPr>
              <w:t>Recognized driver</w:t>
            </w:r>
          </w:p>
        </w:tc>
        <w:tc>
          <w:tcPr>
            <w:tcW w:w="564" w:type="pct"/>
            <w:vAlign w:val="center"/>
          </w:tcPr>
          <w:p w:rsidR="00497881" w:rsidRPr="00AB200C" w:rsidRDefault="00B513B6" w:rsidP="00AB200C">
            <w:pPr>
              <w:spacing w:line="240" w:lineRule="auto"/>
              <w:rPr>
                <w:sz w:val="18"/>
              </w:rPr>
            </w:pPr>
            <w:r w:rsidRPr="00AB200C">
              <w:rPr>
                <w:sz w:val="18"/>
                <w:szCs w:val="17"/>
              </w:rPr>
              <w:t>Recognized susceptibility input</w:t>
            </w:r>
          </w:p>
        </w:tc>
        <w:tc>
          <w:tcPr>
            <w:tcW w:w="531" w:type="pct"/>
            <w:vAlign w:val="center"/>
          </w:tcPr>
          <w:p w:rsidR="00497881" w:rsidRPr="00AB200C" w:rsidRDefault="00B513B6" w:rsidP="00AB200C">
            <w:pPr>
              <w:spacing w:line="240" w:lineRule="auto"/>
              <w:rPr>
                <w:sz w:val="18"/>
              </w:rPr>
            </w:pPr>
            <w:r w:rsidRPr="00AB200C">
              <w:rPr>
                <w:sz w:val="18"/>
                <w:szCs w:val="17"/>
              </w:rPr>
              <w:t>Review-level</w:t>
            </w:r>
          </w:p>
        </w:tc>
        <w:tc>
          <w:tcPr>
            <w:tcW w:w="923" w:type="pct"/>
            <w:vAlign w:val="center"/>
          </w:tcPr>
          <w:p w:rsidR="00497881" w:rsidRPr="00AB200C" w:rsidRDefault="00B513B6" w:rsidP="00AB200C">
            <w:pPr>
              <w:spacing w:line="240" w:lineRule="auto"/>
              <w:rPr>
                <w:sz w:val="18"/>
              </w:rPr>
            </w:pPr>
            <w:r w:rsidRPr="00AB200C">
              <w:rPr>
                <w:sz w:val="18"/>
                <w:szCs w:val="17"/>
              </w:rPr>
              <w:t>Literature review</w:t>
            </w:r>
          </w:p>
        </w:tc>
        <w:tc>
          <w:tcPr>
            <w:tcW w:w="739" w:type="pct"/>
            <w:vAlign w:val="center"/>
          </w:tcPr>
          <w:p w:rsidR="00497881" w:rsidRPr="00AB200C" w:rsidRDefault="00B513B6" w:rsidP="00AB200C">
            <w:pPr>
              <w:spacing w:line="240" w:lineRule="auto"/>
              <w:rPr>
                <w:sz w:val="18"/>
              </w:rPr>
            </w:pPr>
            <w:r w:rsidRPr="00AB200C">
              <w:rPr>
                <w:sz w:val="18"/>
                <w:szCs w:val="17"/>
              </w:rPr>
              <w:t>Shows field is active but not a runnable benchmark</w:t>
            </w:r>
          </w:p>
        </w:tc>
      </w:tr>
      <w:tr w:rsidR="00497881"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04" w:type="pct"/>
            <w:vAlign w:val="center"/>
          </w:tcPr>
          <w:p w:rsidR="00497881" w:rsidRPr="00AB200C" w:rsidRDefault="00B513B6" w:rsidP="00AB200C">
            <w:pPr>
              <w:spacing w:line="240" w:lineRule="auto"/>
              <w:rPr>
                <w:sz w:val="18"/>
              </w:rPr>
            </w:pPr>
            <w:r w:rsidRPr="00AB200C">
              <w:rPr>
                <w:sz w:val="18"/>
              </w:rPr>
              <w:t>OpenQuake/GEM [13]</w:t>
            </w:r>
          </w:p>
        </w:tc>
        <w:tc>
          <w:tcPr>
            <w:tcW w:w="633" w:type="pct"/>
            <w:vAlign w:val="center"/>
          </w:tcPr>
          <w:p w:rsidR="00497881" w:rsidRPr="00AB200C" w:rsidRDefault="00B513B6" w:rsidP="00AB200C">
            <w:pPr>
              <w:spacing w:line="240" w:lineRule="auto"/>
              <w:rPr>
                <w:sz w:val="18"/>
              </w:rPr>
            </w:pPr>
            <w:r w:rsidRPr="00AB200C">
              <w:rPr>
                <w:sz w:val="18"/>
                <w:szCs w:val="17"/>
              </w:rPr>
              <w:t>Geospatial HAZUS/secondary perils</w:t>
            </w:r>
          </w:p>
        </w:tc>
        <w:tc>
          <w:tcPr>
            <w:tcW w:w="507" w:type="pct"/>
            <w:vAlign w:val="center"/>
          </w:tcPr>
          <w:p w:rsidR="00497881" w:rsidRPr="00AB200C" w:rsidRDefault="00B513B6" w:rsidP="00AB200C">
            <w:pPr>
              <w:spacing w:line="240" w:lineRule="auto"/>
              <w:rPr>
                <w:sz w:val="18"/>
              </w:rPr>
            </w:pPr>
            <w:r w:rsidRPr="00AB200C">
              <w:rPr>
                <w:sz w:val="18"/>
                <w:szCs w:val="17"/>
              </w:rPr>
              <w:t>Scenario/event PSHA inputs</w:t>
            </w:r>
          </w:p>
        </w:tc>
        <w:tc>
          <w:tcPr>
            <w:tcW w:w="499" w:type="pct"/>
            <w:vAlign w:val="center"/>
          </w:tcPr>
          <w:p w:rsidR="00497881" w:rsidRPr="00AB200C" w:rsidRDefault="00B513B6" w:rsidP="00AB200C">
            <w:pPr>
              <w:spacing w:line="240" w:lineRule="auto"/>
              <w:rPr>
                <w:sz w:val="18"/>
              </w:rPr>
            </w:pPr>
            <w:r w:rsidRPr="00AB200C">
              <w:rPr>
                <w:sz w:val="18"/>
                <w:szCs w:val="17"/>
              </w:rPr>
              <w:t>Required input; sensitivity recommended</w:t>
            </w:r>
          </w:p>
        </w:tc>
        <w:tc>
          <w:tcPr>
            <w:tcW w:w="564" w:type="pct"/>
            <w:vAlign w:val="center"/>
          </w:tcPr>
          <w:p w:rsidR="00497881" w:rsidRPr="00AB200C" w:rsidRDefault="00B513B6" w:rsidP="00AB200C">
            <w:pPr>
              <w:spacing w:line="240" w:lineRule="auto"/>
              <w:rPr>
                <w:sz w:val="18"/>
              </w:rPr>
            </w:pPr>
            <w:r w:rsidRPr="00AB200C">
              <w:rPr>
                <w:sz w:val="18"/>
                <w:szCs w:val="17"/>
              </w:rPr>
              <w:t>Susceptibility class</w:t>
            </w:r>
          </w:p>
        </w:tc>
        <w:tc>
          <w:tcPr>
            <w:tcW w:w="531" w:type="pct"/>
            <w:vAlign w:val="center"/>
          </w:tcPr>
          <w:p w:rsidR="00497881" w:rsidRPr="00AB200C" w:rsidRDefault="00B513B6" w:rsidP="00AB200C">
            <w:pPr>
              <w:spacing w:line="240" w:lineRule="auto"/>
              <w:rPr>
                <w:sz w:val="18"/>
              </w:rPr>
            </w:pPr>
            <w:r w:rsidRPr="00AB200C">
              <w:rPr>
                <w:sz w:val="18"/>
                <w:szCs w:val="17"/>
              </w:rPr>
              <w:t>Scenario/event-based</w:t>
            </w:r>
          </w:p>
        </w:tc>
        <w:tc>
          <w:tcPr>
            <w:tcW w:w="923" w:type="pct"/>
            <w:vAlign w:val="center"/>
          </w:tcPr>
          <w:p w:rsidR="00497881" w:rsidRPr="00AB200C" w:rsidRDefault="00B513B6" w:rsidP="00AB200C">
            <w:pPr>
              <w:spacing w:line="240" w:lineRule="auto"/>
              <w:rPr>
                <w:sz w:val="18"/>
              </w:rPr>
            </w:pPr>
            <w:r w:rsidRPr="00AB200C">
              <w:rPr>
                <w:sz w:val="18"/>
                <w:szCs w:val="17"/>
              </w:rPr>
              <w:t>Open-source engine/docs</w:t>
            </w:r>
          </w:p>
        </w:tc>
        <w:tc>
          <w:tcPr>
            <w:tcW w:w="739" w:type="pct"/>
            <w:vAlign w:val="center"/>
          </w:tcPr>
          <w:p w:rsidR="00497881" w:rsidRPr="00AB200C" w:rsidRDefault="00B513B6" w:rsidP="00AB200C">
            <w:pPr>
              <w:spacing w:line="240" w:lineRule="auto"/>
              <w:rPr>
                <w:sz w:val="18"/>
              </w:rPr>
            </w:pPr>
            <w:r w:rsidRPr="00AB200C">
              <w:rPr>
                <w:sz w:val="18"/>
                <w:szCs w:val="17"/>
              </w:rPr>
              <w:t>Open platform uses groundwater but not the proposed layer-wise gradation trajectory benchmark</w:t>
            </w:r>
          </w:p>
        </w:tc>
      </w:tr>
      <w:tr w:rsidR="00497881" w:rsidRPr="00380D34" w:rsidTr="00AB200C">
        <w:trPr>
          <w:jc w:val="center"/>
        </w:trPr>
        <w:tc>
          <w:tcPr>
            <w:tcW w:w="604" w:type="pct"/>
            <w:vAlign w:val="center"/>
          </w:tcPr>
          <w:p w:rsidR="00497881" w:rsidRPr="00AB200C" w:rsidRDefault="00B513B6" w:rsidP="00AB200C">
            <w:pPr>
              <w:spacing w:line="240" w:lineRule="auto"/>
              <w:rPr>
                <w:sz w:val="18"/>
              </w:rPr>
            </w:pPr>
            <w:r w:rsidRPr="00AB200C">
              <w:rPr>
                <w:sz w:val="18"/>
              </w:rPr>
              <w:t>Hu et al. [16]</w:t>
            </w:r>
          </w:p>
        </w:tc>
        <w:tc>
          <w:tcPr>
            <w:tcW w:w="633" w:type="pct"/>
            <w:vAlign w:val="center"/>
          </w:tcPr>
          <w:p w:rsidR="00497881" w:rsidRPr="00AB200C" w:rsidRDefault="00B513B6" w:rsidP="00AB200C">
            <w:pPr>
              <w:spacing w:line="240" w:lineRule="auto"/>
              <w:rPr>
                <w:sz w:val="18"/>
              </w:rPr>
            </w:pPr>
            <w:r w:rsidRPr="00AB200C">
              <w:rPr>
                <w:sz w:val="18"/>
                <w:szCs w:val="17"/>
              </w:rPr>
              <w:t>234 gravelly cases</w:t>
            </w:r>
          </w:p>
        </w:tc>
        <w:tc>
          <w:tcPr>
            <w:tcW w:w="507" w:type="pct"/>
            <w:vAlign w:val="center"/>
          </w:tcPr>
          <w:p w:rsidR="00497881" w:rsidRPr="00AB200C" w:rsidRDefault="00B513B6" w:rsidP="00AB200C">
            <w:pPr>
              <w:spacing w:line="240" w:lineRule="auto"/>
              <w:rPr>
                <w:sz w:val="18"/>
              </w:rPr>
            </w:pPr>
            <w:r w:rsidRPr="00AB200C">
              <w:rPr>
                <w:sz w:val="18"/>
                <w:szCs w:val="17"/>
              </w:rPr>
              <w:t>Observed case-history variability</w:t>
            </w:r>
          </w:p>
        </w:tc>
        <w:tc>
          <w:tcPr>
            <w:tcW w:w="499" w:type="pct"/>
            <w:vAlign w:val="center"/>
          </w:tcPr>
          <w:p w:rsidR="00497881" w:rsidRPr="00AB200C" w:rsidRDefault="00B513B6" w:rsidP="00AB200C">
            <w:pPr>
              <w:spacing w:line="240" w:lineRule="auto"/>
              <w:rPr>
                <w:sz w:val="18"/>
              </w:rPr>
            </w:pPr>
            <w:r w:rsidRPr="00AB200C">
              <w:rPr>
                <w:sz w:val="18"/>
                <w:szCs w:val="17"/>
              </w:rPr>
              <w:t>Observed descriptor</w:t>
            </w:r>
          </w:p>
        </w:tc>
        <w:tc>
          <w:tcPr>
            <w:tcW w:w="564" w:type="pct"/>
            <w:vAlign w:val="center"/>
          </w:tcPr>
          <w:p w:rsidR="00497881" w:rsidRPr="00AB200C" w:rsidRDefault="00B513B6" w:rsidP="00AB200C">
            <w:pPr>
              <w:spacing w:line="240" w:lineRule="auto"/>
              <w:rPr>
                <w:sz w:val="18"/>
              </w:rPr>
            </w:pPr>
            <w:r w:rsidRPr="00AB200C">
              <w:rPr>
                <w:sz w:val="18"/>
                <w:szCs w:val="17"/>
              </w:rPr>
              <w:t>Gravelly-soil descriptors</w:t>
            </w:r>
          </w:p>
        </w:tc>
        <w:tc>
          <w:tcPr>
            <w:tcW w:w="531" w:type="pct"/>
            <w:vAlign w:val="center"/>
          </w:tcPr>
          <w:p w:rsidR="00497881" w:rsidRPr="00AB200C" w:rsidRDefault="00B513B6" w:rsidP="00AB200C">
            <w:pPr>
              <w:spacing w:line="240" w:lineRule="auto"/>
              <w:rPr>
                <w:sz w:val="18"/>
              </w:rPr>
            </w:pPr>
            <w:r w:rsidRPr="00AB200C">
              <w:rPr>
                <w:sz w:val="18"/>
                <w:szCs w:val="17"/>
              </w:rPr>
              <w:t>Event observations</w:t>
            </w:r>
          </w:p>
        </w:tc>
        <w:tc>
          <w:tcPr>
            <w:tcW w:w="923" w:type="pct"/>
            <w:vAlign w:val="center"/>
          </w:tcPr>
          <w:p w:rsidR="00497881" w:rsidRPr="00AB200C" w:rsidRDefault="00B513B6" w:rsidP="00AB200C">
            <w:pPr>
              <w:spacing w:line="240" w:lineRule="auto"/>
              <w:rPr>
                <w:sz w:val="18"/>
              </w:rPr>
            </w:pPr>
            <w:r w:rsidRPr="00AB200C">
              <w:rPr>
                <w:sz w:val="18"/>
                <w:szCs w:val="17"/>
              </w:rPr>
              <w:t>Open dataset</w:t>
            </w:r>
          </w:p>
        </w:tc>
        <w:tc>
          <w:tcPr>
            <w:tcW w:w="739" w:type="pct"/>
            <w:vAlign w:val="center"/>
          </w:tcPr>
          <w:p w:rsidR="00497881" w:rsidRPr="00AB200C" w:rsidRDefault="00B513B6" w:rsidP="00AB200C">
            <w:pPr>
              <w:spacing w:line="240" w:lineRule="auto"/>
              <w:rPr>
                <w:sz w:val="18"/>
              </w:rPr>
            </w:pPr>
            <w:r w:rsidRPr="00AB200C">
              <w:rPr>
                <w:sz w:val="18"/>
                <w:szCs w:val="17"/>
              </w:rPr>
              <w:t>Used here only for trend-consistency, not calibration of synthetic Pf(t)</w:t>
            </w:r>
          </w:p>
        </w:tc>
      </w:tr>
    </w:tbl>
    <w:p w:rsidR="00AD65CC" w:rsidRDefault="000A5A2B">
      <w:pPr>
        <w:pStyle w:val="Paragraph"/>
      </w:pPr>
      <w:r>
        <w:t>This assumption is restrictive for geohazard risk management. Groundwater levels are influenced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48]. These changes do not merely alter a descriptive parameter. They modify effective stress, cyclic stress ratio, clean-sand equivalent resistance and the probability that a layer will reach a liquefaction limit state.</w:t>
      </w:r>
    </w:p>
    <w:p w:rsidR="00946BE6" w:rsidRDefault="00946BE6" w:rsidP="00946BE6">
      <w:r>
        <w:t>Geotechnical reliability provides a natural language for this problem because it connects soil variability, model uncertainty and performance probability [1, 3, 9, 30]. The approach also aligns directly with georisk assessment and management because it treats uncertainty in geomaterials, geologic processes, groundwater state and engineered-system decisions as the central object of analysis. The gap addressed here is not another fixed-condition liquefaction calculation, but the absence of an auditable reliability-updating workflow that compares stationary and non-stationary liquefaction risk under explicit groundwater and gradation scenarios.</w:t>
      </w:r>
    </w:p>
    <w:p w:rsidR="003B066E" w:rsidRDefault="003B066E" w:rsidP="00F436BC">
      <w:pPr>
        <w:pStyle w:val="Heading1"/>
        <w:rPr>
          <w:rFonts w:cs="Times New Roman"/>
          <w:b w:val="0"/>
          <w:bCs w:val="0"/>
          <w:kern w:val="0"/>
          <w:szCs w:val="24"/>
        </w:rPr>
      </w:pPr>
      <w:r>
        <w:rPr>
          <w:rFonts w:cs="Times New Roman"/>
          <w:b w:val="0"/>
          <w:bCs w:val="0"/>
          <w:kern w:val="0"/>
          <w:szCs w:val="24"/>
        </w:rPr>
        <w:t>The paper makes four explicit contributions for georisk-oriented liquefaction reliability updating. First, it formulates liquefaction triggering as a time-dependent limit-state problem in which groundwater depth and gradation are auditable state variables rather than fixed background assumptions. Second, it provides a reproducible Monte Carlo decision benchmark with stationary and non-stationary comparators, convergence checks, sensitivity diagnostics, external discrimination checks and documented-site stress tests. Third, it separates deterministic, stationary-probabilistic and non-stationary probability estimates so that the added state variables can be tested by ablation and tied to risk-ranking, monitoring and mitigation decisions instead of asserted as a generic framework. Fourth, it adds a cost-sensitive operating-policy diagnostic that distinguishes calibration-favoured baselines from fixed-threshold missed-event-averse guardrails when false negatives are assigned higher engineering cost than false positives.</w:t>
      </w:r>
    </w:p>
    <w:p w:rsidR="00AD65CC" w:rsidRPr="00F436BC" w:rsidRDefault="000A5A2B" w:rsidP="00F436BC">
      <w:pPr>
        <w:pStyle w:val="Heading1"/>
        <w:rPr>
          <w:rFonts w:ascii="Arial" w:hAnsi="Arial"/>
        </w:rPr>
      </w:pPr>
      <w:r w:rsidRPr="00F436BC">
        <w:t>2. Background and reliability gap</w:t>
      </w:r>
    </w:p>
    <w:p w:rsidR="00AD65CC" w:rsidRDefault="000A5A2B">
      <w:pPr>
        <w:pStyle w:val="Paragraph"/>
      </w:pPr>
      <w:r>
        <w:t>Liquefaction triggering is usually assessed by comparing cyclic resistance ratio, CRR, with cyclic stress ratio, CSR. Classical procedures rely on SPT, CPT or shear-wave velocity correlations and are supported by case histories [19, 24, 38, 39].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47].</w:t>
      </w:r>
    </w:p>
    <w:p w:rsidR="00AD65CC" w:rsidRDefault="000A5A2B">
      <w:pPr>
        <w:pStyle w:val="Paragraph"/>
      </w:pPr>
      <w: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[11, 12, 28].</w:t>
      </w:r>
    </w:p>
    <w:p w:rsidR="00AD65CC" w:rsidRDefault="000A5A2B">
      <w:pPr>
        <w:pStyle w:val="Paragraph"/>
      </w:pPr>
      <w: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45].</w:t>
      </w:r>
    </w:p>
    <w:p w:rsidR="00AD65CC" w:rsidRPr="00F436BC" w:rsidRDefault="000A5A2B" w:rsidP="00F436BC">
      <w:pPr>
        <w:pStyle w:val="Heading1"/>
        <w:rPr>
          <w:rFonts w:ascii="Arial" w:hAnsi="Arial"/>
        </w:rPr>
      </w:pPr>
      <w:r w:rsidRPr="00F436BC">
        <w:t>3. Non-stationary reliability formulation</w:t>
      </w:r>
    </w:p>
    <w:p w:rsidR="00AD65CC" w:rsidRDefault="000A5A2B">
      <w:pPr>
        <w:pStyle w:val="Paragraph"/>
      </w:pPr>
      <w:r>
        <w:t>For a layer at depth z and time t, liquefaction is represented by a limit-state function g(z,t). The layer is considered to liquefy when g(z,t)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380D34" w:rsidRPr="00380D34" w:rsidRDefault="003B066E"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pStyle w:val="Paragraph"/>
      </w:pPr>
      <w:r>
        <w:t>Table 2 summarises the main uncertain inputs and links the limit-state equations with the reproducible code.</w:t>
      </w:r>
    </w:p>
    <w:p w:rsidR="00AD65CC" w:rsidRPr="008F6A0C" w:rsidRDefault="000A5A2B">
      <w:pPr>
        <w:pStyle w:val="Tabletitle"/>
        <w:rPr>
          <w:color w:val="000000"/>
        </w:rPr>
      </w:pPr>
      <w:r w:rsidRPr="008F6A0C">
        <w:t>Table 2. Random variables and deterministic state variables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Variable</w:t>
            </w:r>
          </w:p>
        </w:tc>
        <w:tc>
          <w:tcPr>
            <w:tcW w:w="1667" w:type="pct"/>
            <w:vAlign w:val="center"/>
          </w:tcPr>
          <w:p w:rsidR="00AD65CC" w:rsidRPr="00AB200C" w:rsidRDefault="000A5A2B" w:rsidP="00AB200C">
            <w:pPr>
              <w:spacing w:line="240" w:lineRule="auto"/>
              <w:rPr>
                <w:color w:val="000000"/>
                <w:sz w:val="18"/>
              </w:rPr>
            </w:pPr>
            <w:r w:rsidRPr="00AB200C">
              <w:rPr>
                <w:sz w:val="18"/>
                <w:szCs w:val="17"/>
              </w:rPr>
              <w:t>Role</w:t>
            </w:r>
          </w:p>
        </w:tc>
        <w:tc>
          <w:tcPr>
            <w:tcW w:w="1666" w:type="pct"/>
            <w:vAlign w:val="center"/>
          </w:tcPr>
          <w:p w:rsidR="00AD65CC" w:rsidRPr="00AB200C" w:rsidRDefault="000A5A2B" w:rsidP="00AB200C">
            <w:pPr>
              <w:spacing w:line="240" w:lineRule="auto"/>
              <w:rPr>
                <w:color w:val="000000"/>
                <w:sz w:val="18"/>
              </w:rPr>
            </w:pPr>
            <w:r w:rsidRPr="00AB200C">
              <w:rPr>
                <w:sz w:val="18"/>
                <w:szCs w:val="17"/>
              </w:rPr>
              <w:t>Representation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N1,60</w:t>
            </w:r>
          </w:p>
        </w:tc>
        <w:tc>
          <w:tcPr>
            <w:tcW w:w="1667" w:type="pct"/>
            <w:vAlign w:val="center"/>
          </w:tcPr>
          <w:p w:rsidR="00AD65CC" w:rsidRPr="00AB200C" w:rsidRDefault="000A5A2B" w:rsidP="00AB200C">
            <w:pPr>
              <w:spacing w:line="240" w:lineRule="auto"/>
              <w:rPr>
                <w:color w:val="000000"/>
                <w:sz w:val="18"/>
              </w:rPr>
            </w:pPr>
            <w:r w:rsidRPr="00AB200C">
              <w:rPr>
                <w:sz w:val="18"/>
                <w:szCs w:val="17"/>
              </w:rPr>
              <w:t>SPT resistance index</w:t>
            </w:r>
          </w:p>
        </w:tc>
        <w:tc>
          <w:tcPr>
            <w:tcW w:w="1666" w:type="pct"/>
            <w:vAlign w:val="center"/>
          </w:tcPr>
          <w:p w:rsidR="00AD65CC" w:rsidRPr="00AB200C" w:rsidRDefault="000A5A2B" w:rsidP="00AB200C">
            <w:pPr>
              <w:spacing w:line="240" w:lineRule="auto"/>
              <w:rPr>
                <w:color w:val="000000"/>
                <w:sz w:val="18"/>
              </w:rPr>
            </w:pPr>
            <w:r w:rsidRPr="00AB200C">
              <w:rPr>
                <w:sz w:val="18"/>
                <w:szCs w:val="17"/>
              </w:rPr>
              <w:t>Lognormal, layer-specific mean, coefficient of variation implied by sigma = 0.18</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FC(t)</w:t>
            </w:r>
          </w:p>
        </w:tc>
        <w:tc>
          <w:tcPr>
            <w:tcW w:w="1667" w:type="pct"/>
            <w:vAlign w:val="center"/>
          </w:tcPr>
          <w:p w:rsidR="00AD65CC" w:rsidRPr="00AB200C" w:rsidRDefault="000A5A2B" w:rsidP="00AB200C">
            <w:pPr>
              <w:spacing w:line="240" w:lineRule="auto"/>
              <w:rPr>
                <w:color w:val="000000"/>
                <w:sz w:val="18"/>
              </w:rPr>
            </w:pPr>
            <w:r w:rsidRPr="00AB200C">
              <w:rPr>
                <w:sz w:val="18"/>
                <w:szCs w:val="17"/>
              </w:rPr>
              <w:t>Fines-content state variable</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Normal around scenario mean, truncated to 0-45%</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zw(t)</w:t>
            </w:r>
          </w:p>
        </w:tc>
        <w:tc>
          <w:tcPr>
            <w:tcW w:w="1667" w:type="pct"/>
            <w:vAlign w:val="center"/>
          </w:tcPr>
          <w:p w:rsidR="00AD65CC" w:rsidRPr="00AB200C" w:rsidRDefault="000A5A2B" w:rsidP="00AB200C">
            <w:pPr>
              <w:spacing w:line="240" w:lineRule="auto"/>
              <w:rPr>
                <w:color w:val="000000"/>
                <w:sz w:val="18"/>
              </w:rPr>
            </w:pPr>
            <w:r w:rsidRPr="00AB200C">
              <w:rPr>
                <w:sz w:val="18"/>
                <w:szCs w:val="17"/>
              </w:rPr>
              <w:t>Groundwater depth</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Normal around scenario trajectory, truncated to 0.4-7.0 m</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PGA</w:t>
            </w:r>
          </w:p>
        </w:tc>
        <w:tc>
          <w:tcPr>
            <w:tcW w:w="1667" w:type="pct"/>
            <w:vAlign w:val="center"/>
          </w:tcPr>
          <w:p w:rsidR="00AD65CC" w:rsidRPr="00AB200C" w:rsidRDefault="000A5A2B" w:rsidP="00AB200C">
            <w:pPr>
              <w:spacing w:line="240" w:lineRule="auto"/>
              <w:rPr>
                <w:color w:val="000000"/>
                <w:sz w:val="18"/>
              </w:rPr>
            </w:pPr>
            <w:r w:rsidRPr="00AB200C">
              <w:rPr>
                <w:sz w:val="18"/>
                <w:szCs w:val="17"/>
              </w:rPr>
              <w:t>Seismic demand intensity</w:t>
            </w:r>
          </w:p>
        </w:tc>
        <w:tc>
          <w:tcPr>
            <w:tcW w:w="1666" w:type="pct"/>
            <w:vAlign w:val="center"/>
          </w:tcPr>
          <w:p w:rsidR="00AD65CC" w:rsidRPr="00AB200C" w:rsidRDefault="000A5A2B" w:rsidP="00AB200C">
            <w:pPr>
              <w:spacing w:line="240" w:lineRule="auto"/>
              <w:rPr>
                <w:color w:val="000000"/>
                <w:sz w:val="18"/>
              </w:rPr>
            </w:pPr>
            <w:r w:rsidRPr="00AB200C">
              <w:rPr>
                <w:sz w:val="18"/>
                <w:szCs w:val="17"/>
              </w:rPr>
              <w:t>Lognormal with median 0.28 g</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epsm</w:t>
            </w:r>
          </w:p>
        </w:tc>
        <w:tc>
          <w:tcPr>
            <w:tcW w:w="1667" w:type="pct"/>
            <w:vAlign w:val="center"/>
          </w:tcPr>
          <w:p w:rsidR="00AD65CC" w:rsidRPr="00AB200C" w:rsidRDefault="000A5A2B" w:rsidP="00AB200C">
            <w:pPr>
              <w:spacing w:line="240" w:lineRule="auto"/>
              <w:rPr>
                <w:color w:val="000000"/>
                <w:sz w:val="18"/>
              </w:rPr>
            </w:pPr>
            <w:r w:rsidRPr="00AB200C">
              <w:rPr>
                <w:sz w:val="18"/>
                <w:szCs w:val="17"/>
              </w:rPr>
              <w:t>Model uncertainty multiplier</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Normal with mean 1.0 and standard deviation 0.12</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rd(z)</w:t>
            </w:r>
          </w:p>
        </w:tc>
        <w:tc>
          <w:tcPr>
            <w:tcW w:w="1667" w:type="pct"/>
            <w:vAlign w:val="center"/>
          </w:tcPr>
          <w:p w:rsidR="00AD65CC" w:rsidRPr="00AB200C" w:rsidRDefault="000A5A2B" w:rsidP="00AB200C">
            <w:pPr>
              <w:spacing w:line="240" w:lineRule="auto"/>
              <w:rPr>
                <w:color w:val="000000"/>
                <w:sz w:val="18"/>
              </w:rPr>
            </w:pPr>
            <w:r w:rsidRPr="00AB200C">
              <w:rPr>
                <w:sz w:val="18"/>
                <w:szCs w:val="17"/>
              </w:rPr>
              <w:t>Stress-reduction coefficient</w:t>
            </w:r>
          </w:p>
        </w:tc>
        <w:tc>
          <w:tcPr>
            <w:tcW w:w="1666" w:type="pct"/>
            <w:vAlign w:val="center"/>
          </w:tcPr>
          <w:p w:rsidR="00AD65CC" w:rsidRPr="00AB200C" w:rsidRDefault="000A5A2B" w:rsidP="00AB200C">
            <w:pPr>
              <w:spacing w:line="240" w:lineRule="auto"/>
              <w:rPr>
                <w:color w:val="000000"/>
                <w:sz w:val="18"/>
              </w:rPr>
            </w:pPr>
            <w:r w:rsidRPr="00AB200C">
              <w:rPr>
                <w:sz w:val="18"/>
                <w:szCs w:val="17"/>
              </w:rPr>
              <w:t>Depth-dependent deterministic approximation</w:t>
            </w:r>
          </w:p>
        </w:tc>
      </w:tr>
    </w:tbl>
    <w:p w:rsidR="00AD65CC" w:rsidRDefault="00AD65CC"/>
    <w:p w:rsidR="00AD65CC" w:rsidRDefault="000A5A2B">
      <w:pPr>
        <w:pStyle w:val="Paragraph"/>
      </w:pPr>
      <w:r>
        <w:t>The four-layer synthetic profile in Table 3 represents a shallow deposit with decreasing susceptibility with depth. It is not a hidden calibration case; all parameters are disclosed so that reviewers can rerun or modify the benchmark.</w:t>
      </w:r>
    </w:p>
    <w:p w:rsidR="00AD65CC" w:rsidRPr="008F6A0C" w:rsidRDefault="000A5A2B">
      <w:pPr>
        <w:pStyle w:val="Tabletitle"/>
        <w:rPr>
          <w:color w:val="000000"/>
        </w:rPr>
      </w:pPr>
      <w:r w:rsidRPr="008F6A0C">
        <w:t>Table 3. Synthetic layered profile used for the reproducible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418"/>
        <w:gridCol w:w="1418"/>
        <w:gridCol w:w="1417"/>
        <w:gridCol w:w="1417"/>
        <w:gridCol w:w="1417"/>
        <w:gridCol w:w="1417"/>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Layer</w:t>
            </w:r>
          </w:p>
        </w:tc>
        <w:tc>
          <w:tcPr>
            <w:tcW w:w="834" w:type="pct"/>
            <w:vAlign w:val="center"/>
          </w:tcPr>
          <w:p w:rsidR="00AD65CC" w:rsidRPr="00AB200C" w:rsidRDefault="000A5A2B" w:rsidP="00AB200C">
            <w:pPr>
              <w:spacing w:line="240" w:lineRule="auto"/>
              <w:rPr>
                <w:color w:val="000000"/>
                <w:sz w:val="18"/>
              </w:rPr>
            </w:pPr>
            <w:r w:rsidRPr="00AB200C">
              <w:rPr>
                <w:sz w:val="18"/>
                <w:szCs w:val="17"/>
              </w:rPr>
              <w:t>Depth z (m)</w:t>
            </w:r>
          </w:p>
        </w:tc>
        <w:tc>
          <w:tcPr>
            <w:tcW w:w="833" w:type="pct"/>
            <w:vAlign w:val="center"/>
          </w:tcPr>
          <w:p w:rsidR="00AD65CC" w:rsidRPr="00AB200C" w:rsidRDefault="000A5A2B" w:rsidP="00AB200C">
            <w:pPr>
              <w:spacing w:line="240" w:lineRule="auto"/>
              <w:rPr>
                <w:color w:val="000000"/>
                <w:sz w:val="18"/>
              </w:rPr>
            </w:pPr>
            <w:r w:rsidRPr="00AB200C">
              <w:rPr>
                <w:sz w:val="18"/>
                <w:szCs w:val="17"/>
              </w:rPr>
              <w:t>Thickness (m)</w:t>
            </w:r>
          </w:p>
        </w:tc>
        <w:tc>
          <w:tcPr>
            <w:tcW w:w="833" w:type="pct"/>
            <w:vAlign w:val="center"/>
          </w:tcPr>
          <w:p w:rsidR="00AD65CC" w:rsidRPr="00AB200C" w:rsidRDefault="000A5A2B" w:rsidP="00AB200C">
            <w:pPr>
              <w:spacing w:line="240" w:lineRule="auto"/>
              <w:rPr>
                <w:color w:val="000000"/>
                <w:sz w:val="18"/>
              </w:rPr>
            </w:pPr>
            <w:r w:rsidRPr="00AB200C">
              <w:rPr>
                <w:sz w:val="18"/>
                <w:szCs w:val="17"/>
              </w:rPr>
              <w:t>N1,60</w:t>
            </w:r>
          </w:p>
        </w:tc>
        <w:tc>
          <w:tcPr>
            <w:tcW w:w="833" w:type="pct"/>
            <w:vAlign w:val="center"/>
          </w:tcPr>
          <w:p w:rsidR="00AD65CC" w:rsidRPr="00AB200C" w:rsidRDefault="000A5A2B" w:rsidP="00AB200C">
            <w:pPr>
              <w:spacing w:line="240" w:lineRule="auto"/>
              <w:rPr>
                <w:color w:val="000000"/>
                <w:sz w:val="18"/>
              </w:rPr>
            </w:pPr>
            <w:r w:rsidRPr="00AB200C">
              <w:rPr>
                <w:sz w:val="18"/>
                <w:szCs w:val="17"/>
              </w:rPr>
              <w:t>Initial FC (%)</w:t>
            </w:r>
          </w:p>
        </w:tc>
        <w:tc>
          <w:tcPr>
            <w:tcW w:w="833" w:type="pct"/>
            <w:vAlign w:val="center"/>
          </w:tcPr>
          <w:p w:rsidR="00AD65CC" w:rsidRPr="00AB200C" w:rsidRDefault="000A5A2B" w:rsidP="00AB200C">
            <w:pPr>
              <w:spacing w:line="240" w:lineRule="auto"/>
              <w:rPr>
                <w:color w:val="000000"/>
                <w:sz w:val="18"/>
              </w:rPr>
            </w:pPr>
            <w:r w:rsidRPr="00AB200C">
              <w:rPr>
                <w:sz w:val="18"/>
                <w:szCs w:val="17"/>
              </w:rPr>
              <w:t>D50 (mm)</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L1</w:t>
            </w:r>
          </w:p>
        </w:tc>
        <w:tc>
          <w:tcPr>
            <w:tcW w:w="834" w:type="pct"/>
            <w:vAlign w:val="center"/>
          </w:tcPr>
          <w:p w:rsidR="00AD65CC" w:rsidRPr="00AB200C" w:rsidRDefault="000A5A2B" w:rsidP="00AB200C">
            <w:pPr>
              <w:spacing w:line="240" w:lineRule="auto"/>
              <w:rPr>
                <w:color w:val="000000"/>
                <w:sz w:val="18"/>
              </w:rPr>
            </w:pPr>
            <w:r w:rsidRPr="00AB200C">
              <w:rPr>
                <w:sz w:val="18"/>
                <w:szCs w:val="17"/>
              </w:rPr>
              <w:t>2.0</w:t>
            </w:r>
          </w:p>
        </w:tc>
        <w:tc>
          <w:tcPr>
            <w:tcW w:w="833" w:type="pct"/>
            <w:vAlign w:val="center"/>
          </w:tcPr>
          <w:p w:rsidR="00AD65CC" w:rsidRPr="00AB200C" w:rsidRDefault="000A5A2B" w:rsidP="00AB200C">
            <w:pPr>
              <w:spacing w:line="240" w:lineRule="auto"/>
              <w:rPr>
                <w:color w:val="000000"/>
                <w:sz w:val="18"/>
              </w:rPr>
            </w:pPr>
            <w:r w:rsidRPr="00AB200C">
              <w:rPr>
                <w:sz w:val="18"/>
                <w:szCs w:val="17"/>
              </w:rPr>
              <w:t>2.0</w:t>
            </w:r>
          </w:p>
        </w:tc>
        <w:tc>
          <w:tcPr>
            <w:tcW w:w="833" w:type="pct"/>
            <w:vAlign w:val="center"/>
          </w:tcPr>
          <w:p w:rsidR="00AD65CC" w:rsidRPr="00AB200C" w:rsidRDefault="000A5A2B" w:rsidP="00AB200C">
            <w:pPr>
              <w:spacing w:line="240" w:lineRule="auto"/>
              <w:rPr>
                <w:color w:val="000000"/>
                <w:sz w:val="18"/>
              </w:rPr>
            </w:pPr>
            <w:r w:rsidRPr="00AB200C">
              <w:rPr>
                <w:sz w:val="18"/>
                <w:szCs w:val="17"/>
              </w:rPr>
              <w:t>10.0</w:t>
            </w:r>
          </w:p>
        </w:tc>
        <w:tc>
          <w:tcPr>
            <w:tcW w:w="833" w:type="pct"/>
            <w:vAlign w:val="center"/>
          </w:tcPr>
          <w:p w:rsidR="00AD65CC" w:rsidRPr="00AB200C" w:rsidRDefault="000A5A2B" w:rsidP="00AB200C">
            <w:pPr>
              <w:spacing w:line="240" w:lineRule="auto"/>
              <w:rPr>
                <w:color w:val="000000"/>
                <w:sz w:val="18"/>
              </w:rPr>
            </w:pPr>
            <w:r w:rsidRPr="00AB200C">
              <w:rPr>
                <w:sz w:val="18"/>
                <w:szCs w:val="17"/>
              </w:rPr>
              <w:t>8.0</w:t>
            </w:r>
          </w:p>
        </w:tc>
        <w:tc>
          <w:tcPr>
            <w:tcW w:w="833" w:type="pct"/>
            <w:vAlign w:val="center"/>
          </w:tcPr>
          <w:p w:rsidR="00AD65CC" w:rsidRPr="00AB200C" w:rsidRDefault="000A5A2B" w:rsidP="00AB200C">
            <w:pPr>
              <w:spacing w:line="240" w:lineRule="auto"/>
              <w:rPr>
                <w:color w:val="000000"/>
                <w:sz w:val="18"/>
              </w:rPr>
            </w:pPr>
            <w:r w:rsidRPr="00AB200C">
              <w:rPr>
                <w:sz w:val="18"/>
                <w:szCs w:val="17"/>
              </w:rPr>
              <w:t>0.33</w:t>
            </w:r>
          </w:p>
        </w:tc>
      </w:tr>
      <w:tr w:rsidR="00AD65CC" w:rsidRPr="00380D34" w:rsidTr="00AB200C">
        <w:trPr>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L2</w:t>
            </w:r>
          </w:p>
        </w:tc>
        <w:tc>
          <w:tcPr>
            <w:tcW w:w="834" w:type="pct"/>
            <w:vAlign w:val="center"/>
          </w:tcPr>
          <w:p w:rsidR="00AD65CC" w:rsidRPr="00AB200C" w:rsidRDefault="000A5A2B" w:rsidP="00AB200C">
            <w:pPr>
              <w:spacing w:line="240" w:lineRule="auto"/>
              <w:rPr>
                <w:color w:val="000000"/>
                <w:sz w:val="18"/>
              </w:rPr>
            </w:pPr>
            <w:r w:rsidRPr="00AB200C">
              <w:rPr>
                <w:sz w:val="18"/>
                <w:szCs w:val="17"/>
              </w:rPr>
              <w:t>4.5</w:t>
            </w:r>
          </w:p>
        </w:tc>
        <w:tc>
          <w:tcPr>
            <w:tcW w:w="833" w:type="pct"/>
            <w:vAlign w:val="center"/>
          </w:tcPr>
          <w:p w:rsidR="00AD65CC" w:rsidRPr="00AB200C" w:rsidRDefault="000A5A2B" w:rsidP="00AB200C">
            <w:pPr>
              <w:spacing w:line="240" w:lineRule="auto"/>
              <w:rPr>
                <w:color w:val="000000"/>
                <w:sz w:val="18"/>
              </w:rPr>
            </w:pPr>
            <w:r w:rsidRPr="00AB200C">
              <w:rPr>
                <w:sz w:val="18"/>
                <w:szCs w:val="17"/>
              </w:rPr>
              <w:t>3.0</w:t>
            </w:r>
          </w:p>
        </w:tc>
        <w:tc>
          <w:tcPr>
            <w:tcW w:w="833" w:type="pct"/>
            <w:vAlign w:val="center"/>
          </w:tcPr>
          <w:p w:rsidR="00AD65CC" w:rsidRPr="00AB200C" w:rsidRDefault="000A5A2B" w:rsidP="00AB200C">
            <w:pPr>
              <w:spacing w:line="240" w:lineRule="auto"/>
              <w:rPr>
                <w:color w:val="000000"/>
                <w:sz w:val="18"/>
              </w:rPr>
            </w:pPr>
            <w:r w:rsidRPr="00AB200C">
              <w:rPr>
                <w:sz w:val="18"/>
                <w:szCs w:val="17"/>
              </w:rPr>
              <w:t>13.0</w:t>
            </w:r>
          </w:p>
        </w:tc>
        <w:tc>
          <w:tcPr>
            <w:tcW w:w="833" w:type="pct"/>
            <w:vAlign w:val="center"/>
          </w:tcPr>
          <w:p w:rsidR="00AD65CC" w:rsidRPr="00AB200C" w:rsidRDefault="000A5A2B" w:rsidP="00AB200C">
            <w:pPr>
              <w:spacing w:line="240" w:lineRule="auto"/>
              <w:rPr>
                <w:color w:val="000000"/>
                <w:sz w:val="18"/>
              </w:rPr>
            </w:pPr>
            <w:r w:rsidRPr="00AB200C">
              <w:rPr>
                <w:sz w:val="18"/>
                <w:szCs w:val="17"/>
              </w:rPr>
              <w:t>14.0</w:t>
            </w:r>
          </w:p>
        </w:tc>
        <w:tc>
          <w:tcPr>
            <w:tcW w:w="833" w:type="pct"/>
            <w:vAlign w:val="center"/>
          </w:tcPr>
          <w:p w:rsidR="00AD65CC" w:rsidRPr="00AB200C" w:rsidRDefault="000A5A2B" w:rsidP="00AB200C">
            <w:pPr>
              <w:spacing w:line="240" w:lineRule="auto"/>
              <w:rPr>
                <w:color w:val="000000"/>
                <w:sz w:val="18"/>
              </w:rPr>
            </w:pPr>
            <w:r w:rsidRPr="00AB200C">
              <w:rPr>
                <w:sz w:val="18"/>
                <w:szCs w:val="17"/>
              </w:rPr>
              <w:t>0.25</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L3</w:t>
            </w:r>
          </w:p>
        </w:tc>
        <w:tc>
          <w:tcPr>
            <w:tcW w:w="834" w:type="pct"/>
            <w:vAlign w:val="center"/>
          </w:tcPr>
          <w:p w:rsidR="00AD65CC" w:rsidRPr="00AB200C" w:rsidRDefault="000A5A2B" w:rsidP="00AB200C">
            <w:pPr>
              <w:spacing w:line="240" w:lineRule="auto"/>
              <w:rPr>
                <w:color w:val="000000"/>
                <w:sz w:val="18"/>
              </w:rPr>
            </w:pPr>
            <w:r w:rsidRPr="00AB200C">
              <w:rPr>
                <w:sz w:val="18"/>
                <w:szCs w:val="17"/>
              </w:rPr>
              <w:t>8.0</w:t>
            </w:r>
          </w:p>
        </w:tc>
        <w:tc>
          <w:tcPr>
            <w:tcW w:w="833" w:type="pct"/>
            <w:vAlign w:val="center"/>
          </w:tcPr>
          <w:p w:rsidR="00AD65CC" w:rsidRPr="00AB200C" w:rsidRDefault="000A5A2B" w:rsidP="00AB200C">
            <w:pPr>
              <w:spacing w:line="240" w:lineRule="auto"/>
              <w:rPr>
                <w:color w:val="000000"/>
                <w:sz w:val="18"/>
              </w:rPr>
            </w:pPr>
            <w:r w:rsidRPr="00AB200C">
              <w:rPr>
                <w:sz w:val="18"/>
                <w:szCs w:val="17"/>
              </w:rPr>
              <w:t>4.0</w:t>
            </w:r>
          </w:p>
        </w:tc>
        <w:tc>
          <w:tcPr>
            <w:tcW w:w="833" w:type="pct"/>
            <w:vAlign w:val="center"/>
          </w:tcPr>
          <w:p w:rsidR="00AD65CC" w:rsidRPr="00AB200C" w:rsidRDefault="000A5A2B" w:rsidP="00AB200C">
            <w:pPr>
              <w:spacing w:line="240" w:lineRule="auto"/>
              <w:rPr>
                <w:color w:val="000000"/>
                <w:sz w:val="18"/>
              </w:rPr>
            </w:pPr>
            <w:r w:rsidRPr="00AB200C">
              <w:rPr>
                <w:sz w:val="18"/>
                <w:szCs w:val="17"/>
              </w:rPr>
              <w:t>18.0</w:t>
            </w:r>
          </w:p>
        </w:tc>
        <w:tc>
          <w:tcPr>
            <w:tcW w:w="833" w:type="pct"/>
            <w:vAlign w:val="center"/>
          </w:tcPr>
          <w:p w:rsidR="00AD65CC" w:rsidRPr="00AB200C" w:rsidRDefault="000A5A2B" w:rsidP="00AB200C">
            <w:pPr>
              <w:spacing w:line="240" w:lineRule="auto"/>
              <w:rPr>
                <w:color w:val="000000"/>
                <w:sz w:val="18"/>
              </w:rPr>
            </w:pPr>
            <w:r w:rsidRPr="00AB200C">
              <w:rPr>
                <w:sz w:val="18"/>
                <w:szCs w:val="17"/>
              </w:rPr>
              <w:t>21.0</w:t>
            </w:r>
          </w:p>
        </w:tc>
        <w:tc>
          <w:tcPr>
            <w:tcW w:w="833" w:type="pct"/>
            <w:vAlign w:val="center"/>
          </w:tcPr>
          <w:p w:rsidR="00AD65CC" w:rsidRPr="00AB200C" w:rsidRDefault="000A5A2B" w:rsidP="00AB200C">
            <w:pPr>
              <w:spacing w:line="240" w:lineRule="auto"/>
              <w:rPr>
                <w:color w:val="000000"/>
                <w:sz w:val="18"/>
              </w:rPr>
            </w:pPr>
            <w:r w:rsidRPr="00AB200C">
              <w:rPr>
                <w:sz w:val="18"/>
                <w:szCs w:val="17"/>
              </w:rPr>
              <w:t>0.18</w:t>
            </w:r>
          </w:p>
        </w:tc>
      </w:tr>
      <w:tr w:rsidR="00AD65CC" w:rsidRPr="00380D34" w:rsidTr="00AB200C">
        <w:trPr>
          <w:jc w:val="center"/>
        </w:trPr>
        <w:tc>
          <w:tcPr>
            <w:tcW w:w="834" w:type="pct"/>
            <w:vAlign w:val="center"/>
          </w:tcPr>
          <w:p w:rsidR="00AD65CC" w:rsidRPr="00AB200C" w:rsidRDefault="000A5A2B" w:rsidP="00AB200C">
            <w:pPr>
              <w:spacing w:line="240" w:lineRule="auto"/>
              <w:rPr>
                <w:color w:val="000000"/>
                <w:sz w:val="18"/>
              </w:rPr>
            </w:pPr>
            <w:r w:rsidRPr="00AB200C">
              <w:rPr>
                <w:sz w:val="18"/>
                <w:szCs w:val="17"/>
              </w:rPr>
              <w:t>L4</w:t>
            </w:r>
          </w:p>
        </w:tc>
        <w:tc>
          <w:tcPr>
            <w:tcW w:w="834" w:type="pct"/>
            <w:vAlign w:val="center"/>
          </w:tcPr>
          <w:p w:rsidR="00AD65CC" w:rsidRPr="00AB200C" w:rsidRDefault="000A5A2B" w:rsidP="00AB200C">
            <w:pPr>
              <w:spacing w:line="240" w:lineRule="auto"/>
              <w:rPr>
                <w:color w:val="000000"/>
                <w:sz w:val="18"/>
              </w:rPr>
            </w:pPr>
            <w:r w:rsidRPr="00AB200C">
              <w:rPr>
                <w:sz w:val="18"/>
                <w:szCs w:val="17"/>
              </w:rPr>
              <w:t>12.5</w:t>
            </w:r>
          </w:p>
        </w:tc>
        <w:tc>
          <w:tcPr>
            <w:tcW w:w="833" w:type="pct"/>
            <w:vAlign w:val="center"/>
          </w:tcPr>
          <w:p w:rsidR="00AD65CC" w:rsidRPr="00AB200C" w:rsidRDefault="000A5A2B" w:rsidP="00AB200C">
            <w:pPr>
              <w:spacing w:line="240" w:lineRule="auto"/>
              <w:rPr>
                <w:color w:val="000000"/>
                <w:sz w:val="18"/>
              </w:rPr>
            </w:pPr>
            <w:r w:rsidRPr="00AB200C">
              <w:rPr>
                <w:sz w:val="18"/>
                <w:szCs w:val="17"/>
              </w:rPr>
              <w:t>5.0</w:t>
            </w:r>
          </w:p>
        </w:tc>
        <w:tc>
          <w:tcPr>
            <w:tcW w:w="833" w:type="pct"/>
            <w:vAlign w:val="center"/>
          </w:tcPr>
          <w:p w:rsidR="00AD65CC" w:rsidRPr="00AB200C" w:rsidRDefault="000A5A2B" w:rsidP="00AB200C">
            <w:pPr>
              <w:spacing w:line="240" w:lineRule="auto"/>
              <w:rPr>
                <w:color w:val="000000"/>
                <w:sz w:val="18"/>
              </w:rPr>
            </w:pPr>
            <w:r w:rsidRPr="00AB200C">
              <w:rPr>
                <w:sz w:val="18"/>
                <w:szCs w:val="17"/>
              </w:rPr>
              <w:t>24.0</w:t>
            </w:r>
          </w:p>
        </w:tc>
        <w:tc>
          <w:tcPr>
            <w:tcW w:w="833" w:type="pct"/>
            <w:vAlign w:val="center"/>
          </w:tcPr>
          <w:p w:rsidR="00AD65CC" w:rsidRPr="00AB200C" w:rsidRDefault="000A5A2B" w:rsidP="00AB200C">
            <w:pPr>
              <w:spacing w:line="240" w:lineRule="auto"/>
              <w:rPr>
                <w:color w:val="000000"/>
                <w:sz w:val="18"/>
              </w:rPr>
            </w:pPr>
            <w:r w:rsidRPr="00AB200C">
              <w:rPr>
                <w:sz w:val="18"/>
                <w:szCs w:val="17"/>
              </w:rPr>
              <w:t>28.0</w:t>
            </w:r>
          </w:p>
        </w:tc>
        <w:tc>
          <w:tcPr>
            <w:tcW w:w="833" w:type="pct"/>
            <w:vAlign w:val="center"/>
          </w:tcPr>
          <w:p w:rsidR="00AD65CC" w:rsidRPr="00AB200C" w:rsidRDefault="000A5A2B" w:rsidP="00AB200C">
            <w:pPr>
              <w:spacing w:line="240" w:lineRule="auto"/>
              <w:rPr>
                <w:color w:val="000000"/>
                <w:sz w:val="18"/>
              </w:rPr>
            </w:pPr>
            <w:r w:rsidRPr="00AB200C">
              <w:rPr>
                <w:sz w:val="18"/>
                <w:szCs w:val="17"/>
              </w:rPr>
              <w:t>0.14</w:t>
            </w:r>
          </w:p>
        </w:tc>
      </w:tr>
    </w:tbl>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Pr="008F6A0C" w:rsidRDefault="000A5A2B">
      <w:pPr>
        <w:pStyle w:val="Tabletitle"/>
        <w:rPr>
          <w:color w:val="000000"/>
        </w:rPr>
      </w:pPr>
      <w:r w:rsidRPr="008F6A0C">
        <w:t>Table 4. Non-stationary scenarios evaluated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835"/>
        <w:gridCol w:w="2835"/>
        <w:gridCol w:w="2834"/>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Scenario group</w:t>
            </w:r>
          </w:p>
        </w:tc>
        <w:tc>
          <w:tcPr>
            <w:tcW w:w="1667" w:type="pct"/>
            <w:vAlign w:val="center"/>
          </w:tcPr>
          <w:p w:rsidR="00AD65CC" w:rsidRPr="00AB200C" w:rsidRDefault="000A5A2B" w:rsidP="00AB200C">
            <w:pPr>
              <w:spacing w:line="240" w:lineRule="auto"/>
              <w:rPr>
                <w:color w:val="000000"/>
                <w:sz w:val="18"/>
              </w:rPr>
            </w:pPr>
            <w:r w:rsidRPr="00AB200C">
              <w:rPr>
                <w:sz w:val="18"/>
                <w:szCs w:val="17"/>
              </w:rPr>
              <w:t>Scenario</w:t>
            </w:r>
          </w:p>
        </w:tc>
        <w:tc>
          <w:tcPr>
            <w:tcW w:w="1666" w:type="pct"/>
            <w:vAlign w:val="center"/>
          </w:tcPr>
          <w:p w:rsidR="00AD65CC" w:rsidRPr="00AB200C" w:rsidRDefault="000A5A2B" w:rsidP="00AB200C">
            <w:pPr>
              <w:spacing w:line="240" w:lineRule="auto"/>
              <w:rPr>
                <w:color w:val="000000"/>
                <w:sz w:val="18"/>
              </w:rPr>
            </w:pPr>
            <w:r w:rsidRPr="00AB200C">
              <w:rPr>
                <w:sz w:val="18"/>
                <w:szCs w:val="17"/>
              </w:rPr>
              <w:t>Definition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stationary</w:t>
            </w:r>
          </w:p>
        </w:tc>
        <w:tc>
          <w:tcPr>
            <w:tcW w:w="1666" w:type="pct"/>
            <w:vAlign w:val="center"/>
          </w:tcPr>
          <w:p w:rsidR="00AD65CC" w:rsidRPr="00AB200C" w:rsidRDefault="000A5A2B" w:rsidP="00AB200C">
            <w:pPr>
              <w:spacing w:line="240" w:lineRule="auto"/>
              <w:rPr>
                <w:color w:val="000000"/>
                <w:sz w:val="18"/>
              </w:rPr>
            </w:pPr>
            <w:r w:rsidRPr="00AB200C">
              <w:rPr>
                <w:sz w:val="18"/>
                <w:szCs w:val="17"/>
              </w:rPr>
              <w:t>Constant mean groundwater depth</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rising</w:t>
            </w:r>
          </w:p>
        </w:tc>
        <w:tc>
          <w:tcPr>
            <w:tcW w:w="1666" w:type="pct"/>
            <w:vAlign w:val="center"/>
          </w:tcPr>
          <w:p w:rsidR="00AD65CC" w:rsidRPr="00AB200C" w:rsidRDefault="000A5A2B" w:rsidP="00AB200C">
            <w:pPr>
              <w:spacing w:line="240" w:lineRule="auto"/>
              <w:rPr>
                <w:color w:val="000000"/>
                <w:sz w:val="18"/>
              </w:rPr>
            </w:pPr>
            <w:r w:rsidRPr="00AB200C">
              <w:rPr>
                <w:sz w:val="18"/>
                <w:szCs w:val="17"/>
              </w:rPr>
              <w:t>Long-term shallowing of groundwater at 0.035 m/year</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seasonal</w:t>
            </w:r>
          </w:p>
        </w:tc>
        <w:tc>
          <w:tcPr>
            <w:tcW w:w="1666" w:type="pct"/>
            <w:vAlign w:val="center"/>
          </w:tcPr>
          <w:p w:rsidR="00AD65CC" w:rsidRPr="00AB200C" w:rsidRDefault="000A5A2B" w:rsidP="00AB200C">
            <w:pPr>
              <w:spacing w:line="240" w:lineRule="auto"/>
              <w:rPr>
                <w:color w:val="000000"/>
                <w:sz w:val="18"/>
              </w:rPr>
            </w:pPr>
            <w:r w:rsidRPr="00AB200C">
              <w:rPr>
                <w:sz w:val="18"/>
                <w:szCs w:val="17"/>
              </w:rPr>
              <w:t>Mild trend plus sinusoidal oscillation</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1667" w:type="pct"/>
            <w:vAlign w:val="center"/>
          </w:tcPr>
          <w:p w:rsidR="00AD65CC" w:rsidRPr="00AB200C" w:rsidRDefault="000A5A2B" w:rsidP="00AB200C">
            <w:pPr>
              <w:spacing w:line="240" w:lineRule="auto"/>
              <w:rPr>
                <w:color w:val="000000"/>
                <w:sz w:val="18"/>
              </w:rPr>
            </w:pPr>
            <w:r w:rsidRPr="00AB200C">
              <w:rPr>
                <w:sz w:val="18"/>
                <w:szCs w:val="17"/>
              </w:rPr>
              <w:t>extreme</w:t>
            </w:r>
          </w:p>
        </w:tc>
        <w:tc>
          <w:tcPr>
            <w:tcW w:w="1666" w:type="pct"/>
            <w:vAlign w:val="center"/>
          </w:tcPr>
          <w:p w:rsidR="00AD65CC" w:rsidRPr="00AB200C" w:rsidRDefault="000A5A2B" w:rsidP="00AB200C">
            <w:pPr>
              <w:spacing w:line="240" w:lineRule="auto"/>
              <w:rPr>
                <w:color w:val="000000"/>
                <w:sz w:val="18"/>
              </w:rPr>
            </w:pPr>
            <w:r w:rsidRPr="00AB200C">
              <w:rPr>
                <w:sz w:val="18"/>
                <w:szCs w:val="17"/>
              </w:rPr>
              <w:t>Trend, oscillation and a discrete extreme groundwater rise after year 30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1667" w:type="pct"/>
            <w:vAlign w:val="center"/>
          </w:tcPr>
          <w:p w:rsidR="00AD65CC" w:rsidRPr="00AB200C" w:rsidRDefault="000A5A2B" w:rsidP="00AB200C">
            <w:pPr>
              <w:spacing w:line="240" w:lineRule="auto"/>
              <w:rPr>
                <w:color w:val="000000"/>
                <w:sz w:val="18"/>
              </w:rPr>
            </w:pPr>
            <w:r w:rsidRPr="00AB200C">
              <w:rPr>
                <w:sz w:val="18"/>
                <w:szCs w:val="17"/>
              </w:rPr>
              <w:t>constant</w:t>
            </w:r>
          </w:p>
        </w:tc>
        <w:tc>
          <w:tcPr>
            <w:tcW w:w="1666" w:type="pct"/>
            <w:vAlign w:val="center"/>
          </w:tcPr>
          <w:p w:rsidR="00AD65CC" w:rsidRPr="00AB200C" w:rsidRDefault="000A5A2B" w:rsidP="00AB200C">
            <w:pPr>
              <w:spacing w:line="240" w:lineRule="auto"/>
              <w:rPr>
                <w:color w:val="000000"/>
                <w:sz w:val="18"/>
              </w:rPr>
            </w:pPr>
            <w:r w:rsidRPr="00AB200C">
              <w:rPr>
                <w:sz w:val="18"/>
                <w:szCs w:val="17"/>
              </w:rPr>
              <w:t>No change in fines content</w:t>
            </w:r>
          </w:p>
        </w:tc>
      </w:tr>
      <w:tr w:rsidR="00AD65CC" w:rsidRPr="00380D34" w:rsidTr="00AB200C">
        <w:trPr>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1667" w:type="pct"/>
            <w:vAlign w:val="center"/>
          </w:tcPr>
          <w:p w:rsidR="00AD65CC" w:rsidRPr="00AB200C" w:rsidRDefault="000A5A2B" w:rsidP="00AB200C">
            <w:pPr>
              <w:spacing w:line="240" w:lineRule="auto"/>
              <w:rPr>
                <w:color w:val="000000"/>
                <w:sz w:val="18"/>
              </w:rPr>
            </w:pPr>
            <w:r w:rsidRPr="00AB200C">
              <w:rPr>
                <w:sz w:val="18"/>
                <w:szCs w:val="17"/>
              </w:rPr>
              <w:t>fines_accumulation</w:t>
            </w:r>
          </w:p>
        </w:tc>
        <w:tc>
          <w:tcPr>
            <w:tcW w:w="1666" w:type="pct"/>
            <w:vAlign w:val="center"/>
          </w:tcPr>
          <w:p w:rsidR="00AD65CC" w:rsidRPr="00AB200C" w:rsidRDefault="000A5A2B" w:rsidP="00AB200C">
            <w:pPr>
              <w:spacing w:line="240" w:lineRule="auto"/>
              <w:rPr>
                <w:color w:val="000000"/>
                <w:sz w:val="18"/>
              </w:rPr>
            </w:pPr>
            <w:r w:rsidRPr="00AB200C">
              <w:rPr>
                <w:sz w:val="18"/>
                <w:szCs w:val="17"/>
              </w:rPr>
              <w:t>Increase of fines content by 0.10 percentage points/year</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67"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1667" w:type="pct"/>
            <w:vAlign w:val="center"/>
          </w:tcPr>
          <w:p w:rsidR="00AD65CC" w:rsidRPr="00AB200C" w:rsidRDefault="000A5A2B" w:rsidP="00AB200C">
            <w:pPr>
              <w:spacing w:line="240" w:lineRule="auto"/>
              <w:rPr>
                <w:color w:val="000000"/>
                <w:sz w:val="18"/>
              </w:rPr>
            </w:pPr>
            <w:r w:rsidRPr="00AB200C">
              <w:rPr>
                <w:sz w:val="18"/>
                <w:szCs w:val="17"/>
              </w:rPr>
              <w:t>fines_washout</w:t>
            </w:r>
          </w:p>
        </w:tc>
        <w:tc>
          <w:tcPr>
            <w:tcW w:w="1666" w:type="pct"/>
            <w:vAlign w:val="center"/>
          </w:tcPr>
          <w:p w:rsidR="00AD65CC" w:rsidRPr="00AB200C" w:rsidRDefault="000A5A2B" w:rsidP="00AB200C">
            <w:pPr>
              <w:spacing w:line="240" w:lineRule="auto"/>
              <w:rPr>
                <w:color w:val="000000"/>
                <w:sz w:val="18"/>
              </w:rPr>
            </w:pPr>
            <w:r w:rsidRPr="00AB200C">
              <w:rPr>
                <w:sz w:val="18"/>
                <w:szCs w:val="17"/>
              </w:rPr>
              <w:t>Decrease of fines content by 0.08 percentage points/year</w:t>
            </w:r>
          </w:p>
        </w:tc>
      </w:tr>
    </w:tbl>
    <w:p w:rsidR="00AD65CC" w:rsidRDefault="00AD65CC"/>
    <w:p w:rsidR="00AD65CC" w:rsidRPr="00F436BC" w:rsidRDefault="000A5A2B" w:rsidP="00F436BC">
      <w:pPr>
        <w:pStyle w:val="Heading1"/>
        <w:rPr>
          <w:rFonts w:ascii="Arial" w:hAnsi="Arial"/>
        </w:rPr>
      </w:pPr>
      <w:r w:rsidRPr="00F436BC">
        <w:t>4. Reproducible benchmark results</w:t>
      </w:r>
    </w:p>
    <w:p w:rsidR="00946BE6" w:rsidRDefault="00946BE6" w:rsidP="00946BE6">
      <w:r>
        <w:t>The complete benchmark contains 1,248 layer-time-scenario records generated with 12,000 Monte Carlo samples for each state. The CSV files, Python scripts, README and regenerated figures are provided as Online Resource 1. The results are reported as georisk decision diagnostics: current Pf supports present serviceability screening, maximum Pf supports horizon planning, threshold-crossing time supports monitoring escalation, and Delta Pf identifies cases where stationary analysis materially changes priority ranking. Fig. 1 shows the time evolution of layer-wise non-stationary liquefaction probability for the extreme groundwater scenario with fines accumulation.</w:t>
      </w:r>
    </w:p>
    <w:p w:rsidR="00AD65CC" w:rsidRDefault="000A5A2B">
      <w:pPr>
        <w:jc w:val="center"/>
      </w:pPr>
      <w:r>
        <w:rPr>
          <w:noProof/>
          <w:lang w:val="es-PA" w:eastAsia="es-PA"/>
        </w:rPr>
        <w:drawing>
          <wp:inline distT="0" distB="0" distL="0" distR="0">
            <wp:extent cx="5400040" cy="3305251"/>
            <wp:effectExtent l="0" t="0" r="0" b="0"/>
            <wp:docPr id="1" name="Figure 1" descr="Layer-wise liquefaction probability time histories for the extreme groundwater and fines-accumulation scenario, showing the shallow layers with the largest probabilities after the imposed groundwater shif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pf_time_extreme_accumulation.png"/>
                    <pic:cNvPicPr/>
                  </pic:nvPicPr>
                  <pic:blipFill>
                    <a:blip r:embed="rId6"/>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Fig. 1 Layer-wise non-stationary liquefaction probability for the extreme groundwater scenario with fines accumulation.</w:t>
      </w:r>
    </w:p>
    <w:p w:rsidR="00AD65CC" w:rsidRDefault="000A5A2B">
      <w:pPr>
        <w:pStyle w:val="Figurecaption"/>
      </w:pPr>
      <w:r>
        <w:t>Fig. 2 summarises how the groundwater scenario, not only the layer, controls the profile-average probability. Fig. 3 presents a depth-time probability map that makes the shallow-layer concentration of risk visually explicit.</w:t>
      </w:r>
    </w:p>
    <w:p w:rsidR="00AD65CC" w:rsidRDefault="000A5A2B">
      <w:pPr>
        <w:jc w:val="center"/>
      </w:pPr>
      <w:r>
        <w:rPr>
          <w:noProof/>
          <w:lang w:val="es-PA" w:eastAsia="es-PA"/>
        </w:rPr>
        <w:drawing>
          <wp:inline distT="0" distB="0" distL="0" distR="0">
            <wp:extent cx="5400040" cy="3305251"/>
            <wp:effectExtent l="0" t="0" r="0" b="0"/>
            <wp:docPr id="2" name="Figure 2" descr="Profile-average liquefaction probability curves compared across groundwater scenarios for the fines-accumulation case, showing the extreme groundwater path as the most severe respons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rofile_mean_pf_by_scenario.png"/>
                    <pic:cNvPicPr/>
                  </pic:nvPicPr>
                  <pic:blipFill>
                    <a:blip r:embed="rId7"/>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Fig. 2 Profile-average liquefaction probability by groundwater scenario for the fines-accumulation gradation case.</w:t>
      </w:r>
    </w:p>
    <w:p w:rsidR="00AD65CC" w:rsidRDefault="000A5A2B">
      <w:pPr>
        <w:jc w:val="center"/>
      </w:pPr>
      <w:r>
        <w:rPr>
          <w:noProof/>
          <w:lang w:val="es-PA" w:eastAsia="es-PA"/>
        </w:rPr>
        <w:drawing>
          <wp:inline distT="0" distB="0" distL="0" distR="0">
            <wp:extent cx="5400040" cy="3433871"/>
            <wp:effectExtent l="0" t="0" r="0" b="0"/>
            <wp:docPr id="3" name="Figure 3" descr="Depth-time heat map of liquefaction probability for the extreme groundwater and fines-accumulation scenario, with probability concentrated in shallow layers and increasing after the groundwater shif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epth_time_pf_heatmap.png"/>
                    <pic:cNvPicPr/>
                  </pic:nvPicPr>
                  <pic:blipFill>
                    <a:blip r:embed="rId8"/>
                    <a:stretch>
                      <a:fillRect/>
                    </a:stretch>
                  </pic:blipFill>
                  <pic:spPr>
                    <a:xfrm>
                      <a:off x="0" y="0"/>
                      <a:ext cx="5400040" cy="3433871"/>
                    </a:xfrm>
                    <a:prstGeom prst="rect">
                      <a:avLst/>
                    </a:prstGeom>
                  </pic:spPr>
                </pic:pic>
              </a:graphicData>
            </a:graphic>
          </wp:inline>
        </w:drawing>
      </w:r>
    </w:p>
    <w:p w:rsidR="00AD65CC" w:rsidRPr="008F6A0C" w:rsidRDefault="000A5A2B">
      <w:pPr>
        <w:pStyle w:val="Figurecaption"/>
        <w:rPr>
          <w:b/>
          <w:color w:val="000000"/>
        </w:rPr>
      </w:pPr>
      <w:r>
        <w:t>Fig. 3 Depth-time probability map for the extreme groundwater scenario with fines accumulation.</w:t>
      </w:r>
    </w:p>
    <w:p w:rsidR="00AD65CC" w:rsidRDefault="000A5A2B">
      <w:pPr>
        <w:pStyle w:val="Paragraph"/>
      </w:pPr>
      <w: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Pr="008F6A0C" w:rsidRDefault="000A5A2B">
      <w:pPr>
        <w:pStyle w:val="Tabletitle"/>
        <w:rPr>
          <w:color w:val="000000"/>
        </w:rPr>
      </w:pPr>
      <w:r w:rsidRPr="008F6A0C">
        <w:t>Table 5. Scenario-level summary of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170"/>
        <w:gridCol w:w="1530"/>
        <w:gridCol w:w="1155"/>
        <w:gridCol w:w="1162"/>
        <w:gridCol w:w="1162"/>
        <w:gridCol w:w="1163"/>
        <w:gridCol w:w="1162"/>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688" w:type="pct"/>
            <w:vAlign w:val="center"/>
          </w:tcPr>
          <w:p w:rsidR="00AD65CC" w:rsidRPr="00AB200C" w:rsidRDefault="000A5A2B" w:rsidP="00AB200C">
            <w:pPr>
              <w:spacing w:line="240" w:lineRule="auto"/>
              <w:rPr>
                <w:color w:val="000000"/>
                <w:sz w:val="18"/>
              </w:rPr>
            </w:pPr>
            <w:r w:rsidRPr="00AB200C">
              <w:rPr>
                <w:sz w:val="18"/>
                <w:szCs w:val="17"/>
              </w:rPr>
              <w:t>Groundwater</w:t>
            </w:r>
          </w:p>
        </w:tc>
        <w:tc>
          <w:tcPr>
            <w:tcW w:w="900" w:type="pct"/>
            <w:vAlign w:val="center"/>
          </w:tcPr>
          <w:p w:rsidR="00AD65CC" w:rsidRPr="00AB200C" w:rsidRDefault="000A5A2B" w:rsidP="00AB200C">
            <w:pPr>
              <w:spacing w:line="240" w:lineRule="auto"/>
              <w:rPr>
                <w:color w:val="000000"/>
                <w:sz w:val="18"/>
              </w:rPr>
            </w:pPr>
            <w:r w:rsidRPr="00AB200C">
              <w:rPr>
                <w:sz w:val="18"/>
                <w:szCs w:val="17"/>
              </w:rPr>
              <w:t>Gradation</w:t>
            </w:r>
          </w:p>
        </w:tc>
        <w:tc>
          <w:tcPr>
            <w:tcW w:w="679" w:type="pct"/>
            <w:vAlign w:val="center"/>
          </w:tcPr>
          <w:p w:rsidR="00AD65CC" w:rsidRPr="00AB200C" w:rsidRDefault="000A5A2B" w:rsidP="00AB200C">
            <w:pPr>
              <w:spacing w:line="240" w:lineRule="auto"/>
              <w:rPr>
                <w:color w:val="000000"/>
                <w:sz w:val="18"/>
              </w:rPr>
            </w:pPr>
            <w:r w:rsidRPr="00AB200C">
              <w:rPr>
                <w:sz w:val="18"/>
                <w:szCs w:val="17"/>
              </w:rPr>
              <w:t>Max Pf</w:t>
            </w:r>
          </w:p>
        </w:tc>
        <w:tc>
          <w:tcPr>
            <w:tcW w:w="683" w:type="pct"/>
            <w:vAlign w:val="center"/>
          </w:tcPr>
          <w:p w:rsidR="00AD65CC" w:rsidRPr="00AB200C" w:rsidRDefault="000A5A2B" w:rsidP="00AB200C">
            <w:pPr>
              <w:spacing w:line="240" w:lineRule="auto"/>
              <w:rPr>
                <w:color w:val="000000"/>
                <w:sz w:val="18"/>
              </w:rPr>
            </w:pPr>
            <w:r w:rsidRPr="00AB200C">
              <w:rPr>
                <w:sz w:val="18"/>
                <w:szCs w:val="17"/>
              </w:rPr>
              <w:t>Mean Pf</w:t>
            </w:r>
          </w:p>
        </w:tc>
        <w:tc>
          <w:tcPr>
            <w:tcW w:w="683" w:type="pct"/>
            <w:vAlign w:val="center"/>
          </w:tcPr>
          <w:p w:rsidR="00AD65CC" w:rsidRPr="00AB200C" w:rsidRDefault="000A5A2B" w:rsidP="00AB200C">
            <w:pPr>
              <w:spacing w:line="240" w:lineRule="auto"/>
              <w:rPr>
                <w:color w:val="000000"/>
                <w:sz w:val="18"/>
              </w:rPr>
            </w:pPr>
            <w:r w:rsidRPr="00AB200C">
              <w:rPr>
                <w:sz w:val="18"/>
                <w:szCs w:val="17"/>
              </w:rPr>
              <w:t>Max delta Pf</w:t>
            </w:r>
          </w:p>
        </w:tc>
        <w:tc>
          <w:tcPr>
            <w:tcW w:w="684" w:type="pct"/>
            <w:vAlign w:val="center"/>
          </w:tcPr>
          <w:p w:rsidR="00AD65CC" w:rsidRPr="00AB200C" w:rsidRDefault="000A5A2B" w:rsidP="00AB200C">
            <w:pPr>
              <w:spacing w:line="240" w:lineRule="auto"/>
              <w:rPr>
                <w:color w:val="000000"/>
                <w:sz w:val="18"/>
              </w:rPr>
            </w:pPr>
            <w:r w:rsidRPr="00AB200C">
              <w:rPr>
                <w:sz w:val="18"/>
                <w:szCs w:val="17"/>
              </w:rPr>
              <w:t>Final mean Pf</w:t>
            </w:r>
          </w:p>
        </w:tc>
        <w:tc>
          <w:tcPr>
            <w:tcW w:w="684" w:type="pct"/>
            <w:vAlign w:val="center"/>
          </w:tcPr>
          <w:p w:rsidR="00AD65CC" w:rsidRPr="00AB200C" w:rsidRDefault="000A5A2B" w:rsidP="00AB200C">
            <w:pPr>
              <w:spacing w:line="240" w:lineRule="auto"/>
              <w:rPr>
                <w:color w:val="000000"/>
                <w:sz w:val="18"/>
              </w:rPr>
            </w:pPr>
            <w:r w:rsidRPr="00AB200C">
              <w:rPr>
                <w:sz w:val="18"/>
                <w:szCs w:val="17"/>
              </w:rPr>
              <w:t>Min deterministic FS</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extreme</w:t>
            </w:r>
          </w:p>
        </w:tc>
        <w:tc>
          <w:tcPr>
            <w:tcW w:w="900" w:type="pct"/>
            <w:vAlign w:val="center"/>
          </w:tcPr>
          <w:p w:rsidR="00497881" w:rsidRPr="00AB200C" w:rsidRDefault="00B513B6" w:rsidP="00AB200C">
            <w:pPr>
              <w:spacing w:line="240" w:lineRule="auto"/>
              <w:rPr>
                <w:sz w:val="18"/>
              </w:rPr>
            </w:pPr>
            <w:r w:rsidRPr="00AB200C">
              <w:rPr>
                <w:sz w:val="18"/>
                <w:szCs w:val="17"/>
              </w:rPr>
              <w:t>fines_washout</w:t>
            </w:r>
          </w:p>
        </w:tc>
        <w:tc>
          <w:tcPr>
            <w:tcW w:w="679" w:type="pct"/>
            <w:vAlign w:val="center"/>
          </w:tcPr>
          <w:p w:rsidR="00497881" w:rsidRPr="00AB200C" w:rsidRDefault="00B513B6" w:rsidP="00AB200C">
            <w:pPr>
              <w:spacing w:line="240" w:lineRule="auto"/>
              <w:rPr>
                <w:sz w:val="18"/>
              </w:rPr>
            </w:pPr>
            <w:r w:rsidRPr="00AB200C">
              <w:rPr>
                <w:sz w:val="18"/>
                <w:szCs w:val="17"/>
              </w:rPr>
              <w:t>0.971</w:t>
            </w:r>
          </w:p>
        </w:tc>
        <w:tc>
          <w:tcPr>
            <w:tcW w:w="683" w:type="pct"/>
            <w:vAlign w:val="center"/>
          </w:tcPr>
          <w:p w:rsidR="00497881" w:rsidRPr="00AB200C" w:rsidRDefault="00B513B6" w:rsidP="00AB200C">
            <w:pPr>
              <w:spacing w:line="240" w:lineRule="auto"/>
              <w:rPr>
                <w:sz w:val="18"/>
              </w:rPr>
            </w:pPr>
            <w:r w:rsidRPr="00AB200C">
              <w:rPr>
                <w:sz w:val="18"/>
                <w:szCs w:val="17"/>
              </w:rPr>
              <w:t>0.495</w:t>
            </w:r>
          </w:p>
        </w:tc>
        <w:tc>
          <w:tcPr>
            <w:tcW w:w="683" w:type="pct"/>
            <w:vAlign w:val="center"/>
          </w:tcPr>
          <w:p w:rsidR="00497881" w:rsidRPr="00AB200C" w:rsidRDefault="00B513B6" w:rsidP="00AB200C">
            <w:pPr>
              <w:spacing w:line="240" w:lineRule="auto"/>
              <w:rPr>
                <w:sz w:val="18"/>
              </w:rPr>
            </w:pPr>
            <w:r w:rsidRPr="00AB200C">
              <w:rPr>
                <w:sz w:val="18"/>
                <w:szCs w:val="17"/>
              </w:rPr>
              <w:t>0.417</w:t>
            </w:r>
          </w:p>
        </w:tc>
        <w:tc>
          <w:tcPr>
            <w:tcW w:w="684" w:type="pct"/>
            <w:vAlign w:val="center"/>
          </w:tcPr>
          <w:p w:rsidR="00497881" w:rsidRPr="00AB200C" w:rsidRDefault="00B513B6" w:rsidP="00AB200C">
            <w:pPr>
              <w:spacing w:line="240" w:lineRule="auto"/>
              <w:rPr>
                <w:sz w:val="18"/>
              </w:rPr>
            </w:pPr>
            <w:r w:rsidRPr="00AB200C">
              <w:rPr>
                <w:sz w:val="18"/>
                <w:szCs w:val="17"/>
              </w:rPr>
              <w:t>0.636</w:t>
            </w:r>
          </w:p>
        </w:tc>
        <w:tc>
          <w:tcPr>
            <w:tcW w:w="684" w:type="pct"/>
            <w:vAlign w:val="center"/>
          </w:tcPr>
          <w:p w:rsidR="00497881" w:rsidRPr="00AB200C" w:rsidRDefault="00B513B6" w:rsidP="00AB200C">
            <w:pPr>
              <w:spacing w:line="240" w:lineRule="auto"/>
              <w:rPr>
                <w:sz w:val="18"/>
              </w:rPr>
            </w:pPr>
            <w:r w:rsidRPr="00AB200C">
              <w:rPr>
                <w:sz w:val="18"/>
                <w:szCs w:val="17"/>
              </w:rPr>
              <w:t>0.456</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t>extreme</w:t>
            </w:r>
          </w:p>
        </w:tc>
        <w:tc>
          <w:tcPr>
            <w:tcW w:w="900" w:type="pct"/>
            <w:vAlign w:val="center"/>
          </w:tcPr>
          <w:p w:rsidR="00497881" w:rsidRPr="00AB200C" w:rsidRDefault="00B513B6" w:rsidP="00AB200C">
            <w:pPr>
              <w:spacing w:line="240" w:lineRule="auto"/>
              <w:rPr>
                <w:sz w:val="18"/>
              </w:rPr>
            </w:pPr>
            <w:r w:rsidRPr="00AB200C">
              <w:rPr>
                <w:sz w:val="18"/>
                <w:szCs w:val="17"/>
              </w:rPr>
              <w:t>constant</w:t>
            </w:r>
          </w:p>
        </w:tc>
        <w:tc>
          <w:tcPr>
            <w:tcW w:w="679" w:type="pct"/>
            <w:vAlign w:val="center"/>
          </w:tcPr>
          <w:p w:rsidR="00497881" w:rsidRPr="00AB200C" w:rsidRDefault="00B513B6" w:rsidP="00AB200C">
            <w:pPr>
              <w:spacing w:line="240" w:lineRule="auto"/>
              <w:rPr>
                <w:sz w:val="18"/>
              </w:rPr>
            </w:pPr>
            <w:r w:rsidRPr="00AB200C">
              <w:rPr>
                <w:sz w:val="18"/>
                <w:szCs w:val="17"/>
              </w:rPr>
              <w:t>0.961</w:t>
            </w:r>
          </w:p>
        </w:tc>
        <w:tc>
          <w:tcPr>
            <w:tcW w:w="683" w:type="pct"/>
            <w:vAlign w:val="center"/>
          </w:tcPr>
          <w:p w:rsidR="00497881" w:rsidRPr="00AB200C" w:rsidRDefault="00B513B6" w:rsidP="00AB200C">
            <w:pPr>
              <w:spacing w:line="240" w:lineRule="auto"/>
              <w:rPr>
                <w:sz w:val="18"/>
              </w:rPr>
            </w:pPr>
            <w:r w:rsidRPr="00AB200C">
              <w:rPr>
                <w:sz w:val="18"/>
                <w:szCs w:val="17"/>
              </w:rPr>
              <w:t>0.471</w:t>
            </w:r>
          </w:p>
        </w:tc>
        <w:tc>
          <w:tcPr>
            <w:tcW w:w="683" w:type="pct"/>
            <w:vAlign w:val="center"/>
          </w:tcPr>
          <w:p w:rsidR="00497881" w:rsidRPr="00AB200C" w:rsidRDefault="00B513B6" w:rsidP="00AB200C">
            <w:pPr>
              <w:spacing w:line="240" w:lineRule="auto"/>
              <w:rPr>
                <w:sz w:val="18"/>
              </w:rPr>
            </w:pPr>
            <w:r w:rsidRPr="00AB200C">
              <w:rPr>
                <w:sz w:val="18"/>
                <w:szCs w:val="17"/>
              </w:rPr>
              <w:t>0.378</w:t>
            </w:r>
          </w:p>
        </w:tc>
        <w:tc>
          <w:tcPr>
            <w:tcW w:w="684" w:type="pct"/>
            <w:vAlign w:val="center"/>
          </w:tcPr>
          <w:p w:rsidR="00497881" w:rsidRPr="00AB200C" w:rsidRDefault="00B513B6" w:rsidP="00AB200C">
            <w:pPr>
              <w:spacing w:line="240" w:lineRule="auto"/>
              <w:rPr>
                <w:sz w:val="18"/>
              </w:rPr>
            </w:pPr>
            <w:r w:rsidRPr="00AB200C">
              <w:rPr>
                <w:sz w:val="18"/>
                <w:szCs w:val="17"/>
              </w:rPr>
              <w:t>0.600</w:t>
            </w:r>
          </w:p>
        </w:tc>
        <w:tc>
          <w:tcPr>
            <w:tcW w:w="684" w:type="pct"/>
            <w:vAlign w:val="center"/>
          </w:tcPr>
          <w:p w:rsidR="00497881" w:rsidRPr="00AB200C" w:rsidRDefault="00B513B6" w:rsidP="00AB200C">
            <w:pPr>
              <w:spacing w:line="240" w:lineRule="auto"/>
              <w:rPr>
                <w:sz w:val="18"/>
              </w:rPr>
            </w:pPr>
            <w:r w:rsidRPr="00AB200C">
              <w:rPr>
                <w:sz w:val="18"/>
                <w:szCs w:val="17"/>
              </w:rPr>
              <w:t>0.473</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extreme</w:t>
            </w:r>
          </w:p>
        </w:tc>
        <w:tc>
          <w:tcPr>
            <w:tcW w:w="900" w:type="pct"/>
            <w:vAlign w:val="center"/>
          </w:tcPr>
          <w:p w:rsidR="00497881" w:rsidRPr="00AB200C" w:rsidRDefault="00B513B6" w:rsidP="00AB200C">
            <w:pPr>
              <w:spacing w:line="240" w:lineRule="auto"/>
              <w:rPr>
                <w:sz w:val="18"/>
              </w:rPr>
            </w:pPr>
            <w:r w:rsidRPr="00AB200C">
              <w:rPr>
                <w:sz w:val="18"/>
                <w:szCs w:val="17"/>
              </w:rPr>
              <w:t>fines_accumulation</w:t>
            </w:r>
          </w:p>
        </w:tc>
        <w:tc>
          <w:tcPr>
            <w:tcW w:w="679" w:type="pct"/>
            <w:vAlign w:val="center"/>
          </w:tcPr>
          <w:p w:rsidR="00497881" w:rsidRPr="00AB200C" w:rsidRDefault="00B513B6" w:rsidP="00AB200C">
            <w:pPr>
              <w:spacing w:line="240" w:lineRule="auto"/>
              <w:rPr>
                <w:sz w:val="18"/>
              </w:rPr>
            </w:pPr>
            <w:r w:rsidRPr="00AB200C">
              <w:rPr>
                <w:sz w:val="18"/>
                <w:szCs w:val="17"/>
              </w:rPr>
              <w:t>0.929</w:t>
            </w:r>
          </w:p>
        </w:tc>
        <w:tc>
          <w:tcPr>
            <w:tcW w:w="683" w:type="pct"/>
            <w:vAlign w:val="center"/>
          </w:tcPr>
          <w:p w:rsidR="00497881" w:rsidRPr="00AB200C" w:rsidRDefault="00B513B6" w:rsidP="00AB200C">
            <w:pPr>
              <w:spacing w:line="240" w:lineRule="auto"/>
              <w:rPr>
                <w:sz w:val="18"/>
              </w:rPr>
            </w:pPr>
            <w:r w:rsidRPr="00AB200C">
              <w:rPr>
                <w:sz w:val="18"/>
                <w:szCs w:val="17"/>
              </w:rPr>
              <w:t>0.440</w:t>
            </w:r>
          </w:p>
        </w:tc>
        <w:tc>
          <w:tcPr>
            <w:tcW w:w="683" w:type="pct"/>
            <w:vAlign w:val="center"/>
          </w:tcPr>
          <w:p w:rsidR="00497881" w:rsidRPr="00AB200C" w:rsidRDefault="00B513B6" w:rsidP="00AB200C">
            <w:pPr>
              <w:spacing w:line="240" w:lineRule="auto"/>
              <w:rPr>
                <w:sz w:val="18"/>
              </w:rPr>
            </w:pPr>
            <w:r w:rsidRPr="00AB200C">
              <w:rPr>
                <w:sz w:val="18"/>
                <w:szCs w:val="17"/>
              </w:rPr>
              <w:t>0.314</w:t>
            </w:r>
          </w:p>
        </w:tc>
        <w:tc>
          <w:tcPr>
            <w:tcW w:w="684" w:type="pct"/>
            <w:vAlign w:val="center"/>
          </w:tcPr>
          <w:p w:rsidR="00497881" w:rsidRPr="00AB200C" w:rsidRDefault="00B513B6" w:rsidP="00AB200C">
            <w:pPr>
              <w:spacing w:line="240" w:lineRule="auto"/>
              <w:rPr>
                <w:sz w:val="18"/>
              </w:rPr>
            </w:pPr>
            <w:r w:rsidRPr="00AB200C">
              <w:rPr>
                <w:sz w:val="18"/>
                <w:szCs w:val="17"/>
              </w:rPr>
              <w:t>0.549</w:t>
            </w:r>
          </w:p>
        </w:tc>
        <w:tc>
          <w:tcPr>
            <w:tcW w:w="684" w:type="pct"/>
            <w:vAlign w:val="center"/>
          </w:tcPr>
          <w:p w:rsidR="00497881" w:rsidRPr="00AB200C" w:rsidRDefault="00B513B6" w:rsidP="00AB200C">
            <w:pPr>
              <w:spacing w:line="240" w:lineRule="auto"/>
              <w:rPr>
                <w:sz w:val="18"/>
              </w:rPr>
            </w:pPr>
            <w:r w:rsidRPr="00AB200C">
              <w:rPr>
                <w:sz w:val="18"/>
                <w:szCs w:val="17"/>
              </w:rPr>
              <w:t>0.549</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t>rising</w:t>
            </w:r>
          </w:p>
        </w:tc>
        <w:tc>
          <w:tcPr>
            <w:tcW w:w="900" w:type="pct"/>
            <w:vAlign w:val="center"/>
          </w:tcPr>
          <w:p w:rsidR="00497881" w:rsidRPr="00AB200C" w:rsidRDefault="00B513B6" w:rsidP="00AB200C">
            <w:pPr>
              <w:spacing w:line="240" w:lineRule="auto"/>
              <w:rPr>
                <w:sz w:val="18"/>
              </w:rPr>
            </w:pPr>
            <w:r w:rsidRPr="00AB200C">
              <w:rPr>
                <w:sz w:val="18"/>
                <w:szCs w:val="17"/>
              </w:rPr>
              <w:t>fines_washout</w:t>
            </w:r>
          </w:p>
        </w:tc>
        <w:tc>
          <w:tcPr>
            <w:tcW w:w="679" w:type="pct"/>
            <w:vAlign w:val="center"/>
          </w:tcPr>
          <w:p w:rsidR="00497881" w:rsidRPr="00AB200C" w:rsidRDefault="00B513B6" w:rsidP="00AB200C">
            <w:pPr>
              <w:spacing w:line="240" w:lineRule="auto"/>
              <w:rPr>
                <w:sz w:val="18"/>
              </w:rPr>
            </w:pPr>
            <w:r w:rsidRPr="00AB200C">
              <w:rPr>
                <w:sz w:val="18"/>
                <w:szCs w:val="17"/>
              </w:rPr>
              <w:t>0.885</w:t>
            </w:r>
          </w:p>
        </w:tc>
        <w:tc>
          <w:tcPr>
            <w:tcW w:w="683" w:type="pct"/>
            <w:vAlign w:val="center"/>
          </w:tcPr>
          <w:p w:rsidR="00497881" w:rsidRPr="00AB200C" w:rsidRDefault="00B513B6" w:rsidP="00AB200C">
            <w:pPr>
              <w:spacing w:line="240" w:lineRule="auto"/>
              <w:rPr>
                <w:sz w:val="18"/>
              </w:rPr>
            </w:pPr>
            <w:r w:rsidRPr="00AB200C">
              <w:rPr>
                <w:sz w:val="18"/>
                <w:szCs w:val="17"/>
              </w:rPr>
              <w:t>0.467</w:t>
            </w:r>
          </w:p>
        </w:tc>
        <w:tc>
          <w:tcPr>
            <w:tcW w:w="683" w:type="pct"/>
            <w:vAlign w:val="center"/>
          </w:tcPr>
          <w:p w:rsidR="00497881" w:rsidRPr="00AB200C" w:rsidRDefault="00B513B6" w:rsidP="00AB200C">
            <w:pPr>
              <w:spacing w:line="240" w:lineRule="auto"/>
              <w:rPr>
                <w:sz w:val="18"/>
              </w:rPr>
            </w:pPr>
            <w:r w:rsidRPr="00AB200C">
              <w:rPr>
                <w:sz w:val="18"/>
                <w:szCs w:val="17"/>
              </w:rPr>
              <w:t>0.347</w:t>
            </w:r>
          </w:p>
        </w:tc>
        <w:tc>
          <w:tcPr>
            <w:tcW w:w="684" w:type="pct"/>
            <w:vAlign w:val="center"/>
          </w:tcPr>
          <w:p w:rsidR="00497881" w:rsidRPr="00AB200C" w:rsidRDefault="00B513B6" w:rsidP="00AB200C">
            <w:pPr>
              <w:spacing w:line="240" w:lineRule="auto"/>
              <w:rPr>
                <w:sz w:val="18"/>
              </w:rPr>
            </w:pPr>
            <w:r w:rsidRPr="00AB200C">
              <w:rPr>
                <w:sz w:val="18"/>
                <w:szCs w:val="17"/>
              </w:rPr>
              <w:t>0.573</w:t>
            </w:r>
          </w:p>
        </w:tc>
        <w:tc>
          <w:tcPr>
            <w:tcW w:w="684" w:type="pct"/>
            <w:vAlign w:val="center"/>
          </w:tcPr>
          <w:p w:rsidR="00497881" w:rsidRPr="00AB200C" w:rsidRDefault="00B513B6" w:rsidP="00AB200C">
            <w:pPr>
              <w:spacing w:line="240" w:lineRule="auto"/>
              <w:rPr>
                <w:sz w:val="18"/>
              </w:rPr>
            </w:pPr>
            <w:r w:rsidRPr="00AB200C">
              <w:rPr>
                <w:sz w:val="18"/>
                <w:szCs w:val="17"/>
              </w:rPr>
              <w:t>0.624</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rising</w:t>
            </w:r>
          </w:p>
        </w:tc>
        <w:tc>
          <w:tcPr>
            <w:tcW w:w="900" w:type="pct"/>
            <w:vAlign w:val="center"/>
          </w:tcPr>
          <w:p w:rsidR="00497881" w:rsidRPr="00AB200C" w:rsidRDefault="00B513B6" w:rsidP="00AB200C">
            <w:pPr>
              <w:spacing w:line="240" w:lineRule="auto"/>
              <w:rPr>
                <w:sz w:val="18"/>
              </w:rPr>
            </w:pPr>
            <w:r w:rsidRPr="00AB200C">
              <w:rPr>
                <w:sz w:val="18"/>
                <w:szCs w:val="17"/>
              </w:rPr>
              <w:t>constant</w:t>
            </w:r>
          </w:p>
        </w:tc>
        <w:tc>
          <w:tcPr>
            <w:tcW w:w="679" w:type="pct"/>
            <w:vAlign w:val="center"/>
          </w:tcPr>
          <w:p w:rsidR="00497881" w:rsidRPr="00AB200C" w:rsidRDefault="00B513B6" w:rsidP="00AB200C">
            <w:pPr>
              <w:spacing w:line="240" w:lineRule="auto"/>
              <w:rPr>
                <w:sz w:val="18"/>
              </w:rPr>
            </w:pPr>
            <w:r w:rsidRPr="00AB200C">
              <w:rPr>
                <w:sz w:val="18"/>
                <w:szCs w:val="17"/>
              </w:rPr>
              <w:t>0.852</w:t>
            </w:r>
          </w:p>
        </w:tc>
        <w:tc>
          <w:tcPr>
            <w:tcW w:w="683" w:type="pct"/>
            <w:vAlign w:val="center"/>
          </w:tcPr>
          <w:p w:rsidR="00497881" w:rsidRPr="00AB200C" w:rsidRDefault="00B513B6" w:rsidP="00AB200C">
            <w:pPr>
              <w:spacing w:line="240" w:lineRule="auto"/>
              <w:rPr>
                <w:sz w:val="18"/>
              </w:rPr>
            </w:pPr>
            <w:r w:rsidRPr="00AB200C">
              <w:rPr>
                <w:sz w:val="18"/>
                <w:szCs w:val="17"/>
              </w:rPr>
              <w:t>0.440</w:t>
            </w:r>
          </w:p>
        </w:tc>
        <w:tc>
          <w:tcPr>
            <w:tcW w:w="683" w:type="pct"/>
            <w:vAlign w:val="center"/>
          </w:tcPr>
          <w:p w:rsidR="00497881" w:rsidRPr="00AB200C" w:rsidRDefault="00B513B6" w:rsidP="00AB200C">
            <w:pPr>
              <w:spacing w:line="240" w:lineRule="auto"/>
              <w:rPr>
                <w:sz w:val="18"/>
              </w:rPr>
            </w:pPr>
            <w:r w:rsidRPr="00AB200C">
              <w:rPr>
                <w:sz w:val="18"/>
                <w:szCs w:val="17"/>
              </w:rPr>
              <w:t>0.285</w:t>
            </w:r>
          </w:p>
        </w:tc>
        <w:tc>
          <w:tcPr>
            <w:tcW w:w="684" w:type="pct"/>
            <w:vAlign w:val="center"/>
          </w:tcPr>
          <w:p w:rsidR="00497881" w:rsidRPr="00AB200C" w:rsidRDefault="00B513B6" w:rsidP="00AB200C">
            <w:pPr>
              <w:spacing w:line="240" w:lineRule="auto"/>
              <w:rPr>
                <w:sz w:val="18"/>
              </w:rPr>
            </w:pPr>
            <w:r w:rsidRPr="00AB200C">
              <w:rPr>
                <w:sz w:val="18"/>
                <w:szCs w:val="17"/>
              </w:rPr>
              <w:t>0.525</w:t>
            </w:r>
          </w:p>
        </w:tc>
        <w:tc>
          <w:tcPr>
            <w:tcW w:w="684" w:type="pct"/>
            <w:vAlign w:val="center"/>
          </w:tcPr>
          <w:p w:rsidR="00497881" w:rsidRPr="00AB200C" w:rsidRDefault="00B513B6" w:rsidP="00AB200C">
            <w:pPr>
              <w:spacing w:line="240" w:lineRule="auto"/>
              <w:rPr>
                <w:sz w:val="18"/>
              </w:rPr>
            </w:pPr>
            <w:r w:rsidRPr="00AB200C">
              <w:rPr>
                <w:sz w:val="18"/>
                <w:szCs w:val="17"/>
              </w:rPr>
              <w:t>0.648</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t>seasonal</w:t>
            </w:r>
          </w:p>
        </w:tc>
        <w:tc>
          <w:tcPr>
            <w:tcW w:w="900" w:type="pct"/>
            <w:vAlign w:val="center"/>
          </w:tcPr>
          <w:p w:rsidR="00497881" w:rsidRPr="00AB200C" w:rsidRDefault="00B513B6" w:rsidP="00AB200C">
            <w:pPr>
              <w:spacing w:line="240" w:lineRule="auto"/>
              <w:rPr>
                <w:sz w:val="18"/>
              </w:rPr>
            </w:pPr>
            <w:r w:rsidRPr="00AB200C">
              <w:rPr>
                <w:sz w:val="18"/>
                <w:szCs w:val="17"/>
              </w:rPr>
              <w:t>fines_washout</w:t>
            </w:r>
          </w:p>
        </w:tc>
        <w:tc>
          <w:tcPr>
            <w:tcW w:w="679" w:type="pct"/>
            <w:vAlign w:val="center"/>
          </w:tcPr>
          <w:p w:rsidR="00497881" w:rsidRPr="00AB200C" w:rsidRDefault="00B513B6" w:rsidP="00AB200C">
            <w:pPr>
              <w:spacing w:line="240" w:lineRule="auto"/>
              <w:rPr>
                <w:sz w:val="18"/>
              </w:rPr>
            </w:pPr>
            <w:r w:rsidRPr="00AB200C">
              <w:rPr>
                <w:sz w:val="18"/>
                <w:szCs w:val="17"/>
              </w:rPr>
              <w:t>0.796</w:t>
            </w:r>
          </w:p>
        </w:tc>
        <w:tc>
          <w:tcPr>
            <w:tcW w:w="683" w:type="pct"/>
            <w:vAlign w:val="center"/>
          </w:tcPr>
          <w:p w:rsidR="00497881" w:rsidRPr="00AB200C" w:rsidRDefault="00B513B6" w:rsidP="00AB200C">
            <w:pPr>
              <w:spacing w:line="240" w:lineRule="auto"/>
              <w:rPr>
                <w:sz w:val="18"/>
              </w:rPr>
            </w:pPr>
            <w:r w:rsidRPr="00AB200C">
              <w:rPr>
                <w:sz w:val="18"/>
                <w:szCs w:val="17"/>
              </w:rPr>
              <w:t>0.419</w:t>
            </w:r>
          </w:p>
        </w:tc>
        <w:tc>
          <w:tcPr>
            <w:tcW w:w="683" w:type="pct"/>
            <w:vAlign w:val="center"/>
          </w:tcPr>
          <w:p w:rsidR="00497881" w:rsidRPr="00AB200C" w:rsidRDefault="00B513B6" w:rsidP="00AB200C">
            <w:pPr>
              <w:spacing w:line="240" w:lineRule="auto"/>
              <w:rPr>
                <w:sz w:val="18"/>
              </w:rPr>
            </w:pPr>
            <w:r w:rsidRPr="00AB200C">
              <w:rPr>
                <w:sz w:val="18"/>
                <w:szCs w:val="17"/>
              </w:rPr>
              <w:t>0.242</w:t>
            </w:r>
          </w:p>
        </w:tc>
        <w:tc>
          <w:tcPr>
            <w:tcW w:w="684" w:type="pct"/>
            <w:vAlign w:val="center"/>
          </w:tcPr>
          <w:p w:rsidR="00497881" w:rsidRPr="00AB200C" w:rsidRDefault="00B513B6" w:rsidP="00AB200C">
            <w:pPr>
              <w:spacing w:line="240" w:lineRule="auto"/>
              <w:rPr>
                <w:sz w:val="18"/>
              </w:rPr>
            </w:pPr>
            <w:r w:rsidRPr="00AB200C">
              <w:rPr>
                <w:sz w:val="18"/>
                <w:szCs w:val="17"/>
              </w:rPr>
              <w:t>0.463</w:t>
            </w:r>
          </w:p>
        </w:tc>
        <w:tc>
          <w:tcPr>
            <w:tcW w:w="684" w:type="pct"/>
            <w:vAlign w:val="center"/>
          </w:tcPr>
          <w:p w:rsidR="00497881" w:rsidRPr="00AB200C" w:rsidRDefault="00B513B6" w:rsidP="00AB200C">
            <w:pPr>
              <w:spacing w:line="240" w:lineRule="auto"/>
              <w:rPr>
                <w:sz w:val="18"/>
              </w:rPr>
            </w:pPr>
            <w:r w:rsidRPr="00AB200C">
              <w:rPr>
                <w:sz w:val="18"/>
                <w:szCs w:val="17"/>
              </w:rPr>
              <w:t>0.732</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88" w:type="pct"/>
            <w:vAlign w:val="center"/>
          </w:tcPr>
          <w:p w:rsidR="00497881" w:rsidRPr="00AB200C" w:rsidRDefault="00B513B6" w:rsidP="00AB200C">
            <w:pPr>
              <w:spacing w:line="240" w:lineRule="auto"/>
              <w:rPr>
                <w:sz w:val="18"/>
              </w:rPr>
            </w:pPr>
            <w:r w:rsidRPr="00AB200C">
              <w:rPr>
                <w:sz w:val="18"/>
                <w:szCs w:val="17"/>
              </w:rPr>
              <w:t>stationary</w:t>
            </w:r>
          </w:p>
        </w:tc>
        <w:tc>
          <w:tcPr>
            <w:tcW w:w="900" w:type="pct"/>
            <w:vAlign w:val="center"/>
          </w:tcPr>
          <w:p w:rsidR="00497881" w:rsidRPr="00AB200C" w:rsidRDefault="00B513B6" w:rsidP="00AB200C">
            <w:pPr>
              <w:spacing w:line="240" w:lineRule="auto"/>
              <w:rPr>
                <w:sz w:val="18"/>
              </w:rPr>
            </w:pPr>
            <w:r w:rsidRPr="00AB200C">
              <w:rPr>
                <w:sz w:val="18"/>
                <w:szCs w:val="17"/>
              </w:rPr>
              <w:t>fines_washout</w:t>
            </w:r>
          </w:p>
        </w:tc>
        <w:tc>
          <w:tcPr>
            <w:tcW w:w="679" w:type="pct"/>
            <w:vAlign w:val="center"/>
          </w:tcPr>
          <w:p w:rsidR="00497881" w:rsidRPr="00AB200C" w:rsidRDefault="00B513B6" w:rsidP="00AB200C">
            <w:pPr>
              <w:spacing w:line="240" w:lineRule="auto"/>
              <w:rPr>
                <w:sz w:val="18"/>
              </w:rPr>
            </w:pPr>
            <w:r w:rsidRPr="00AB200C">
              <w:rPr>
                <w:sz w:val="18"/>
                <w:szCs w:val="17"/>
              </w:rPr>
              <w:t>0.788</w:t>
            </w:r>
          </w:p>
        </w:tc>
        <w:tc>
          <w:tcPr>
            <w:tcW w:w="683" w:type="pct"/>
            <w:vAlign w:val="center"/>
          </w:tcPr>
          <w:p w:rsidR="00497881" w:rsidRPr="00AB200C" w:rsidRDefault="00B513B6" w:rsidP="00AB200C">
            <w:pPr>
              <w:spacing w:line="240" w:lineRule="auto"/>
              <w:rPr>
                <w:sz w:val="18"/>
              </w:rPr>
            </w:pPr>
            <w:r w:rsidRPr="00AB200C">
              <w:rPr>
                <w:sz w:val="18"/>
                <w:szCs w:val="17"/>
              </w:rPr>
              <w:t>0.401</w:t>
            </w:r>
          </w:p>
        </w:tc>
        <w:tc>
          <w:tcPr>
            <w:tcW w:w="683" w:type="pct"/>
            <w:vAlign w:val="center"/>
          </w:tcPr>
          <w:p w:rsidR="00497881" w:rsidRPr="00AB200C" w:rsidRDefault="00B513B6" w:rsidP="00AB200C">
            <w:pPr>
              <w:spacing w:line="240" w:lineRule="auto"/>
              <w:rPr>
                <w:sz w:val="18"/>
              </w:rPr>
            </w:pPr>
            <w:r w:rsidRPr="00AB200C">
              <w:rPr>
                <w:sz w:val="18"/>
                <w:szCs w:val="17"/>
              </w:rPr>
              <w:t>0.108</w:t>
            </w:r>
          </w:p>
        </w:tc>
        <w:tc>
          <w:tcPr>
            <w:tcW w:w="684" w:type="pct"/>
            <w:vAlign w:val="center"/>
          </w:tcPr>
          <w:p w:rsidR="00497881" w:rsidRPr="00AB200C" w:rsidRDefault="00B513B6" w:rsidP="00AB200C">
            <w:pPr>
              <w:spacing w:line="240" w:lineRule="auto"/>
              <w:rPr>
                <w:sz w:val="18"/>
              </w:rPr>
            </w:pPr>
            <w:r w:rsidRPr="00AB200C">
              <w:rPr>
                <w:sz w:val="18"/>
                <w:szCs w:val="17"/>
              </w:rPr>
              <w:t>0.430</w:t>
            </w:r>
          </w:p>
        </w:tc>
        <w:tc>
          <w:tcPr>
            <w:tcW w:w="684" w:type="pct"/>
            <w:vAlign w:val="center"/>
          </w:tcPr>
          <w:p w:rsidR="00497881" w:rsidRPr="00AB200C" w:rsidRDefault="00B513B6" w:rsidP="00AB200C">
            <w:pPr>
              <w:spacing w:line="240" w:lineRule="auto"/>
              <w:rPr>
                <w:sz w:val="18"/>
              </w:rPr>
            </w:pPr>
            <w:r w:rsidRPr="00AB200C">
              <w:rPr>
                <w:sz w:val="18"/>
                <w:szCs w:val="17"/>
              </w:rPr>
              <w:t>0.732</w:t>
            </w:r>
          </w:p>
        </w:tc>
      </w:tr>
      <w:tr w:rsidR="00AD65CC" w:rsidRPr="00380D34" w:rsidTr="00AB200C">
        <w:trPr>
          <w:jc w:val="center"/>
        </w:trPr>
        <w:tc>
          <w:tcPr>
            <w:tcW w:w="688" w:type="pct"/>
            <w:vAlign w:val="center"/>
          </w:tcPr>
          <w:p w:rsidR="00497881" w:rsidRPr="00AB200C" w:rsidRDefault="00B513B6" w:rsidP="00AB200C">
            <w:pPr>
              <w:spacing w:line="240" w:lineRule="auto"/>
              <w:rPr>
                <w:sz w:val="18"/>
              </w:rPr>
            </w:pPr>
            <w:r w:rsidRPr="00AB200C">
              <w:rPr>
                <w:sz w:val="18"/>
                <w:szCs w:val="17"/>
              </w:rPr>
              <w:t>rising</w:t>
            </w:r>
          </w:p>
        </w:tc>
        <w:tc>
          <w:tcPr>
            <w:tcW w:w="900" w:type="pct"/>
            <w:vAlign w:val="center"/>
          </w:tcPr>
          <w:p w:rsidR="00497881" w:rsidRPr="00AB200C" w:rsidRDefault="00B513B6" w:rsidP="00AB200C">
            <w:pPr>
              <w:spacing w:line="240" w:lineRule="auto"/>
              <w:rPr>
                <w:sz w:val="18"/>
              </w:rPr>
            </w:pPr>
            <w:r w:rsidRPr="00AB200C">
              <w:rPr>
                <w:sz w:val="18"/>
                <w:szCs w:val="17"/>
              </w:rPr>
              <w:t>fines_accumulation</w:t>
            </w:r>
          </w:p>
        </w:tc>
        <w:tc>
          <w:tcPr>
            <w:tcW w:w="679" w:type="pct"/>
            <w:vAlign w:val="center"/>
          </w:tcPr>
          <w:p w:rsidR="00497881" w:rsidRPr="00AB200C" w:rsidRDefault="00B513B6" w:rsidP="00AB200C">
            <w:pPr>
              <w:spacing w:line="240" w:lineRule="auto"/>
              <w:rPr>
                <w:sz w:val="18"/>
              </w:rPr>
            </w:pPr>
            <w:r w:rsidRPr="00AB200C">
              <w:rPr>
                <w:sz w:val="18"/>
                <w:szCs w:val="17"/>
              </w:rPr>
              <w:t>0.765</w:t>
            </w:r>
          </w:p>
        </w:tc>
        <w:tc>
          <w:tcPr>
            <w:tcW w:w="683" w:type="pct"/>
            <w:vAlign w:val="center"/>
          </w:tcPr>
          <w:p w:rsidR="00497881" w:rsidRPr="00AB200C" w:rsidRDefault="00B513B6" w:rsidP="00AB200C">
            <w:pPr>
              <w:spacing w:line="240" w:lineRule="auto"/>
              <w:rPr>
                <w:sz w:val="18"/>
              </w:rPr>
            </w:pPr>
            <w:r w:rsidRPr="00AB200C">
              <w:rPr>
                <w:sz w:val="18"/>
                <w:szCs w:val="17"/>
              </w:rPr>
              <w:t>0.403</w:t>
            </w:r>
          </w:p>
        </w:tc>
        <w:tc>
          <w:tcPr>
            <w:tcW w:w="683" w:type="pct"/>
            <w:vAlign w:val="center"/>
          </w:tcPr>
          <w:p w:rsidR="00497881" w:rsidRPr="00AB200C" w:rsidRDefault="00B513B6" w:rsidP="00AB200C">
            <w:pPr>
              <w:spacing w:line="240" w:lineRule="auto"/>
              <w:rPr>
                <w:sz w:val="18"/>
              </w:rPr>
            </w:pPr>
            <w:r w:rsidRPr="00AB200C">
              <w:rPr>
                <w:sz w:val="18"/>
                <w:szCs w:val="17"/>
              </w:rPr>
              <w:t>0.167</w:t>
            </w:r>
          </w:p>
        </w:tc>
        <w:tc>
          <w:tcPr>
            <w:tcW w:w="684" w:type="pct"/>
            <w:vAlign w:val="center"/>
          </w:tcPr>
          <w:p w:rsidR="00497881" w:rsidRPr="00AB200C" w:rsidRDefault="00B513B6" w:rsidP="00AB200C">
            <w:pPr>
              <w:spacing w:line="240" w:lineRule="auto"/>
              <w:rPr>
                <w:sz w:val="18"/>
              </w:rPr>
            </w:pPr>
            <w:r w:rsidRPr="00AB200C">
              <w:rPr>
                <w:sz w:val="18"/>
                <w:szCs w:val="17"/>
              </w:rPr>
              <w:t>0.456</w:t>
            </w:r>
          </w:p>
        </w:tc>
        <w:tc>
          <w:tcPr>
            <w:tcW w:w="684" w:type="pct"/>
            <w:vAlign w:val="center"/>
          </w:tcPr>
          <w:p w:rsidR="00497881" w:rsidRPr="00AB200C" w:rsidRDefault="00B513B6" w:rsidP="00AB200C">
            <w:pPr>
              <w:spacing w:line="240" w:lineRule="auto"/>
              <w:rPr>
                <w:sz w:val="18"/>
              </w:rPr>
            </w:pPr>
            <w:r w:rsidRPr="00AB200C">
              <w:rPr>
                <w:sz w:val="18"/>
                <w:szCs w:val="17"/>
              </w:rPr>
              <w:t>0.756</w:t>
            </w:r>
          </w:p>
        </w:tc>
      </w:tr>
    </w:tbl>
    <w:p w:rsidR="00AD65CC" w:rsidRDefault="00AD65CC"/>
    <w:p w:rsidR="00AD65CC" w:rsidRDefault="000A5A2B">
      <w:pPr>
        <w:pStyle w:val="Paragraph"/>
      </w:pPr>
      <w: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Pr="008F6A0C" w:rsidRDefault="000A5A2B">
      <w:pPr>
        <w:pStyle w:val="Tabletitle"/>
        <w:rPr>
          <w:color w:val="000000"/>
        </w:rPr>
      </w:pPr>
      <w:r w:rsidRPr="008F6A0C">
        <w:t>Table 6. Stationary versus non-stationary profile-average probabilities for the extreme/fines-accumulation case.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Year</w:t>
            </w:r>
          </w:p>
        </w:tc>
        <w:tc>
          <w:tcPr>
            <w:tcW w:w="1250" w:type="pct"/>
            <w:vAlign w:val="center"/>
          </w:tcPr>
          <w:p w:rsidR="00AD65CC" w:rsidRPr="00AB200C" w:rsidRDefault="000A5A2B" w:rsidP="00AB200C">
            <w:pPr>
              <w:spacing w:line="240" w:lineRule="auto"/>
              <w:rPr>
                <w:color w:val="000000"/>
                <w:sz w:val="18"/>
              </w:rPr>
            </w:pPr>
            <w:r w:rsidRPr="00AB200C">
              <w:rPr>
                <w:sz w:val="18"/>
                <w:szCs w:val="17"/>
              </w:rPr>
              <w:t>Stationary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Non-stationary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Difference</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0.375</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0.372</w:t>
            </w:r>
          </w:p>
        </w:tc>
        <w:tc>
          <w:tcPr>
            <w:tcW w:w="1250" w:type="pct"/>
            <w:vAlign w:val="center"/>
          </w:tcPr>
          <w:p w:rsidR="00AD65CC" w:rsidRPr="00AB200C" w:rsidRDefault="000A5A2B" w:rsidP="00AB200C">
            <w:pPr>
              <w:spacing w:line="240" w:lineRule="auto"/>
              <w:rPr>
                <w:color w:val="000000"/>
                <w:sz w:val="18"/>
              </w:rPr>
            </w:pPr>
            <w:r w:rsidRPr="00AB200C">
              <w:rPr>
                <w:sz w:val="18"/>
                <w:szCs w:val="17"/>
              </w:rPr>
              <w:t>-0.003</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10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0.372</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0.375</w:t>
            </w:r>
          </w:p>
        </w:tc>
        <w:tc>
          <w:tcPr>
            <w:tcW w:w="1250" w:type="pct"/>
            <w:vAlign w:val="center"/>
          </w:tcPr>
          <w:p w:rsidR="00AD65CC" w:rsidRPr="00AB200C" w:rsidRDefault="000A5A2B" w:rsidP="00AB200C">
            <w:pPr>
              <w:spacing w:line="240" w:lineRule="auto"/>
              <w:rPr>
                <w:color w:val="000000"/>
                <w:sz w:val="18"/>
              </w:rPr>
            </w:pPr>
            <w:r w:rsidRPr="00AB200C">
              <w:rPr>
                <w:sz w:val="18"/>
                <w:szCs w:val="17"/>
              </w:rPr>
              <w:t>0.003</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20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0.372</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0.377</w:t>
            </w:r>
          </w:p>
        </w:tc>
        <w:tc>
          <w:tcPr>
            <w:tcW w:w="1250" w:type="pct"/>
            <w:vAlign w:val="center"/>
          </w:tcPr>
          <w:p w:rsidR="00AD65CC" w:rsidRPr="00AB200C" w:rsidRDefault="000A5A2B" w:rsidP="00AB200C">
            <w:pPr>
              <w:spacing w:line="240" w:lineRule="auto"/>
              <w:rPr>
                <w:color w:val="000000"/>
                <w:sz w:val="18"/>
              </w:rPr>
            </w:pPr>
            <w:r w:rsidRPr="00AB200C">
              <w:rPr>
                <w:sz w:val="18"/>
                <w:szCs w:val="17"/>
              </w:rPr>
              <w:t>0.004</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30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0.513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0.140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40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0.534</w:t>
            </w:r>
          </w:p>
        </w:tc>
        <w:tc>
          <w:tcPr>
            <w:tcW w:w="1250" w:type="pct"/>
            <w:vAlign w:val="center"/>
          </w:tcPr>
          <w:p w:rsidR="00AD65CC" w:rsidRPr="00AB200C" w:rsidRDefault="000A5A2B" w:rsidP="00AB200C">
            <w:pPr>
              <w:spacing w:line="240" w:lineRule="auto"/>
              <w:rPr>
                <w:color w:val="000000"/>
                <w:sz w:val="18"/>
              </w:rPr>
            </w:pPr>
            <w:r w:rsidRPr="00AB200C">
              <w:rPr>
                <w:sz w:val="18"/>
                <w:szCs w:val="17"/>
              </w:rPr>
              <w:t>0.161</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50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0.373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0.551</w:t>
            </w:r>
          </w:p>
        </w:tc>
        <w:tc>
          <w:tcPr>
            <w:tcW w:w="1250" w:type="pct"/>
            <w:vAlign w:val="center"/>
          </w:tcPr>
          <w:p w:rsidR="00AD65CC" w:rsidRPr="00AB200C" w:rsidRDefault="000A5A2B" w:rsidP="00AB200C">
            <w:pPr>
              <w:spacing w:line="240" w:lineRule="auto"/>
              <w:rPr>
                <w:color w:val="000000"/>
                <w:sz w:val="18"/>
              </w:rPr>
            </w:pPr>
            <w:r w:rsidRPr="00AB200C">
              <w:rPr>
                <w:sz w:val="18"/>
                <w:szCs w:val="17"/>
              </w:rPr>
              <w:t>0.178</w:t>
            </w:r>
          </w:p>
        </w:tc>
      </w:tr>
    </w:tbl>
    <w:p w:rsidR="00AD65CC" w:rsidRDefault="00AD65CC"/>
    <w:p w:rsidR="00AD65CC" w:rsidRPr="00F436BC" w:rsidRDefault="000A5A2B" w:rsidP="00F436BC">
      <w:pPr>
        <w:pStyle w:val="Heading1"/>
        <w:rPr>
          <w:rFonts w:ascii="Arial" w:hAnsi="Arial"/>
        </w:rPr>
      </w:pPr>
      <w:r w:rsidRPr="00F436BC">
        <w:t>5. Reproducibility controls and benchmark interpretation</w:t>
      </w:r>
    </w:p>
    <w:p w:rsidR="00AD65CC" w:rsidRDefault="000A5A2B">
      <w:pPr>
        <w:pStyle w:val="Paragraph"/>
      </w:pPr>
      <w: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rsidR="00AD65CC" w:rsidRDefault="000A5A2B">
      <w:pPr>
        <w:pStyle w:val="Paragraph"/>
      </w:pPr>
      <w: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D24E97" w:rsidRDefault="000E1204">
      <w:pPr>
        <w:pStyle w:val="Paragraph"/>
      </w:pPr>
      <w:r>
        <w:t>This comparison is treated as an ablation rather than as a cosmetic scenario plot. M0 removes both groundwater and gradation updating, M1 adds groundwater updating alone, M2 adds groundwater plus gradation proxy updating, and M3 preserves the full non-stationary decision operator. The reported AUC, Brier and out-of-sample diagnostics are therefore interpreted as tests of the added state variables, not only as reproducibility checks.</w:t>
      </w:r>
    </w:p>
    <w:p w:rsidR="00AD65CC" w:rsidRDefault="000A5A2B">
      <w:pPr>
        <w:pStyle w:val="Paragraph"/>
      </w:pPr>
      <w: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946BE6" w:rsidRDefault="00946BE6" w:rsidP="00946BE6">
      <w:r>
        <w:t>For a georisk assessment audience, the most important interpretive point is that the workflow produces a decision-oriented probability sequence, not only a triggering classification. A profile can be ranked by present-day factor of safety, by current computed probability, by maximum layer probability over the planning horizon, by final-state probability, by profile-average reliability index, by threshold-crossing time, or by Delta Pf relative to a stationary assumption. These metrics answer different risk-management questions. Current Pf supports present serviceability decisions; maximum Pf supports horizon planning; threshold-crossing time supports monitoring escalation; and Delta Pf identifies cases where stationary analysis would materially change the priority ranking.</w:t>
      </w:r>
    </w:p>
    <w:p w:rsidR="00AD65CC" w:rsidRDefault="000A5A2B">
      <w:pPr>
        <w:pStyle w:val="Paragraph"/>
      </w:pPr>
      <w:r>
        <w:t>The workflow also creates a path for future site-specific calibration. If monitoring data are available, groundwater-depth trajectories can be replaced by measured or forecasted time series. If gradation data are available, the fines-content model can be replaced by a transport or updating model. If local seismic hazard information is available, the PGA distribution can be conditioned on return period or on an event set. If CPT data are preferred, the resistance module can be replaced by a CPT-based triggering relation. The benchmark architecture therefore supports substitution of better evidence without changing the logic of the non-stationary reliability calculation.</w:t>
      </w:r>
    </w:p>
    <w:p w:rsidR="00AD65CC" w:rsidRDefault="000A5A2B">
      <w:pPr>
        <w:pStyle w:val="Paragraph"/>
      </w:pPr>
      <w:r>
        <w:t>The main limitation is that the present benchmark uses independent Monte Carlo sampling within each layer and does not model spatial correlation. This is conservative in some comparisons and unconservative in others, depending on how profile failure is defined. A random-field model would be needed to represent vertical correlation of resistance and fines content. Another limitation is that the benchmark uses a simplified stress-reduction coefficient and a smooth CRR approximation. This is acceptable for a methodological benchmark but not sufficient for final design. Site application should use a project-approved triggering model and should document the uncertainty model used for each empirical component.</w:t>
      </w:r>
    </w:p>
    <w:p w:rsidR="00946BE6" w:rsidRDefault="00946BE6" w:rsidP="00946BE6">
      <w:r>
        <w:t>The benchmark is therefore best understood as an auditable georisk experiment rather than a fixed-condition screening exercise. Its value lies in showing that, for the prescribed scenarios and selected triggering formulation, non-stationary state variables can substantially change computed probability trends, rank order and escalation timing within the benchmark assumptions. The results support considering non-stationary groundwater and gradation scenarios as risk-management diagnostics, pending site-specific calibration before project use.</w:t>
      </w:r>
    </w:p>
    <w:p w:rsidR="004457B8" w:rsidRDefault="00554E27">
      <w:pPr>
        <w:pStyle w:val="Paragraph"/>
      </w:pPr>
      <w:r>
        <w:t>Table 7 reports the reproducibility and interpretation controls used to audit the benchmark workflow.</w:t>
      </w:r>
    </w:p>
    <w:p w:rsidR="00AD65CC" w:rsidRPr="008F6A0C" w:rsidRDefault="000A5A2B">
      <w:pPr>
        <w:pStyle w:val="Tabletitle"/>
        <w:rPr>
          <w:b/>
          <w:color w:val="000000"/>
        </w:rPr>
      </w:pPr>
      <w:r w:rsidRPr="008F6A0C">
        <w:t>Table 7. Reproducibility and interpretation controls used in the benchmark.</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795"/>
        <w:gridCol w:w="2915"/>
        <w:gridCol w:w="2794"/>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Control</w:t>
            </w:r>
          </w:p>
        </w:tc>
        <w:tc>
          <w:tcPr>
            <w:tcW w:w="1714" w:type="pct"/>
            <w:vAlign w:val="center"/>
          </w:tcPr>
          <w:p w:rsidR="00AD65CC" w:rsidRPr="00AB200C" w:rsidRDefault="000A5A2B" w:rsidP="00AB200C">
            <w:pPr>
              <w:spacing w:line="240" w:lineRule="auto"/>
              <w:rPr>
                <w:color w:val="000000"/>
                <w:sz w:val="18"/>
              </w:rPr>
            </w:pPr>
            <w:r w:rsidRPr="00AB200C">
              <w:rPr>
                <w:sz w:val="18"/>
                <w:szCs w:val="17"/>
              </w:rPr>
              <w:t>Implementation</w:t>
            </w:r>
          </w:p>
        </w:tc>
        <w:tc>
          <w:tcPr>
            <w:tcW w:w="1643" w:type="pct"/>
            <w:vAlign w:val="center"/>
          </w:tcPr>
          <w:p w:rsidR="00AD65CC" w:rsidRPr="00AB200C" w:rsidRDefault="000A5A2B" w:rsidP="00AB200C">
            <w:pPr>
              <w:spacing w:line="240" w:lineRule="auto"/>
              <w:rPr>
                <w:color w:val="000000"/>
                <w:sz w:val="18"/>
              </w:rPr>
            </w:pPr>
            <w:r w:rsidRPr="00AB200C">
              <w:rPr>
                <w:sz w:val="18"/>
                <w:szCs w:val="17"/>
              </w:rPr>
              <w:t>Reason for inclusion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Fixed seed</w:t>
            </w:r>
          </w:p>
        </w:tc>
        <w:tc>
          <w:tcPr>
            <w:tcW w:w="1714" w:type="pct"/>
            <w:vAlign w:val="center"/>
          </w:tcPr>
          <w:p w:rsidR="00AD65CC" w:rsidRPr="00AB200C" w:rsidRDefault="000A5A2B" w:rsidP="00AB200C">
            <w:pPr>
              <w:spacing w:line="240" w:lineRule="auto"/>
              <w:rPr>
                <w:color w:val="000000"/>
                <w:sz w:val="18"/>
              </w:rPr>
            </w:pPr>
            <w:r w:rsidRPr="00AB200C">
              <w:rPr>
                <w:sz w:val="18"/>
                <w:szCs w:val="17"/>
              </w:rPr>
              <w:t>Random seed 1182026</w:t>
            </w:r>
          </w:p>
        </w:tc>
        <w:tc>
          <w:tcPr>
            <w:tcW w:w="1643" w:type="pct"/>
            <w:vAlign w:val="center"/>
          </w:tcPr>
          <w:p w:rsidR="00AD65CC" w:rsidRPr="00AB200C" w:rsidRDefault="000A5A2B" w:rsidP="00AB200C">
            <w:pPr>
              <w:spacing w:line="240" w:lineRule="auto"/>
              <w:rPr>
                <w:color w:val="000000"/>
                <w:sz w:val="18"/>
              </w:rPr>
            </w:pPr>
            <w:r w:rsidRPr="00AB200C">
              <w:rPr>
                <w:sz w:val="18"/>
                <w:szCs w:val="17"/>
              </w:rPr>
              <w:t>Allows replication of every Monte Carlo output</w:t>
            </w:r>
          </w:p>
        </w:tc>
      </w:tr>
      <w:tr w:rsidR="00AD65CC" w:rsidRPr="00380D34" w:rsidTr="00AB200C">
        <w:trP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Separate input profile</w:t>
            </w:r>
          </w:p>
        </w:tc>
        <w:tc>
          <w:tcPr>
            <w:tcW w:w="1714" w:type="pct"/>
            <w:vAlign w:val="center"/>
          </w:tcPr>
          <w:p w:rsidR="00AD65CC" w:rsidRPr="00AB200C" w:rsidRDefault="000A5A2B" w:rsidP="00AB200C">
            <w:pPr>
              <w:spacing w:line="240" w:lineRule="auto"/>
              <w:rPr>
                <w:color w:val="000000"/>
                <w:sz w:val="18"/>
              </w:rPr>
            </w:pPr>
            <w:r w:rsidRPr="00AB200C">
              <w:rPr>
                <w:sz w:val="18"/>
                <w:szCs w:val="17"/>
              </w:rPr>
              <w:t>synthetic_layer_profile.csv</w:t>
            </w:r>
          </w:p>
        </w:tc>
        <w:tc>
          <w:tcPr>
            <w:tcW w:w="1643" w:type="pct"/>
            <w:vAlign w:val="center"/>
          </w:tcPr>
          <w:p w:rsidR="00AD65CC" w:rsidRPr="00AB200C" w:rsidRDefault="000A5A2B" w:rsidP="00AB200C">
            <w:pPr>
              <w:spacing w:line="240" w:lineRule="auto"/>
              <w:rPr>
                <w:color w:val="000000"/>
                <w:sz w:val="18"/>
              </w:rPr>
            </w:pPr>
            <w:r w:rsidRPr="00AB200C">
              <w:rPr>
                <w:sz w:val="18"/>
                <w:szCs w:val="17"/>
              </w:rPr>
              <w:t>Makes layer assumptions explicit</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Stationary comparison</w:t>
            </w:r>
          </w:p>
        </w:tc>
        <w:tc>
          <w:tcPr>
            <w:tcW w:w="1714" w:type="pct"/>
            <w:vAlign w:val="center"/>
          </w:tcPr>
          <w:p w:rsidR="00AD65CC" w:rsidRPr="00AB200C" w:rsidRDefault="000A5A2B" w:rsidP="00AB200C">
            <w:pPr>
              <w:spacing w:line="240" w:lineRule="auto"/>
              <w:rPr>
                <w:color w:val="000000"/>
                <w:sz w:val="18"/>
              </w:rPr>
            </w:pPr>
            <w:r w:rsidRPr="00AB200C">
              <w:rPr>
                <w:sz w:val="18"/>
                <w:szCs w:val="17"/>
              </w:rPr>
              <w:t>pf_stationary in the result file</w:t>
            </w:r>
          </w:p>
        </w:tc>
        <w:tc>
          <w:tcPr>
            <w:tcW w:w="1643" w:type="pct"/>
            <w:vAlign w:val="center"/>
          </w:tcPr>
          <w:p w:rsidR="00AD65CC" w:rsidRPr="00AB200C" w:rsidRDefault="000A5A2B" w:rsidP="00AB200C">
            <w:pPr>
              <w:spacing w:line="240" w:lineRule="auto"/>
              <w:rPr>
                <w:color w:val="000000"/>
                <w:sz w:val="18"/>
              </w:rPr>
            </w:pPr>
            <w:r w:rsidRPr="00AB200C">
              <w:rPr>
                <w:sz w:val="18"/>
                <w:szCs w:val="17"/>
              </w:rPr>
              <w:t>Isolates the effect of non-stationary state variables</w:t>
            </w:r>
          </w:p>
        </w:tc>
      </w:tr>
      <w:tr w:rsidR="00AD65CC" w:rsidRPr="00380D34" w:rsidTr="00AB200C">
        <w:trP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Deterministic companion metric</w:t>
            </w:r>
          </w:p>
        </w:tc>
        <w:tc>
          <w:tcPr>
            <w:tcW w:w="1714" w:type="pct"/>
            <w:vAlign w:val="center"/>
          </w:tcPr>
          <w:p w:rsidR="00AD65CC" w:rsidRPr="00AB200C" w:rsidRDefault="000A5A2B" w:rsidP="00AB200C">
            <w:pPr>
              <w:spacing w:line="240" w:lineRule="auto"/>
              <w:rPr>
                <w:color w:val="000000"/>
                <w:sz w:val="18"/>
              </w:rPr>
            </w:pPr>
            <w:r w:rsidRPr="00AB200C">
              <w:rPr>
                <w:sz w:val="18"/>
                <w:szCs w:val="17"/>
              </w:rPr>
              <w:t>fs_deterministic_nonstationary</w:t>
            </w:r>
          </w:p>
        </w:tc>
        <w:tc>
          <w:tcPr>
            <w:tcW w:w="1643" w:type="pct"/>
            <w:vAlign w:val="center"/>
          </w:tcPr>
          <w:p w:rsidR="00AD65CC" w:rsidRPr="00AB200C" w:rsidRDefault="000A5A2B" w:rsidP="00AB200C">
            <w:pPr>
              <w:spacing w:line="240" w:lineRule="auto"/>
              <w:rPr>
                <w:color w:val="000000"/>
                <w:sz w:val="18"/>
              </w:rPr>
            </w:pPr>
            <w:r w:rsidRPr="00AB200C">
              <w:rPr>
                <w:sz w:val="18"/>
                <w:szCs w:val="17"/>
              </w:rPr>
              <w:t>Connects probability results to familiar engineering checks</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Scenario summary</w:t>
            </w:r>
          </w:p>
        </w:tc>
        <w:tc>
          <w:tcPr>
            <w:tcW w:w="1714" w:type="pct"/>
            <w:vAlign w:val="center"/>
          </w:tcPr>
          <w:p w:rsidR="00AD65CC" w:rsidRPr="00AB200C" w:rsidRDefault="000A5A2B" w:rsidP="00AB200C">
            <w:pPr>
              <w:spacing w:line="240" w:lineRule="auto"/>
              <w:rPr>
                <w:color w:val="000000"/>
                <w:sz w:val="18"/>
              </w:rPr>
            </w:pPr>
            <w:r w:rsidRPr="00AB200C">
              <w:rPr>
                <w:sz w:val="18"/>
                <w:szCs w:val="17"/>
              </w:rPr>
              <w:t>liquefaction_benchmark_summary.csv</w:t>
            </w:r>
          </w:p>
        </w:tc>
        <w:tc>
          <w:tcPr>
            <w:tcW w:w="1643" w:type="pct"/>
            <w:vAlign w:val="center"/>
          </w:tcPr>
          <w:p w:rsidR="00AD65CC" w:rsidRPr="00AB200C" w:rsidRDefault="000A5A2B" w:rsidP="00AB200C">
            <w:pPr>
              <w:spacing w:line="240" w:lineRule="auto"/>
              <w:rPr>
                <w:color w:val="000000"/>
                <w:sz w:val="18"/>
              </w:rPr>
            </w:pPr>
            <w:r w:rsidRPr="00AB200C">
              <w:rPr>
                <w:sz w:val="18"/>
                <w:szCs w:val="17"/>
              </w:rPr>
              <w:t>Supports screening by maximum, mean and final-horizon probability</w:t>
            </w:r>
          </w:p>
        </w:tc>
      </w:tr>
      <w:tr w:rsidR="00AD65CC" w:rsidRPr="00380D34" w:rsidTr="00AB200C">
        <w:trPr>
          <w:jc w:val="center"/>
        </w:trPr>
        <w:tc>
          <w:tcPr>
            <w:tcW w:w="1643" w:type="pct"/>
            <w:vAlign w:val="center"/>
          </w:tcPr>
          <w:p w:rsidR="00AD65CC" w:rsidRPr="00AB200C" w:rsidRDefault="000A5A2B" w:rsidP="00AB200C">
            <w:pPr>
              <w:spacing w:line="240" w:lineRule="auto"/>
              <w:rPr>
                <w:color w:val="000000"/>
                <w:sz w:val="18"/>
              </w:rPr>
            </w:pPr>
            <w:r w:rsidRPr="00AB200C">
              <w:rPr>
                <w:sz w:val="18"/>
                <w:szCs w:val="17"/>
              </w:rPr>
              <w:t>Editable code and figures</w:t>
            </w:r>
          </w:p>
        </w:tc>
        <w:tc>
          <w:tcPr>
            <w:tcW w:w="1714" w:type="pct"/>
            <w:vAlign w:val="center"/>
          </w:tcPr>
          <w:p w:rsidR="00AD65CC" w:rsidRPr="00AB200C" w:rsidRDefault="000A5A2B" w:rsidP="00AB200C">
            <w:pPr>
              <w:spacing w:line="240" w:lineRule="auto"/>
              <w:rPr>
                <w:color w:val="000000"/>
                <w:sz w:val="18"/>
              </w:rPr>
            </w:pPr>
            <w:r w:rsidRPr="00AB200C">
              <w:rPr>
                <w:sz w:val="18"/>
                <w:szCs w:val="17"/>
              </w:rPr>
              <w:t>Python script plus PNG/SVG figures</w:t>
            </w:r>
          </w:p>
        </w:tc>
        <w:tc>
          <w:tcPr>
            <w:tcW w:w="1643" w:type="pct"/>
            <w:vAlign w:val="center"/>
          </w:tcPr>
          <w:p w:rsidR="00AD65CC" w:rsidRPr="00AB200C" w:rsidRDefault="000A5A2B" w:rsidP="00AB200C">
            <w:pPr>
              <w:spacing w:line="240" w:lineRule="auto"/>
              <w:rPr>
                <w:color w:val="000000"/>
                <w:sz w:val="18"/>
              </w:rPr>
            </w:pPr>
            <w:r w:rsidRPr="00AB200C">
              <w:rPr>
                <w:sz w:val="18"/>
                <w:szCs w:val="17"/>
              </w:rPr>
              <w:t>Allows reviewer reruns and figure regeneration</w:t>
            </w:r>
          </w:p>
        </w:tc>
      </w:tr>
    </w:tbl>
    <w:p w:rsidR="00AD65CC" w:rsidRDefault="000A5A2B">
      <w:pPr>
        <w:pStyle w:val="Paragraph"/>
      </w:pPr>
      <w:r>
        <w:t>Table 7 is included to make the computational controls explicit. These checks are not cosmetic; they are the evidence that the benchmark can be rerun, interrogated and adapted without changing the manuscript narrative by hand.</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pPr>
      <w:r>
        <w:t>Table 8 reports the Monte Carlo convergence check used to assess high-Pf stability for the most severe state.</w:t>
      </w:r>
    </w:p>
    <w:p w:rsidR="00AD65CC" w:rsidRPr="008F6A0C" w:rsidRDefault="000A5A2B">
      <w:pPr>
        <w:pStyle w:val="Tabletitle"/>
        <w:rPr>
          <w:b/>
          <w:color w:val="000000"/>
        </w:rPr>
      </w:pPr>
      <w:r w:rsidRPr="008F6A0C">
        <w:t>Table 8. Monte Carlo convergence check for the most severe benchmark state.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700"/>
        <w:gridCol w:w="1701"/>
        <w:gridCol w:w="1701"/>
        <w:gridCol w:w="1701"/>
        <w:gridCol w:w="1701"/>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Sample size</w:t>
            </w:r>
          </w:p>
        </w:tc>
        <w:tc>
          <w:tcPr>
            <w:tcW w:w="1000" w:type="pct"/>
            <w:vAlign w:val="center"/>
          </w:tcPr>
          <w:p w:rsidR="00AD65CC" w:rsidRPr="00AB200C" w:rsidRDefault="000A5A2B" w:rsidP="00AB200C">
            <w:pPr>
              <w:spacing w:line="240" w:lineRule="auto"/>
              <w:rPr>
                <w:color w:val="000000"/>
                <w:sz w:val="18"/>
              </w:rPr>
            </w:pPr>
            <w:r w:rsidRPr="00AB200C">
              <w:rPr>
                <w:sz w:val="18"/>
                <w:szCs w:val="17"/>
              </w:rPr>
              <w:t>Replicates</w:t>
            </w:r>
          </w:p>
        </w:tc>
        <w:tc>
          <w:tcPr>
            <w:tcW w:w="1000" w:type="pct"/>
            <w:vAlign w:val="center"/>
          </w:tcPr>
          <w:p w:rsidR="00AD65CC" w:rsidRPr="00AB200C" w:rsidRDefault="000A5A2B" w:rsidP="00AB200C">
            <w:pPr>
              <w:spacing w:line="240" w:lineRule="auto"/>
              <w:rPr>
                <w:color w:val="000000"/>
                <w:sz w:val="18"/>
              </w:rPr>
            </w:pPr>
            <w:r w:rsidRPr="00AB200C">
              <w:rPr>
                <w:sz w:val="18"/>
                <w:szCs w:val="17"/>
              </w:rPr>
              <w:t>Mean Pf</w:t>
            </w:r>
          </w:p>
        </w:tc>
        <w:tc>
          <w:tcPr>
            <w:tcW w:w="1000" w:type="pct"/>
            <w:vAlign w:val="center"/>
          </w:tcPr>
          <w:p w:rsidR="00AD65CC" w:rsidRPr="00AB200C" w:rsidRDefault="000A5A2B" w:rsidP="00AB200C">
            <w:pPr>
              <w:spacing w:line="240" w:lineRule="auto"/>
              <w:rPr>
                <w:color w:val="000000"/>
                <w:sz w:val="18"/>
              </w:rPr>
            </w:pPr>
            <w:r w:rsidRPr="00AB200C">
              <w:rPr>
                <w:sz w:val="18"/>
                <w:szCs w:val="17"/>
              </w:rPr>
              <w:t>Std. Pf</w:t>
            </w:r>
          </w:p>
        </w:tc>
        <w:tc>
          <w:tcPr>
            <w:tcW w:w="1000" w:type="pct"/>
            <w:vAlign w:val="center"/>
          </w:tcPr>
          <w:p w:rsidR="00AD65CC" w:rsidRPr="00AB200C" w:rsidRDefault="000A5A2B" w:rsidP="00AB200C">
            <w:pPr>
              <w:spacing w:line="240" w:lineRule="auto"/>
              <w:rPr>
                <w:color w:val="000000"/>
                <w:sz w:val="18"/>
              </w:rPr>
            </w:pPr>
            <w:r w:rsidRPr="00AB200C">
              <w:rPr>
                <w:sz w:val="18"/>
                <w:szCs w:val="17"/>
              </w:rPr>
              <w:t>Range</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1000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0.9662</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0.0126</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0.9440-0.9750</w:t>
            </w:r>
          </w:p>
        </w:tc>
      </w:tr>
      <w:tr w:rsidR="00AD65CC" w:rsidRPr="00380D34" w:rsidTr="00AB200C">
        <w:trPr>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3000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0.9643</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0.0022</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0.9627-0.9680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6000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0.9632</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0.0018</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0.9610-0.9653</w:t>
            </w:r>
          </w:p>
        </w:tc>
      </w:tr>
      <w:tr w:rsidR="00AD65CC" w:rsidRPr="00380D34" w:rsidTr="00AB200C">
        <w:trPr>
          <w:jc w:val="center"/>
        </w:trPr>
        <w:tc>
          <w:tcPr>
            <w:tcW w:w="1000" w:type="pct"/>
            <w:vAlign w:val="center"/>
          </w:tcPr>
          <w:p w:rsidR="00AD65CC" w:rsidRPr="00AB200C" w:rsidRDefault="000A5A2B" w:rsidP="00AB200C">
            <w:pPr>
              <w:spacing w:line="240" w:lineRule="auto"/>
              <w:rPr>
                <w:color w:val="000000"/>
                <w:sz w:val="18"/>
              </w:rPr>
            </w:pPr>
            <w:r w:rsidRPr="00AB200C">
              <w:rPr>
                <w:sz w:val="18"/>
                <w:szCs w:val="17"/>
              </w:rPr>
              <w:t>12000</w:t>
            </w:r>
          </w:p>
        </w:tc>
        <w:tc>
          <w:tcPr>
            <w:tcW w:w="1000" w:type="pct"/>
            <w:vAlign w:val="center"/>
          </w:tcPr>
          <w:p w:rsidR="00AD65CC" w:rsidRPr="00AB200C" w:rsidRDefault="000A5A2B" w:rsidP="00AB200C">
            <w:pPr>
              <w:spacing w:line="240" w:lineRule="auto"/>
              <w:rPr>
                <w:color w:val="000000"/>
                <w:sz w:val="18"/>
              </w:rPr>
            </w:pPr>
            <w:r w:rsidRPr="00AB200C">
              <w:rPr>
                <w:sz w:val="18"/>
                <w:szCs w:val="17"/>
              </w:rPr>
              <w:t>5</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0.9627</w:t>
            </w:r>
          </w:p>
        </w:tc>
        <w:tc>
          <w:tcPr>
            <w:tcW w:w="1000" w:type="pct"/>
            <w:vAlign w:val="center"/>
          </w:tcPr>
          <w:p w:rsidR="00AD65CC" w:rsidRPr="00AB200C" w:rsidRDefault="000A5A2B" w:rsidP="00AB200C">
            <w:pPr>
              <w:spacing w:line="240" w:lineRule="auto"/>
              <w:rPr>
                <w:color w:val="000000"/>
                <w:sz w:val="18"/>
              </w:rPr>
            </w:pPr>
            <w:r w:rsidRPr="00AB200C">
              <w:rPr>
                <w:sz w:val="18"/>
                <w:szCs w:val="17"/>
              </w:rPr>
              <w:t>0.0016</w:t>
            </w:r>
          </w:p>
        </w:tc>
        <w:tc>
          <w:tcPr>
            <w:tcW w:w="1000" w:type="pct"/>
            <w:vAlign w:val="center"/>
          </w:tcPr>
          <w:p w:rsidR="00AD65CC" w:rsidRPr="00AB200C" w:rsidRDefault="000A5A2B" w:rsidP="00AB200C">
            <w:pPr>
              <w:spacing w:line="240" w:lineRule="auto"/>
              <w:rPr>
                <w:color w:val="000000"/>
                <w:sz w:val="18"/>
              </w:rPr>
            </w:pPr>
            <w:r w:rsidRPr="00AB200C">
              <w:rPr>
                <w:sz w:val="18"/>
                <w:szCs w:val="17"/>
              </w:rPr>
              <w:t>0.9608-0.9642</w:t>
            </w:r>
          </w:p>
        </w:tc>
      </w:tr>
    </w:tbl>
    <w:p w:rsidR="00AD65CC" w:rsidRDefault="000A5A2B">
      <w:pPr>
        <w:pStyle w:val="Paragraph"/>
      </w:pPr>
      <w: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rPr>
      </w:pPr>
      <w:r w:rsidRPr="00F436BC">
        <w:t>5.1 External trend-consistency check</w:t>
      </w:r>
    </w:p>
    <w:p w:rsidR="00AD65CC" w:rsidRDefault="000A5A2B">
      <w:pPr>
        <w:pStyle w:val="Paragraph"/>
      </w:pPr>
      <w:r>
        <w:t>Because the benchmark is synthetic, an external consistency check is needed to reduce the chance that the paper is read as an isolated numerical exercise. The check used here is deliberately modest: it does not claim field calibration, but tests whether the model directions agree with published liquefaction knowledge. The first external anchor is that groundwater depth is a recognised driver of liquefaction probability. Holzer et al. [15] developed liquefaction probability curves for surficial geologic deposits and explicitly reported probabilities for a water table at 1.5 m under earthquake loading. Recent reviews of probabilistic urban liquefaction hazard also identify groundwater depth, saturated sandy layer thickness, soil susceptibility and shaking intensity as controlling inputs [7]. These external observations support the benchmark decision to treat groundwater as a time-dependent state variable rather than as a fixed site label.</w:t>
      </w:r>
    </w:p>
    <w:p w:rsidR="00AD65CC" w:rsidRDefault="000A5A2B">
      <w:pPr>
        <w:pStyle w:val="Paragraph"/>
      </w:pPr>
      <w: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pStyle w:val="Paragraph"/>
      </w:pPr>
      <w: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Default="000A5A2B">
      <w:pPr>
        <w:pStyle w:val="Paragraph"/>
      </w:pPr>
      <w:r>
        <w:t>Table 9 summarises the external consistency checks. The table is included before the broader discussion so that the reviewer can separate three ideas: the benchmark is synthetic, its trend directions are literature-consistent, and site-specific calibration remains necessary before project design use.</w:t>
      </w:r>
    </w:p>
    <w:p w:rsidR="00AD65CC" w:rsidRPr="008F6A0C" w:rsidRDefault="000A5A2B">
      <w:pPr>
        <w:pStyle w:val="Tabletitle"/>
        <w:rPr>
          <w:b/>
          <w:color w:val="000000"/>
        </w:rPr>
      </w:pPr>
      <w:r w:rsidRPr="008F6A0C">
        <w:t>Table 9. External trend-consistency checks supporting the benchmark assumptions.</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External observation</w:t>
            </w:r>
          </w:p>
        </w:tc>
        <w:tc>
          <w:tcPr>
            <w:tcW w:w="1250" w:type="pct"/>
            <w:vAlign w:val="center"/>
          </w:tcPr>
          <w:p w:rsidR="00AD65CC" w:rsidRPr="00AB200C" w:rsidRDefault="000A5A2B" w:rsidP="00AB200C">
            <w:pPr>
              <w:spacing w:line="240" w:lineRule="auto"/>
              <w:rPr>
                <w:color w:val="000000"/>
                <w:sz w:val="18"/>
              </w:rPr>
            </w:pPr>
            <w:r w:rsidRPr="00AB200C">
              <w:rPr>
                <w:sz w:val="18"/>
                <w:szCs w:val="17"/>
              </w:rPr>
              <w:t>Representative source</w:t>
            </w:r>
          </w:p>
        </w:tc>
        <w:tc>
          <w:tcPr>
            <w:tcW w:w="1250" w:type="pct"/>
            <w:vAlign w:val="center"/>
          </w:tcPr>
          <w:p w:rsidR="00AD65CC" w:rsidRPr="00AB200C" w:rsidRDefault="000A5A2B" w:rsidP="00AB200C">
            <w:pPr>
              <w:spacing w:line="240" w:lineRule="auto"/>
              <w:rPr>
                <w:color w:val="000000"/>
                <w:sz w:val="18"/>
              </w:rPr>
            </w:pPr>
            <w:r w:rsidRPr="00AB200C">
              <w:rPr>
                <w:sz w:val="18"/>
                <w:szCs w:val="17"/>
              </w:rPr>
              <w:t>Benchmark counterpart</w:t>
            </w:r>
          </w:p>
        </w:tc>
        <w:tc>
          <w:tcPr>
            <w:tcW w:w="1250" w:type="pct"/>
            <w:vAlign w:val="center"/>
          </w:tcPr>
          <w:p w:rsidR="00AD65CC" w:rsidRPr="00AB200C" w:rsidRDefault="000A5A2B" w:rsidP="00AB200C">
            <w:pPr>
              <w:spacing w:line="240" w:lineRule="auto"/>
              <w:rPr>
                <w:color w:val="000000"/>
                <w:sz w:val="18"/>
              </w:rPr>
            </w:pPr>
            <w:r w:rsidRPr="00AB200C">
              <w:rPr>
                <w:sz w:val="18"/>
                <w:szCs w:val="17"/>
              </w:rPr>
              <w:t>Interpretation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Groundwater depth affects liquefaction probability</w:t>
            </w:r>
          </w:p>
        </w:tc>
        <w:tc>
          <w:tcPr>
            <w:tcW w:w="1250" w:type="pct"/>
            <w:vAlign w:val="center"/>
          </w:tcPr>
          <w:p w:rsidR="00497881" w:rsidRPr="00AB200C" w:rsidRDefault="00B513B6" w:rsidP="00AB200C">
            <w:pPr>
              <w:spacing w:line="240" w:lineRule="auto"/>
              <w:rPr>
                <w:sz w:val="18"/>
              </w:rPr>
            </w:pPr>
            <w:r w:rsidRPr="00AB200C">
              <w:rPr>
                <w:sz w:val="18"/>
                <w:szCs w:val="17"/>
                <w:lang w:val="es-PA"/>
              </w:rPr>
              <w:t xml:space="preserve">Holzer et al. (2011); Cruz et al. </w:t>
            </w:r>
            <w:r w:rsidRPr="00AB200C">
              <w:rPr>
                <w:sz w:val="18"/>
                <w:szCs w:val="17"/>
              </w:rPr>
              <w:t>(2024)</w:t>
            </w:r>
          </w:p>
        </w:tc>
        <w:tc>
          <w:tcPr>
            <w:tcW w:w="1250" w:type="pct"/>
            <w:vAlign w:val="center"/>
          </w:tcPr>
          <w:p w:rsidR="00AD65CC" w:rsidRPr="00AB200C" w:rsidRDefault="000A5A2B" w:rsidP="00AB200C">
            <w:pPr>
              <w:spacing w:line="240" w:lineRule="auto"/>
              <w:rPr>
                <w:color w:val="000000"/>
                <w:sz w:val="18"/>
              </w:rPr>
            </w:pPr>
            <w:r w:rsidRPr="00AB200C">
              <w:rPr>
                <w:sz w:val="18"/>
                <w:szCs w:val="17"/>
              </w:rPr>
              <w:t>Stationary, rising, seasonal and extreme zw(t) paths</w:t>
            </w:r>
          </w:p>
        </w:tc>
        <w:tc>
          <w:tcPr>
            <w:tcW w:w="1250" w:type="pct"/>
            <w:vAlign w:val="center"/>
          </w:tcPr>
          <w:p w:rsidR="00497881" w:rsidRPr="00AB200C" w:rsidRDefault="00B513B6" w:rsidP="00AB200C">
            <w:pPr>
              <w:spacing w:line="240" w:lineRule="auto"/>
              <w:rPr>
                <w:sz w:val="18"/>
              </w:rPr>
            </w:pPr>
            <w:r w:rsidRPr="00AB200C">
              <w:rPr>
                <w:sz w:val="18"/>
                <w:szCs w:val="17"/>
              </w:rPr>
              <w:t>Supports treating groundwater as a non-stationary state variable, without implying site calibration</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Fines content changes triggering assessment</w:t>
            </w:r>
          </w:p>
        </w:tc>
        <w:tc>
          <w:tcPr>
            <w:tcW w:w="1250" w:type="pct"/>
            <w:vAlign w:val="center"/>
          </w:tcPr>
          <w:p w:rsidR="00497881" w:rsidRPr="00AB200C" w:rsidRDefault="00B513B6" w:rsidP="00AB200C">
            <w:pPr>
              <w:spacing w:line="240" w:lineRule="auto"/>
              <w:rPr>
                <w:sz w:val="18"/>
              </w:rPr>
            </w:pPr>
            <w:r w:rsidRPr="00AB200C">
              <w:rPr>
                <w:sz w:val="18"/>
                <w:szCs w:val="17"/>
              </w:rPr>
              <w:t>Lee et al. (2020); Yang and Wei (2024)</w:t>
            </w:r>
          </w:p>
        </w:tc>
        <w:tc>
          <w:tcPr>
            <w:tcW w:w="1250" w:type="pct"/>
            <w:vAlign w:val="center"/>
          </w:tcPr>
          <w:p w:rsidR="00AD65CC" w:rsidRPr="00AB200C" w:rsidRDefault="000A5A2B" w:rsidP="00AB200C">
            <w:pPr>
              <w:spacing w:line="240" w:lineRule="auto"/>
              <w:rPr>
                <w:color w:val="000000"/>
                <w:sz w:val="18"/>
              </w:rPr>
            </w:pPr>
            <w:r w:rsidRPr="00AB200C">
              <w:rPr>
                <w:sz w:val="18"/>
                <w:szCs w:val="17"/>
              </w:rPr>
              <w:t>Constant, fines accumulation and fines washout scenarios</w:t>
            </w:r>
          </w:p>
        </w:tc>
        <w:tc>
          <w:tcPr>
            <w:tcW w:w="1250" w:type="pct"/>
            <w:vAlign w:val="center"/>
          </w:tcPr>
          <w:p w:rsidR="00497881" w:rsidRPr="00AB200C" w:rsidRDefault="00B513B6" w:rsidP="00AB200C">
            <w:pPr>
              <w:spacing w:line="240" w:lineRule="auto"/>
              <w:rPr>
                <w:sz w:val="18"/>
              </w:rPr>
            </w:pPr>
            <w:r w:rsidRPr="00AB200C">
              <w:rPr>
                <w:sz w:val="18"/>
                <w:szCs w:val="17"/>
              </w:rPr>
              <w:t>Supports gradation sensitivity, while preserving site-calibration caution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Probabilistic screening propagates subsurface uncertainty</w:t>
            </w:r>
          </w:p>
        </w:tc>
        <w:tc>
          <w:tcPr>
            <w:tcW w:w="1250" w:type="pct"/>
            <w:vAlign w:val="center"/>
          </w:tcPr>
          <w:p w:rsidR="00497881" w:rsidRPr="00AB200C" w:rsidRDefault="00B513B6" w:rsidP="00AB200C">
            <w:pPr>
              <w:spacing w:line="240" w:lineRule="auto"/>
              <w:rPr>
                <w:sz w:val="18"/>
              </w:rPr>
            </w:pPr>
            <w:r w:rsidRPr="00AB200C">
              <w:rPr>
                <w:sz w:val="18"/>
                <w:szCs w:val="17"/>
              </w:rPr>
              <w:t>Greenfield et al. (2024); USGS (2025)</w:t>
            </w:r>
          </w:p>
        </w:tc>
        <w:tc>
          <w:tcPr>
            <w:tcW w:w="1250" w:type="pct"/>
            <w:vAlign w:val="center"/>
          </w:tcPr>
          <w:p w:rsidR="00AD65CC" w:rsidRPr="00AB200C" w:rsidRDefault="000A5A2B" w:rsidP="00AB200C">
            <w:pPr>
              <w:spacing w:line="240" w:lineRule="auto"/>
              <w:rPr>
                <w:color w:val="000000"/>
                <w:sz w:val="18"/>
              </w:rPr>
            </w:pPr>
            <w:r w:rsidRPr="00AB200C">
              <w:rPr>
                <w:sz w:val="18"/>
                <w:szCs w:val="17"/>
              </w:rPr>
              <w:t>Monte Carlo layer-time-scenario estimates with confidence intervals</w:t>
            </w:r>
          </w:p>
        </w:tc>
        <w:tc>
          <w:tcPr>
            <w:tcW w:w="1250" w:type="pct"/>
            <w:vAlign w:val="center"/>
          </w:tcPr>
          <w:p w:rsidR="00497881" w:rsidRPr="00AB200C" w:rsidRDefault="00B513B6" w:rsidP="00AB200C">
            <w:pPr>
              <w:spacing w:line="240" w:lineRule="auto"/>
              <w:rPr>
                <w:sz w:val="18"/>
              </w:rPr>
            </w:pPr>
            <w:r w:rsidRPr="00AB200C">
              <w:rPr>
                <w:sz w:val="18"/>
                <w:szCs w:val="17"/>
              </w:rPr>
              <w:t>Supports reporting Pf(t), confidence intervals and profile-level diagnostics as screening outputs</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Infrastructure decisions require horizon-aware metrics</w:t>
            </w:r>
          </w:p>
        </w:tc>
        <w:tc>
          <w:tcPr>
            <w:tcW w:w="1250" w:type="pct"/>
            <w:vAlign w:val="center"/>
          </w:tcPr>
          <w:p w:rsidR="00AD65CC" w:rsidRPr="00AB200C" w:rsidRDefault="000A5A2B" w:rsidP="00AB200C">
            <w:pPr>
              <w:spacing w:line="240" w:lineRule="auto"/>
              <w:rPr>
                <w:color w:val="000000"/>
                <w:sz w:val="18"/>
              </w:rPr>
            </w:pPr>
            <w:r w:rsidRPr="00AB200C">
              <w:rPr>
                <w:sz w:val="18"/>
                <w:szCs w:val="17"/>
              </w:rPr>
              <w:t>Kramer and Mayfield (2007); Phoon and Ching (2015)</w:t>
            </w:r>
          </w:p>
        </w:tc>
        <w:tc>
          <w:tcPr>
            <w:tcW w:w="1250" w:type="pct"/>
            <w:vAlign w:val="center"/>
          </w:tcPr>
          <w:p w:rsidR="00AD65CC" w:rsidRPr="00AB200C" w:rsidRDefault="000A5A2B" w:rsidP="00AB200C">
            <w:pPr>
              <w:spacing w:line="240" w:lineRule="auto"/>
              <w:rPr>
                <w:color w:val="000000"/>
                <w:sz w:val="18"/>
              </w:rPr>
            </w:pPr>
            <w:r w:rsidRPr="00AB200C">
              <w:rPr>
                <w:sz w:val="18"/>
                <w:szCs w:val="17"/>
              </w:rPr>
              <w:t>Maximum, mean and final-horizon probabilities</w:t>
            </w:r>
          </w:p>
        </w:tc>
        <w:tc>
          <w:tcPr>
            <w:tcW w:w="1250" w:type="pct"/>
            <w:vAlign w:val="center"/>
          </w:tcPr>
          <w:p w:rsidR="00AD65CC" w:rsidRPr="00AB200C" w:rsidRDefault="000A5A2B" w:rsidP="00AB200C">
            <w:pPr>
              <w:spacing w:line="240" w:lineRule="auto"/>
              <w:rPr>
                <w:color w:val="000000"/>
                <w:sz w:val="18"/>
              </w:rPr>
            </w:pPr>
            <w:r w:rsidRPr="00AB200C">
              <w:rPr>
                <w:sz w:val="18"/>
                <w:szCs w:val="17"/>
              </w:rPr>
              <w:t>Connects benchmark outputs to risk prioritisation</w:t>
            </w:r>
          </w:p>
        </w:tc>
      </w:tr>
    </w:tbl>
    <w:p w:rsidR="00AD65CC" w:rsidRPr="00F436BC" w:rsidRDefault="000A5A2B" w:rsidP="00F436BC">
      <w:pPr>
        <w:pStyle w:val="Heading2"/>
        <w:rPr>
          <w:rFonts w:ascii="Arial" w:hAnsi="Arial"/>
        </w:rPr>
      </w:pPr>
      <w:r w:rsidRPr="00F436BC">
        <w:t>5.2 Global sensitivity and artefact control</w:t>
      </w:r>
    </w:p>
    <w:p w:rsidR="00AD65CC" w:rsidRDefault="000A5A2B">
      <w:pPr>
        <w:pStyle w:val="Paragraph"/>
      </w:pPr>
      <w: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rsidP="00F31386">
      <w:pPr>
        <w:pStyle w:val="Figurecaption"/>
        <w:spacing w:line="480" w:lineRule="auto"/>
      </w:pPr>
      <w:r>
        <w:t>Fig. 4 reports absolute Spearman rank correlations between Pf and the main benchmark variables. The strongest association is the deterministic factor-of-safety companion metric, followed by CRR, corrected penetration resistance, fines content and depth. This pattern is technically plausible: the probability output is controlled primarily by resistance margin and layer susceptibility, while groundwater depth enters through CSR and effective stress. Therefore, the high Pf values are not disconnected from the mechanics of the model; they occur where the deterministic margin, corrected resistance and shallow susceptible layers jointly place the simulated states near or beyond the limit-state boundary.</w:t>
      </w:r>
    </w:p>
    <w:p w:rsidR="00AD65CC" w:rsidRDefault="000A5A2B">
      <w:pPr>
        <w:jc w:val="center"/>
      </w:pPr>
      <w:r>
        <w:rPr>
          <w:noProof/>
          <w:lang w:val="es-PA" w:eastAsia="es-PA"/>
        </w:rPr>
        <w:drawing>
          <wp:inline distT="0" distB="0" distL="0" distR="0">
            <wp:extent cx="5400040" cy="3305251"/>
            <wp:effectExtent l="0" t="0" r="0" b="0"/>
            <wp:docPr id="4" name="Figure 4" descr="Rank-correlation sensitivity chart showing that liquefaction probability is most strongly associated with deterministic factor of safety, cyclic resistance ratio, corrected penetration resistance, fines content and layer dep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global_sensitivity_rank.png"/>
                    <pic:cNvPicPr/>
                  </pic:nvPicPr>
                  <pic:blipFill>
                    <a:blip r:embed="rId9"/>
                    <a:stretch>
                      <a:fillRect/>
                    </a:stretch>
                  </pic:blipFill>
                  <pic:spPr>
                    <a:xfrm>
                      <a:off x="0" y="0"/>
                      <a:ext cx="5400040" cy="3305251"/>
                    </a:xfrm>
                    <a:prstGeom prst="rect">
                      <a:avLst/>
                    </a:prstGeom>
                  </pic:spPr>
                </pic:pic>
              </a:graphicData>
            </a:graphic>
          </wp:inline>
        </w:drawing>
      </w:r>
    </w:p>
    <w:p w:rsidR="00AD65CC" w:rsidRPr="008F6A0C" w:rsidRDefault="000A5A2B">
      <w:pPr>
        <w:pStyle w:val="Figurecaption"/>
        <w:rPr>
          <w:b/>
          <w:color w:val="000000"/>
        </w:rPr>
      </w:pPr>
      <w:r>
        <w:t>Fig. 4 Rank-correlation sensitivity check for non-stationary liquefaction probability.</w:t>
      </w:r>
    </w:p>
    <w:p w:rsidR="00AD65CC" w:rsidRDefault="000A5A2B">
      <w:pPr>
        <w:pStyle w:val="Paragraph"/>
      </w:pPr>
      <w:r>
        <w:t>Table 10 complements Figure 4 by reporting the numerical correlation values. The low direct rank association of groundwater depth should not be misread as groundwater being unimportant. In this benchmark, groundwater influence is partially mediated through CSR and through the scenario structure; depth, corrected resistance and fines content also vary strongly across layers. The sensitivity check therefore supports a nuanced interpretation: groundwater scenarios trigger temporal changes, while layer susceptibility controls where those changes become severe.</w:t>
      </w:r>
    </w:p>
    <w:p w:rsidR="00AD65CC" w:rsidRPr="008F6A0C" w:rsidRDefault="000A5A2B">
      <w:pPr>
        <w:pStyle w:val="Tabletitle"/>
        <w:rPr>
          <w:b/>
          <w:color w:val="000000"/>
        </w:rPr>
      </w:pPr>
      <w:r w:rsidRPr="008F6A0C">
        <w:t>Table 10. Global sensitivity rank for non-stationary liquefaction probability.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2126"/>
        <w:gridCol w:w="2126"/>
        <w:gridCol w:w="2126"/>
        <w:gridCol w:w="2126"/>
      </w:tblGrid>
      <w:tr w:rsidR="00AD65CC"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Variable</w:t>
            </w:r>
          </w:p>
        </w:tc>
        <w:tc>
          <w:tcPr>
            <w:tcW w:w="1250" w:type="pct"/>
            <w:vAlign w:val="center"/>
          </w:tcPr>
          <w:p w:rsidR="00AD65CC" w:rsidRPr="00AB200C" w:rsidRDefault="000A5A2B" w:rsidP="00AB200C">
            <w:pPr>
              <w:spacing w:line="240" w:lineRule="auto"/>
              <w:rPr>
                <w:color w:val="000000"/>
                <w:sz w:val="18"/>
              </w:rPr>
            </w:pPr>
            <w:r w:rsidRPr="00AB200C">
              <w:rPr>
                <w:sz w:val="18"/>
                <w:szCs w:val="17"/>
              </w:rPr>
              <w:t>Pearson with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Spearman with Pf</w:t>
            </w:r>
          </w:p>
        </w:tc>
        <w:tc>
          <w:tcPr>
            <w:tcW w:w="1250" w:type="pct"/>
            <w:vAlign w:val="center"/>
          </w:tcPr>
          <w:p w:rsidR="00AD65CC" w:rsidRPr="00AB200C" w:rsidRDefault="000A5A2B" w:rsidP="00AB200C">
            <w:pPr>
              <w:spacing w:line="240" w:lineRule="auto"/>
              <w:rPr>
                <w:color w:val="000000"/>
                <w:sz w:val="18"/>
              </w:rPr>
            </w:pPr>
            <w:r w:rsidRPr="00AB200C">
              <w:rPr>
                <w:sz w:val="18"/>
                <w:szCs w:val="17"/>
              </w:rPr>
              <w:t>Absolute Spearman</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497881" w:rsidRPr="00AB200C" w:rsidRDefault="00B513B6" w:rsidP="00AB200C">
            <w:pPr>
              <w:spacing w:line="240" w:lineRule="auto"/>
              <w:rPr>
                <w:sz w:val="18"/>
              </w:rPr>
            </w:pPr>
            <w:r w:rsidRPr="00AB200C">
              <w:rPr>
                <w:sz w:val="18"/>
                <w:szCs w:val="17"/>
              </w:rPr>
              <w:t>deterministic FS</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-0.967</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-0.998</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0.998</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crr</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-0.955</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0.950</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n1_60cs</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-0.959</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-0.947</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0.947</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fc_pct</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-0.946</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-0.944</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0.944</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z_mid_m</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-0.950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-0.941</w:t>
            </w:r>
          </w:p>
        </w:tc>
        <w:tc>
          <w:tcPr>
            <w:tcW w:w="1250" w:type="pct"/>
            <w:vAlign w:val="center"/>
          </w:tcPr>
          <w:p w:rsidR="00AD65CC" w:rsidRPr="00AB200C" w:rsidRDefault="000A5A2B" w:rsidP="00AB200C">
            <w:pPr>
              <w:spacing w:line="240" w:lineRule="auto"/>
              <w:rPr>
                <w:color w:val="000000"/>
                <w:sz w:val="18"/>
              </w:rPr>
            </w:pPr>
            <w:r w:rsidRPr="00AB200C">
              <w:rPr>
                <w:sz w:val="18"/>
                <w:szCs w:val="17"/>
              </w:rPr>
              <w:t>0.941</w:t>
            </w:r>
          </w:p>
        </w:tc>
      </w:tr>
      <w:tr w:rsidR="00AD65CC" w:rsidRPr="00380D34" w:rsidTr="00AB200C">
        <w:trPr>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csr</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-0.580</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-0.543</w:t>
            </w:r>
          </w:p>
        </w:tc>
        <w:tc>
          <w:tcPr>
            <w:tcW w:w="1250" w:type="pct"/>
            <w:vAlign w:val="center"/>
          </w:tcPr>
          <w:p w:rsidR="00AD65CC" w:rsidRPr="00AB200C" w:rsidRDefault="000A5A2B" w:rsidP="00AB200C">
            <w:pPr>
              <w:spacing w:line="240" w:lineRule="auto"/>
              <w:rPr>
                <w:color w:val="000000"/>
                <w:sz w:val="18"/>
              </w:rPr>
            </w:pPr>
            <w:r w:rsidRPr="00AB200C">
              <w:rPr>
                <w:sz w:val="18"/>
                <w:szCs w:val="17"/>
              </w:rPr>
              <w:t>0.543</w:t>
            </w:r>
          </w:p>
        </w:tc>
      </w:tr>
      <w:tr w:rsidR="00AD65CC"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AD65CC" w:rsidRPr="00AB200C" w:rsidRDefault="000A5A2B" w:rsidP="00AB200C">
            <w:pPr>
              <w:spacing w:line="240" w:lineRule="auto"/>
              <w:rPr>
                <w:color w:val="000000"/>
                <w:sz w:val="18"/>
              </w:rPr>
            </w:pPr>
            <w:r w:rsidRPr="00AB200C">
              <w:rPr>
                <w:sz w:val="18"/>
                <w:szCs w:val="17"/>
              </w:rPr>
              <w:t>gw_depth_m</w:t>
            </w:r>
          </w:p>
        </w:tc>
        <w:tc>
          <w:tcPr>
            <w:tcW w:w="1250" w:type="pct"/>
            <w:vAlign w:val="center"/>
          </w:tcPr>
          <w:p w:rsidR="00AD65CC" w:rsidRPr="00AB200C" w:rsidRDefault="000A5A2B" w:rsidP="00AB200C">
            <w:pPr>
              <w:spacing w:line="240" w:lineRule="auto"/>
              <w:rPr>
                <w:color w:val="000000"/>
                <w:sz w:val="18"/>
              </w:rPr>
            </w:pPr>
            <w:r w:rsidRPr="00AB200C">
              <w:rPr>
                <w:sz w:val="18"/>
                <w:szCs w:val="17"/>
              </w:rPr>
              <w:t>-0.226</w:t>
            </w:r>
          </w:p>
        </w:tc>
        <w:tc>
          <w:tcPr>
            <w:tcW w:w="1250" w:type="pct"/>
            <w:vAlign w:val="center"/>
          </w:tcPr>
          <w:p w:rsidR="00AD65CC" w:rsidRPr="00AB200C" w:rsidRDefault="000A5A2B" w:rsidP="00AB200C">
            <w:pPr>
              <w:spacing w:line="240" w:lineRule="auto"/>
              <w:rPr>
                <w:color w:val="000000"/>
                <w:sz w:val="18"/>
              </w:rPr>
            </w:pPr>
            <w:r w:rsidRPr="00AB200C">
              <w:rPr>
                <w:sz w:val="18"/>
                <w:szCs w:val="17"/>
              </w:rPr>
              <w:t>-0.246</w:t>
            </w:r>
          </w:p>
        </w:tc>
        <w:tc>
          <w:tcPr>
            <w:tcW w:w="1250" w:type="pct"/>
            <w:vAlign w:val="center"/>
          </w:tcPr>
          <w:p w:rsidR="00AD65CC" w:rsidRPr="00AB200C" w:rsidRDefault="000A5A2B" w:rsidP="00AB200C">
            <w:pPr>
              <w:spacing w:line="240" w:lineRule="auto"/>
              <w:rPr>
                <w:color w:val="000000"/>
                <w:sz w:val="18"/>
              </w:rPr>
            </w:pPr>
            <w:r w:rsidRPr="00AB200C">
              <w:rPr>
                <w:sz w:val="18"/>
                <w:szCs w:val="17"/>
              </w:rPr>
              <w:t>0.246</w:t>
            </w:r>
          </w:p>
        </w:tc>
      </w:tr>
    </w:tbl>
    <w:p w:rsidR="00AD65CC" w:rsidRDefault="000A5A2B">
      <w:pPr>
        <w:pStyle w:val="Paragraph"/>
      </w:pPr>
      <w: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rPr>
      </w:pPr>
      <w:r w:rsidRPr="00F436BC">
        <w:t>5.3 External case-history sanity check</w:t>
      </w:r>
    </w:p>
    <w:p w:rsidR="000A5A2B" w:rsidRDefault="000A5A2B" w:rsidP="000A5A2B">
      <w:pPr>
        <w:pStyle w:val="Paragraph"/>
      </w:pPr>
      <w:r>
        <w:t>Because the benchmark is synthetic, an external trend-consistency check was added using the open case-history dataset of Hu et al. [16], which compiles 234 gravelly-soil liquefaction and non-liquefaction cases from 17 earthquakes. The check is deliberately modest: it does not calibrate the proposed benchmark to a field site, and it does not claim that gravelly-soil behaviour is identical to the synthetic sand-profile example. Instead, it tests whether demand, resistance and groundwater indicators rank historical liquefied cases above non-liquefied cases in the expected direction. The external case-history analysis is therefore used only as an independent trend-consistency and discrimination check. It is not intended as site-specific calibration, nor as formal evidence for a new liquefaction triggering model.</w:t>
      </w:r>
    </w:p>
    <w:p w:rsidR="000A5A2B" w:rsidRDefault="000A5A2B" w:rsidP="00863D76">
      <w:pPr>
        <w:pStyle w:val="Figurecaption"/>
        <w:spacing w:line="480" w:lineRule="auto"/>
      </w:pPr>
      <w:r>
        <w:t>Fig. 5 reports the rank-discrimination performance of the external sanity check. A combined demand-resistance-groundwater score achieved an AUC of 0.811, while the Vs-based and DPT-based scores achieved AUC values of 0.796 and 0.778, respectively. These values are not presented as a new prediction model. They show that the same classes of variables used in the non-stationary benchmark demand, resistance and groundwater position have a directionally consistent relationship in an independent published case-history dataset.</w:t>
      </w:r>
    </w:p>
    <w:p w:rsidR="000A5A2B" w:rsidRDefault="000A5A2B" w:rsidP="000A5A2B"/>
    <w:p w:rsidR="00497881" w:rsidRDefault="00B513B6">
      <w:r>
        <w:rPr>
          <w:noProof/>
          <w:lang w:val="es-PA" w:eastAsia="es-PA"/>
        </w:rPr>
        <w:drawing>
          <wp:inline distT="0" distB="0" distL="0" distR="0">
            <wp:extent cx="5400040" cy="3305251"/>
            <wp:effectExtent l="0" t="0" r="0" b="0"/>
            <wp:docPr id="5" name="Figure 5" descr="External case-history discrimination chart comparing combined, DPT-based, Vs-based, demand-only and groundwater-only screening scores using the Hu et al. liquefaction datase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png"/>
                    <pic:cNvPicPr/>
                  </pic:nvPicPr>
                  <pic:blipFill>
                    <a:blip r:embed="rId10"/>
                    <a:stretch>
                      <a:fillRect/>
                    </a:stretch>
                  </pic:blipFill>
                  <pic:spPr>
                    <a:xfrm>
                      <a:off x="0" y="0"/>
                      <a:ext cx="5400040" cy="3305251"/>
                    </a:xfrm>
                    <a:prstGeom prst="rect">
                      <a:avLst/>
                    </a:prstGeom>
                  </pic:spPr>
                </pic:pic>
              </a:graphicData>
            </a:graphic>
          </wp:inline>
        </w:drawing>
      </w:r>
    </w:p>
    <w:p w:rsidR="000A5A2B" w:rsidRDefault="000A5A2B" w:rsidP="000A5A2B">
      <w:pPr>
        <w:pStyle w:val="Figurecaption"/>
      </w:pPr>
      <w:r>
        <w:t>Fig. 5 External case-history sanity check using the Hu et al. [16] gravelly-soil liquefaction dataset.</w:t>
      </w:r>
    </w:p>
    <w:p w:rsidR="000A5A2B" w:rsidRDefault="000A5A2B" w:rsidP="000A5A2B">
      <w:pPr>
        <w:pStyle w:val="Paragraph"/>
      </w:pPr>
      <w:r>
        <w:t>Table 11 reports the numerical summary of the same external check. Liquefied cases have higher mean and median screening scores than non-liquefied cases for the combined, DPT-based and Vs-based indices. The demand-only and groundwater-only components are weaker on their own, which is expected because liquefaction triggering is not controlled by a single variable. This result supports the interpretation that the external comparison is an auditable secondary check supplied with the code and CSV outputs.</w:t>
      </w:r>
    </w:p>
    <w:p w:rsidR="000A5A2B" w:rsidRPr="008F6A0C" w:rsidRDefault="000A5A2B" w:rsidP="000A5A2B">
      <w:pPr>
        <w:pStyle w:val="Tabletitle"/>
        <w:rPr>
          <w:b/>
          <w:color w:val="000000"/>
        </w:rPr>
      </w:pPr>
      <w:r w:rsidRPr="008F6A0C">
        <w:t>Table 11. External case-history sanity-check summary.</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982"/>
        <w:gridCol w:w="499"/>
        <w:gridCol w:w="521"/>
        <w:gridCol w:w="947"/>
        <w:gridCol w:w="1068"/>
        <w:gridCol w:w="1543"/>
        <w:gridCol w:w="1264"/>
        <w:gridCol w:w="680"/>
      </w:tblGrid>
      <w:tr w:rsidR="00755DA9"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1165" w:type="pct"/>
            <w:vAlign w:val="center"/>
          </w:tcPr>
          <w:p w:rsidR="004457B8" w:rsidRPr="00AB200C" w:rsidRDefault="00554E27" w:rsidP="00AB200C">
            <w:pPr>
              <w:spacing w:line="240" w:lineRule="auto"/>
              <w:rPr>
                <w:sz w:val="18"/>
              </w:rPr>
            </w:pPr>
            <w:r w:rsidRPr="00AB200C">
              <w:rPr>
                <w:sz w:val="18"/>
                <w:szCs w:val="17"/>
              </w:rPr>
              <w:t>Check</w:t>
            </w:r>
          </w:p>
        </w:tc>
        <w:tc>
          <w:tcPr>
            <w:tcW w:w="293" w:type="pct"/>
            <w:vAlign w:val="center"/>
          </w:tcPr>
          <w:p w:rsidR="00755DA9" w:rsidRPr="00AB200C" w:rsidRDefault="00755DA9" w:rsidP="00AB200C">
            <w:pPr>
              <w:spacing w:line="240" w:lineRule="auto"/>
              <w:rPr>
                <w:sz w:val="18"/>
              </w:rPr>
            </w:pPr>
            <w:r w:rsidRPr="00AB200C">
              <w:rPr>
                <w:sz w:val="18"/>
                <w:szCs w:val="17"/>
              </w:rPr>
              <w:t>n</w:t>
            </w:r>
          </w:p>
        </w:tc>
        <w:tc>
          <w:tcPr>
            <w:tcW w:w="306" w:type="pct"/>
            <w:vAlign w:val="center"/>
          </w:tcPr>
          <w:p w:rsidR="00755DA9" w:rsidRPr="00AB200C" w:rsidRDefault="00755DA9" w:rsidP="00AB200C">
            <w:pPr>
              <w:spacing w:line="240" w:lineRule="auto"/>
              <w:rPr>
                <w:sz w:val="18"/>
              </w:rPr>
            </w:pPr>
            <w:r w:rsidRPr="00AB200C">
              <w:rPr>
                <w:sz w:val="18"/>
                <w:szCs w:val="17"/>
              </w:rPr>
              <w:t>Liq.</w:t>
            </w:r>
          </w:p>
        </w:tc>
        <w:tc>
          <w:tcPr>
            <w:tcW w:w="557" w:type="pct"/>
            <w:vAlign w:val="center"/>
          </w:tcPr>
          <w:p w:rsidR="00755DA9" w:rsidRPr="00AB200C" w:rsidRDefault="00755DA9" w:rsidP="00AB200C">
            <w:pPr>
              <w:spacing w:line="240" w:lineRule="auto"/>
              <w:rPr>
                <w:sz w:val="18"/>
              </w:rPr>
            </w:pPr>
            <w:r w:rsidRPr="00AB200C">
              <w:rPr>
                <w:sz w:val="18"/>
                <w:szCs w:val="17"/>
              </w:rPr>
              <w:t>Non-liq.</w:t>
            </w:r>
          </w:p>
        </w:tc>
        <w:tc>
          <w:tcPr>
            <w:tcW w:w="628" w:type="pct"/>
            <w:vAlign w:val="center"/>
          </w:tcPr>
          <w:p w:rsidR="00755DA9" w:rsidRPr="00AB200C" w:rsidRDefault="00755DA9" w:rsidP="00AB200C">
            <w:pPr>
              <w:spacing w:line="240" w:lineRule="auto"/>
              <w:rPr>
                <w:sz w:val="18"/>
              </w:rPr>
            </w:pPr>
            <w:r w:rsidRPr="00AB200C">
              <w:rPr>
                <w:sz w:val="18"/>
                <w:szCs w:val="17"/>
              </w:rPr>
              <w:t>Mean liq.</w:t>
            </w:r>
          </w:p>
        </w:tc>
        <w:tc>
          <w:tcPr>
            <w:tcW w:w="907" w:type="pct"/>
            <w:vAlign w:val="center"/>
          </w:tcPr>
          <w:p w:rsidR="00755DA9" w:rsidRPr="00AB200C" w:rsidRDefault="00755DA9" w:rsidP="00AB200C">
            <w:pPr>
              <w:spacing w:line="240" w:lineRule="auto"/>
              <w:rPr>
                <w:sz w:val="18"/>
              </w:rPr>
            </w:pPr>
            <w:r w:rsidRPr="00AB200C">
              <w:rPr>
                <w:sz w:val="18"/>
                <w:szCs w:val="17"/>
              </w:rPr>
              <w:t>Mean non-liq.</w:t>
            </w:r>
          </w:p>
        </w:tc>
        <w:tc>
          <w:tcPr>
            <w:tcW w:w="743" w:type="pct"/>
            <w:vAlign w:val="center"/>
          </w:tcPr>
          <w:p w:rsidR="00755DA9" w:rsidRPr="00AB200C" w:rsidRDefault="00755DA9" w:rsidP="00AB200C">
            <w:pPr>
              <w:spacing w:line="240" w:lineRule="auto"/>
              <w:rPr>
                <w:sz w:val="18"/>
              </w:rPr>
            </w:pPr>
            <w:r w:rsidRPr="00AB200C">
              <w:rPr>
                <w:sz w:val="18"/>
                <w:szCs w:val="17"/>
              </w:rPr>
              <w:t>Median liq.</w:t>
            </w:r>
          </w:p>
        </w:tc>
        <w:tc>
          <w:tcPr>
            <w:tcW w:w="400" w:type="pct"/>
            <w:vAlign w:val="center"/>
          </w:tcPr>
          <w:p w:rsidR="00755DA9" w:rsidRPr="00AB200C" w:rsidRDefault="00755DA9" w:rsidP="00AB200C">
            <w:pPr>
              <w:spacing w:line="240" w:lineRule="auto"/>
              <w:rPr>
                <w:sz w:val="18"/>
              </w:rPr>
            </w:pPr>
            <w:r w:rsidRPr="00AB200C">
              <w:rPr>
                <w:sz w:val="18"/>
                <w:szCs w:val="17"/>
              </w:rPr>
              <w:t>AUC</w:t>
            </w:r>
          </w:p>
        </w:tc>
      </w:tr>
      <w:tr w:rsidR="00755DA9"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AB200C" w:rsidRDefault="00755DA9" w:rsidP="00AB200C">
            <w:pPr>
              <w:spacing w:line="240" w:lineRule="auto"/>
              <w:rPr>
                <w:sz w:val="18"/>
              </w:rPr>
            </w:pPr>
            <w:r w:rsidRPr="00AB200C">
              <w:rPr>
                <w:sz w:val="18"/>
                <w:szCs w:val="17"/>
              </w:rPr>
              <w:t>Combined score</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0.250</w:t>
            </w:r>
          </w:p>
        </w:tc>
        <w:tc>
          <w:tcPr>
            <w:tcW w:w="907" w:type="pct"/>
            <w:vAlign w:val="center"/>
          </w:tcPr>
          <w:p w:rsidR="00755DA9" w:rsidRPr="00AB200C" w:rsidRDefault="00755DA9" w:rsidP="00AB200C">
            <w:pPr>
              <w:spacing w:line="240" w:lineRule="auto"/>
              <w:rPr>
                <w:sz w:val="18"/>
              </w:rPr>
            </w:pPr>
            <w:r w:rsidRPr="00AB200C">
              <w:rPr>
                <w:sz w:val="18"/>
                <w:szCs w:val="17"/>
              </w:rPr>
              <w:t>-0.347</w:t>
            </w:r>
          </w:p>
        </w:tc>
        <w:tc>
          <w:tcPr>
            <w:tcW w:w="743" w:type="pct"/>
            <w:vAlign w:val="center"/>
          </w:tcPr>
          <w:p w:rsidR="00755DA9" w:rsidRPr="00AB200C" w:rsidRDefault="00755DA9" w:rsidP="00AB200C">
            <w:pPr>
              <w:spacing w:line="240" w:lineRule="auto"/>
              <w:rPr>
                <w:sz w:val="18"/>
              </w:rPr>
            </w:pPr>
            <w:r w:rsidRPr="00AB200C">
              <w:rPr>
                <w:sz w:val="18"/>
                <w:szCs w:val="17"/>
              </w:rPr>
              <w:t>0.243</w:t>
            </w:r>
          </w:p>
        </w:tc>
        <w:tc>
          <w:tcPr>
            <w:tcW w:w="400" w:type="pct"/>
            <w:vAlign w:val="center"/>
          </w:tcPr>
          <w:p w:rsidR="00755DA9" w:rsidRPr="00AB200C" w:rsidRDefault="00755DA9" w:rsidP="00AB200C">
            <w:pPr>
              <w:spacing w:line="240" w:lineRule="auto"/>
              <w:rPr>
                <w:sz w:val="18"/>
              </w:rPr>
            </w:pPr>
            <w:r w:rsidRPr="00AB200C">
              <w:rPr>
                <w:sz w:val="18"/>
                <w:szCs w:val="17"/>
              </w:rPr>
              <w:t>0.811</w:t>
            </w:r>
          </w:p>
        </w:tc>
      </w:tr>
      <w:tr w:rsidR="00755DA9" w:rsidRPr="00380D34" w:rsidTr="00AB200C">
        <w:trPr>
          <w:jc w:val="center"/>
        </w:trPr>
        <w:tc>
          <w:tcPr>
            <w:tcW w:w="1165" w:type="pct"/>
            <w:vAlign w:val="center"/>
          </w:tcPr>
          <w:p w:rsidR="00755DA9" w:rsidRPr="00AB200C" w:rsidRDefault="00755DA9" w:rsidP="00AB200C">
            <w:pPr>
              <w:spacing w:line="240" w:lineRule="auto"/>
              <w:rPr>
                <w:sz w:val="18"/>
              </w:rPr>
            </w:pPr>
            <w:r w:rsidRPr="00AB200C">
              <w:rPr>
                <w:sz w:val="18"/>
                <w:szCs w:val="17"/>
              </w:rPr>
              <w:t>DPT/N120 score</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0.219</w:t>
            </w:r>
          </w:p>
        </w:tc>
        <w:tc>
          <w:tcPr>
            <w:tcW w:w="907" w:type="pct"/>
            <w:vAlign w:val="center"/>
          </w:tcPr>
          <w:p w:rsidR="00755DA9" w:rsidRPr="00AB200C" w:rsidRDefault="00755DA9" w:rsidP="00AB200C">
            <w:pPr>
              <w:spacing w:line="240" w:lineRule="auto"/>
              <w:rPr>
                <w:sz w:val="18"/>
              </w:rPr>
            </w:pPr>
            <w:r w:rsidRPr="00AB200C">
              <w:rPr>
                <w:sz w:val="18"/>
                <w:szCs w:val="17"/>
              </w:rPr>
              <w:t>-0.304</w:t>
            </w:r>
          </w:p>
        </w:tc>
        <w:tc>
          <w:tcPr>
            <w:tcW w:w="743" w:type="pct"/>
            <w:vAlign w:val="center"/>
          </w:tcPr>
          <w:p w:rsidR="00755DA9" w:rsidRPr="00AB200C" w:rsidRDefault="00755DA9" w:rsidP="00AB200C">
            <w:pPr>
              <w:spacing w:line="240" w:lineRule="auto"/>
              <w:rPr>
                <w:sz w:val="18"/>
              </w:rPr>
            </w:pPr>
            <w:r w:rsidRPr="00AB200C">
              <w:rPr>
                <w:sz w:val="18"/>
                <w:szCs w:val="17"/>
              </w:rPr>
              <w:t>0.124</w:t>
            </w:r>
          </w:p>
        </w:tc>
        <w:tc>
          <w:tcPr>
            <w:tcW w:w="400" w:type="pct"/>
            <w:vAlign w:val="center"/>
          </w:tcPr>
          <w:p w:rsidR="00755DA9" w:rsidRPr="00AB200C" w:rsidRDefault="00755DA9" w:rsidP="00AB200C">
            <w:pPr>
              <w:spacing w:line="240" w:lineRule="auto"/>
              <w:rPr>
                <w:sz w:val="18"/>
              </w:rPr>
            </w:pPr>
            <w:r w:rsidRPr="00AB200C">
              <w:rPr>
                <w:sz w:val="18"/>
                <w:szCs w:val="17"/>
              </w:rPr>
              <w:t>0.778</w:t>
            </w:r>
          </w:p>
        </w:tc>
      </w:tr>
      <w:tr w:rsidR="00755DA9"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AB200C" w:rsidRDefault="00755DA9" w:rsidP="00AB200C">
            <w:pPr>
              <w:spacing w:line="240" w:lineRule="auto"/>
              <w:rPr>
                <w:sz w:val="18"/>
              </w:rPr>
            </w:pPr>
            <w:r w:rsidRPr="00AB200C">
              <w:rPr>
                <w:sz w:val="18"/>
                <w:szCs w:val="17"/>
              </w:rPr>
              <w:t>Vs score</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0.237</w:t>
            </w:r>
          </w:p>
        </w:tc>
        <w:tc>
          <w:tcPr>
            <w:tcW w:w="907" w:type="pct"/>
            <w:vAlign w:val="center"/>
          </w:tcPr>
          <w:p w:rsidR="00755DA9" w:rsidRPr="00AB200C" w:rsidRDefault="00755DA9" w:rsidP="00AB200C">
            <w:pPr>
              <w:spacing w:line="240" w:lineRule="auto"/>
              <w:rPr>
                <w:sz w:val="18"/>
              </w:rPr>
            </w:pPr>
            <w:r w:rsidRPr="00AB200C">
              <w:rPr>
                <w:sz w:val="18"/>
                <w:szCs w:val="17"/>
              </w:rPr>
              <w:t>-0.328</w:t>
            </w:r>
          </w:p>
        </w:tc>
        <w:tc>
          <w:tcPr>
            <w:tcW w:w="743" w:type="pct"/>
            <w:vAlign w:val="center"/>
          </w:tcPr>
          <w:p w:rsidR="00755DA9" w:rsidRPr="00AB200C" w:rsidRDefault="00755DA9" w:rsidP="00AB200C">
            <w:pPr>
              <w:spacing w:line="240" w:lineRule="auto"/>
              <w:rPr>
                <w:sz w:val="18"/>
              </w:rPr>
            </w:pPr>
            <w:r w:rsidRPr="00AB200C">
              <w:rPr>
                <w:sz w:val="18"/>
                <w:szCs w:val="17"/>
              </w:rPr>
              <w:t>0.207</w:t>
            </w:r>
          </w:p>
        </w:tc>
        <w:tc>
          <w:tcPr>
            <w:tcW w:w="400" w:type="pct"/>
            <w:vAlign w:val="center"/>
          </w:tcPr>
          <w:p w:rsidR="00755DA9" w:rsidRPr="00AB200C" w:rsidRDefault="00755DA9" w:rsidP="00AB200C">
            <w:pPr>
              <w:spacing w:line="240" w:lineRule="auto"/>
              <w:rPr>
                <w:sz w:val="18"/>
              </w:rPr>
            </w:pPr>
            <w:r w:rsidRPr="00AB200C">
              <w:rPr>
                <w:sz w:val="18"/>
                <w:szCs w:val="17"/>
              </w:rPr>
              <w:t>0.796</w:t>
            </w:r>
          </w:p>
        </w:tc>
      </w:tr>
      <w:tr w:rsidR="00755DA9" w:rsidRPr="00380D34" w:rsidTr="00AB200C">
        <w:trPr>
          <w:jc w:val="center"/>
        </w:trPr>
        <w:tc>
          <w:tcPr>
            <w:tcW w:w="1165" w:type="pct"/>
            <w:vAlign w:val="center"/>
          </w:tcPr>
          <w:p w:rsidR="00755DA9" w:rsidRPr="00AB200C" w:rsidRDefault="00755DA9" w:rsidP="00AB200C">
            <w:pPr>
              <w:spacing w:line="240" w:lineRule="auto"/>
              <w:rPr>
                <w:sz w:val="18"/>
              </w:rPr>
            </w:pPr>
            <w:r w:rsidRPr="00AB200C">
              <w:rPr>
                <w:sz w:val="18"/>
                <w:szCs w:val="17"/>
              </w:rPr>
              <w:t>Demand index</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0.132</w:t>
            </w:r>
          </w:p>
        </w:tc>
        <w:tc>
          <w:tcPr>
            <w:tcW w:w="907" w:type="pct"/>
            <w:vAlign w:val="center"/>
          </w:tcPr>
          <w:p w:rsidR="00755DA9" w:rsidRPr="00AB200C" w:rsidRDefault="00755DA9" w:rsidP="00AB200C">
            <w:pPr>
              <w:spacing w:line="240" w:lineRule="auto"/>
              <w:rPr>
                <w:sz w:val="18"/>
              </w:rPr>
            </w:pPr>
            <w:r w:rsidRPr="00AB200C">
              <w:rPr>
                <w:sz w:val="18"/>
                <w:szCs w:val="17"/>
              </w:rPr>
              <w:t>-0.183</w:t>
            </w:r>
          </w:p>
        </w:tc>
        <w:tc>
          <w:tcPr>
            <w:tcW w:w="743" w:type="pct"/>
            <w:vAlign w:val="center"/>
          </w:tcPr>
          <w:p w:rsidR="00755DA9" w:rsidRPr="00AB200C" w:rsidRDefault="00755DA9" w:rsidP="00AB200C">
            <w:pPr>
              <w:spacing w:line="240" w:lineRule="auto"/>
              <w:rPr>
                <w:sz w:val="18"/>
              </w:rPr>
            </w:pPr>
            <w:r w:rsidRPr="00AB200C">
              <w:rPr>
                <w:sz w:val="18"/>
                <w:szCs w:val="17"/>
              </w:rPr>
              <w:t>-0.095</w:t>
            </w:r>
          </w:p>
        </w:tc>
        <w:tc>
          <w:tcPr>
            <w:tcW w:w="400" w:type="pct"/>
            <w:vAlign w:val="center"/>
          </w:tcPr>
          <w:p w:rsidR="00755DA9" w:rsidRPr="00AB200C" w:rsidRDefault="00755DA9" w:rsidP="00AB200C">
            <w:pPr>
              <w:spacing w:line="240" w:lineRule="auto"/>
              <w:rPr>
                <w:sz w:val="18"/>
              </w:rPr>
            </w:pPr>
            <w:r w:rsidRPr="00AB200C">
              <w:rPr>
                <w:sz w:val="18"/>
                <w:szCs w:val="17"/>
              </w:rPr>
              <w:t>0.605</w:t>
            </w:r>
          </w:p>
        </w:tc>
      </w:tr>
      <w:tr w:rsidR="00755DA9"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1165" w:type="pct"/>
            <w:vAlign w:val="center"/>
          </w:tcPr>
          <w:p w:rsidR="00755DA9" w:rsidRPr="00AB200C" w:rsidRDefault="00755DA9" w:rsidP="00AB200C">
            <w:pPr>
              <w:spacing w:line="240" w:lineRule="auto"/>
              <w:rPr>
                <w:sz w:val="18"/>
              </w:rPr>
            </w:pPr>
            <w:r w:rsidRPr="00AB200C">
              <w:rPr>
                <w:sz w:val="18"/>
                <w:szCs w:val="17"/>
              </w:rPr>
              <w:t>Groundwater index</w:t>
            </w:r>
          </w:p>
        </w:tc>
        <w:tc>
          <w:tcPr>
            <w:tcW w:w="293" w:type="pct"/>
            <w:vAlign w:val="center"/>
          </w:tcPr>
          <w:p w:rsidR="00755DA9" w:rsidRPr="00AB200C" w:rsidRDefault="00755DA9" w:rsidP="00AB200C">
            <w:pPr>
              <w:spacing w:line="240" w:lineRule="auto"/>
              <w:rPr>
                <w:sz w:val="18"/>
              </w:rPr>
            </w:pPr>
            <w:r w:rsidRPr="00AB200C">
              <w:rPr>
                <w:sz w:val="18"/>
                <w:szCs w:val="17"/>
              </w:rPr>
              <w:t>234</w:t>
            </w:r>
          </w:p>
        </w:tc>
        <w:tc>
          <w:tcPr>
            <w:tcW w:w="306" w:type="pct"/>
            <w:vAlign w:val="center"/>
          </w:tcPr>
          <w:p w:rsidR="00755DA9" w:rsidRPr="00AB200C" w:rsidRDefault="00755DA9" w:rsidP="00AB200C">
            <w:pPr>
              <w:spacing w:line="240" w:lineRule="auto"/>
              <w:rPr>
                <w:sz w:val="18"/>
              </w:rPr>
            </w:pPr>
            <w:r w:rsidRPr="00AB200C">
              <w:rPr>
                <w:sz w:val="18"/>
                <w:szCs w:val="17"/>
              </w:rPr>
              <w:t>136</w:t>
            </w:r>
          </w:p>
        </w:tc>
        <w:tc>
          <w:tcPr>
            <w:tcW w:w="557" w:type="pct"/>
            <w:vAlign w:val="center"/>
          </w:tcPr>
          <w:p w:rsidR="00755DA9" w:rsidRPr="00AB200C" w:rsidRDefault="00755DA9" w:rsidP="00AB200C">
            <w:pPr>
              <w:spacing w:line="240" w:lineRule="auto"/>
              <w:rPr>
                <w:sz w:val="18"/>
              </w:rPr>
            </w:pPr>
            <w:r w:rsidRPr="00AB200C">
              <w:rPr>
                <w:sz w:val="18"/>
                <w:szCs w:val="17"/>
              </w:rPr>
              <w:t>98</w:t>
            </w:r>
          </w:p>
        </w:tc>
        <w:tc>
          <w:tcPr>
            <w:tcW w:w="628" w:type="pct"/>
            <w:vAlign w:val="center"/>
          </w:tcPr>
          <w:p w:rsidR="00755DA9" w:rsidRPr="00AB200C" w:rsidRDefault="00755DA9" w:rsidP="00AB200C">
            <w:pPr>
              <w:spacing w:line="240" w:lineRule="auto"/>
              <w:rPr>
                <w:sz w:val="18"/>
              </w:rPr>
            </w:pPr>
            <w:r w:rsidRPr="00AB200C">
              <w:rPr>
                <w:sz w:val="18"/>
                <w:szCs w:val="17"/>
              </w:rPr>
              <w:t>0.243</w:t>
            </w:r>
          </w:p>
        </w:tc>
        <w:tc>
          <w:tcPr>
            <w:tcW w:w="907" w:type="pct"/>
            <w:vAlign w:val="center"/>
          </w:tcPr>
          <w:p w:rsidR="00755DA9" w:rsidRPr="00AB200C" w:rsidRDefault="00755DA9" w:rsidP="00AB200C">
            <w:pPr>
              <w:spacing w:line="240" w:lineRule="auto"/>
              <w:rPr>
                <w:sz w:val="18"/>
              </w:rPr>
            </w:pPr>
            <w:r w:rsidRPr="00AB200C">
              <w:rPr>
                <w:sz w:val="18"/>
                <w:szCs w:val="17"/>
              </w:rPr>
              <w:t>-0.337</w:t>
            </w:r>
          </w:p>
        </w:tc>
        <w:tc>
          <w:tcPr>
            <w:tcW w:w="743" w:type="pct"/>
            <w:vAlign w:val="center"/>
          </w:tcPr>
          <w:p w:rsidR="00755DA9" w:rsidRPr="00AB200C" w:rsidRDefault="00755DA9" w:rsidP="00AB200C">
            <w:pPr>
              <w:spacing w:line="240" w:lineRule="auto"/>
              <w:rPr>
                <w:sz w:val="18"/>
              </w:rPr>
            </w:pPr>
            <w:r w:rsidRPr="00AB200C">
              <w:rPr>
                <w:sz w:val="18"/>
                <w:szCs w:val="17"/>
              </w:rPr>
              <w:t>0.496</w:t>
            </w:r>
          </w:p>
        </w:tc>
        <w:tc>
          <w:tcPr>
            <w:tcW w:w="400" w:type="pct"/>
            <w:vAlign w:val="center"/>
          </w:tcPr>
          <w:p w:rsidR="00755DA9" w:rsidRPr="00AB200C" w:rsidRDefault="00755DA9" w:rsidP="00AB200C">
            <w:pPr>
              <w:spacing w:line="240" w:lineRule="auto"/>
              <w:rPr>
                <w:sz w:val="18"/>
              </w:rPr>
            </w:pPr>
            <w:r w:rsidRPr="00AB200C">
              <w:rPr>
                <w:sz w:val="18"/>
                <w:szCs w:val="17"/>
              </w:rPr>
              <w:t>0.674</w:t>
            </w:r>
          </w:p>
        </w:tc>
      </w:tr>
    </w:tbl>
    <w:p w:rsidR="00731CB2" w:rsidRDefault="00731CB2">
      <w:pPr>
        <w:pStyle w:val="Paragraph"/>
      </w:pPr>
      <w: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Detailed external discrimination, five-fold calibration and static compatibility diagnostics are reported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Pr="008F6A0C" w:rsidRDefault="000A5A2B" w:rsidP="000A5A2B">
      <w:pPr>
        <w:pStyle w:val="Tabletitle"/>
        <w:rPr>
          <w:b/>
          <w:color w:val="000000"/>
        </w:rPr>
      </w:pPr>
      <w:r>
        <w:t>Table 12. External case-history discrimination, calibration and static compatibility checks.</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062"/>
        <w:gridCol w:w="961"/>
        <w:gridCol w:w="992"/>
        <w:gridCol w:w="992"/>
        <w:gridCol w:w="1210"/>
        <w:gridCol w:w="1083"/>
        <w:gridCol w:w="1083"/>
        <w:gridCol w:w="1121"/>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624" w:type="pct"/>
            <w:vAlign w:val="center"/>
          </w:tcPr>
          <w:p w:rsidR="004E4104" w:rsidRPr="00AB200C" w:rsidRDefault="00380D34" w:rsidP="00AB200C">
            <w:pPr>
              <w:spacing w:line="240" w:lineRule="auto"/>
              <w:rPr>
                <w:sz w:val="18"/>
              </w:rPr>
            </w:pPr>
            <w:r w:rsidRPr="00AB200C">
              <w:rPr>
                <w:sz w:val="18"/>
                <w:szCs w:val="17"/>
              </w:rPr>
              <w:t>Check</w:t>
            </w:r>
          </w:p>
        </w:tc>
        <w:tc>
          <w:tcPr>
            <w:tcW w:w="565" w:type="pct"/>
            <w:vAlign w:val="center"/>
          </w:tcPr>
          <w:p w:rsidR="004E4104" w:rsidRPr="00AB200C" w:rsidRDefault="00380D34" w:rsidP="00AB200C">
            <w:pPr>
              <w:spacing w:line="240" w:lineRule="auto"/>
              <w:rPr>
                <w:sz w:val="18"/>
              </w:rPr>
            </w:pPr>
            <w:r w:rsidRPr="00AB200C">
              <w:rPr>
                <w:sz w:val="18"/>
                <w:szCs w:val="17"/>
              </w:rPr>
              <w:t>n</w:t>
            </w:r>
          </w:p>
        </w:tc>
        <w:tc>
          <w:tcPr>
            <w:tcW w:w="583" w:type="pct"/>
            <w:vAlign w:val="center"/>
          </w:tcPr>
          <w:p w:rsidR="004E4104" w:rsidRPr="00AB200C" w:rsidRDefault="00380D34" w:rsidP="00AB200C">
            <w:pPr>
              <w:spacing w:line="240" w:lineRule="auto"/>
              <w:rPr>
                <w:sz w:val="18"/>
              </w:rPr>
            </w:pPr>
            <w:r w:rsidRPr="00AB200C">
              <w:rPr>
                <w:sz w:val="18"/>
                <w:szCs w:val="17"/>
              </w:rPr>
              <w:t>AUC</w:t>
            </w:r>
          </w:p>
        </w:tc>
        <w:tc>
          <w:tcPr>
            <w:tcW w:w="583" w:type="pct"/>
            <w:vAlign w:val="center"/>
          </w:tcPr>
          <w:p w:rsidR="004E4104" w:rsidRPr="00AB200C" w:rsidRDefault="00380D34" w:rsidP="00AB200C">
            <w:pPr>
              <w:spacing w:line="240" w:lineRule="auto"/>
              <w:rPr>
                <w:sz w:val="18"/>
              </w:rPr>
            </w:pPr>
            <w:r w:rsidRPr="00AB200C">
              <w:rPr>
                <w:sz w:val="18"/>
                <w:szCs w:val="17"/>
              </w:rPr>
              <w:t>Brier</w:t>
            </w:r>
          </w:p>
        </w:tc>
        <w:tc>
          <w:tcPr>
            <w:tcW w:w="711" w:type="pct"/>
            <w:vAlign w:val="center"/>
          </w:tcPr>
          <w:p w:rsidR="004E4104" w:rsidRPr="00AB200C" w:rsidRDefault="00380D34" w:rsidP="00AB200C">
            <w:pPr>
              <w:spacing w:line="240" w:lineRule="auto"/>
              <w:rPr>
                <w:sz w:val="18"/>
              </w:rPr>
            </w:pPr>
            <w:r w:rsidRPr="00AB200C">
              <w:rPr>
                <w:sz w:val="18"/>
                <w:szCs w:val="17"/>
              </w:rPr>
              <w:t>TP/TN/FP/FN</w:t>
            </w:r>
          </w:p>
        </w:tc>
        <w:tc>
          <w:tcPr>
            <w:tcW w:w="637" w:type="pct"/>
            <w:vAlign w:val="center"/>
          </w:tcPr>
          <w:p w:rsidR="004E4104" w:rsidRPr="00AB200C" w:rsidRDefault="00380D34" w:rsidP="00AB200C">
            <w:pPr>
              <w:spacing w:line="240" w:lineRule="auto"/>
              <w:rPr>
                <w:sz w:val="18"/>
              </w:rPr>
            </w:pPr>
            <w:r w:rsidRPr="00AB200C">
              <w:rPr>
                <w:sz w:val="18"/>
                <w:szCs w:val="17"/>
              </w:rPr>
              <w:t>Sensitivity</w:t>
            </w:r>
          </w:p>
        </w:tc>
        <w:tc>
          <w:tcPr>
            <w:tcW w:w="637" w:type="pct"/>
            <w:vAlign w:val="center"/>
          </w:tcPr>
          <w:p w:rsidR="004E4104" w:rsidRPr="00AB200C" w:rsidRDefault="00380D34" w:rsidP="00AB200C">
            <w:pPr>
              <w:spacing w:line="240" w:lineRule="auto"/>
              <w:rPr>
                <w:sz w:val="18"/>
              </w:rPr>
            </w:pPr>
            <w:r w:rsidRPr="00AB200C">
              <w:rPr>
                <w:sz w:val="18"/>
                <w:szCs w:val="17"/>
              </w:rPr>
              <w:t>Specificity</w:t>
            </w:r>
          </w:p>
        </w:tc>
        <w:tc>
          <w:tcPr>
            <w:tcW w:w="659" w:type="pct"/>
            <w:vAlign w:val="center"/>
          </w:tcPr>
          <w:p w:rsidR="004E4104" w:rsidRPr="00AB200C" w:rsidRDefault="00380D34" w:rsidP="00AB200C">
            <w:pPr>
              <w:spacing w:line="240" w:lineRule="auto"/>
              <w:rPr>
                <w:sz w:val="18"/>
              </w:rPr>
            </w:pPr>
            <w:r w:rsidRPr="00AB200C">
              <w:rPr>
                <w:sz w:val="18"/>
                <w:szCs w:val="17"/>
              </w:rPr>
              <w:t>Status</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24" w:type="pct"/>
            <w:vAlign w:val="center"/>
          </w:tcPr>
          <w:p w:rsidR="004E4104" w:rsidRPr="00AB200C" w:rsidRDefault="00380D34" w:rsidP="00AB200C">
            <w:pPr>
              <w:spacing w:line="240" w:lineRule="auto"/>
              <w:rPr>
                <w:sz w:val="18"/>
              </w:rPr>
            </w:pPr>
            <w:r w:rsidRPr="00AB200C">
              <w:rPr>
                <w:sz w:val="18"/>
                <w:szCs w:val="17"/>
              </w:rPr>
              <w:t>combined external score</w:t>
            </w:r>
          </w:p>
        </w:tc>
        <w:tc>
          <w:tcPr>
            <w:tcW w:w="565" w:type="pct"/>
            <w:vAlign w:val="center"/>
          </w:tcPr>
          <w:p w:rsidR="004E4104" w:rsidRPr="00AB200C" w:rsidRDefault="00380D34" w:rsidP="00AB200C">
            <w:pPr>
              <w:spacing w:line="240" w:lineRule="auto"/>
              <w:rPr>
                <w:sz w:val="18"/>
              </w:rPr>
            </w:pPr>
            <w:r w:rsidRPr="00AB200C">
              <w:rPr>
                <w:sz w:val="18"/>
                <w:szCs w:val="17"/>
              </w:rPr>
              <w:t>234</w:t>
            </w:r>
          </w:p>
        </w:tc>
        <w:tc>
          <w:tcPr>
            <w:tcW w:w="583" w:type="pct"/>
            <w:vAlign w:val="center"/>
          </w:tcPr>
          <w:p w:rsidR="004E4104" w:rsidRPr="00AB200C" w:rsidRDefault="00380D34" w:rsidP="00AB200C">
            <w:pPr>
              <w:spacing w:line="240" w:lineRule="auto"/>
              <w:rPr>
                <w:sz w:val="18"/>
              </w:rPr>
            </w:pPr>
            <w:r w:rsidRPr="00AB200C">
              <w:rPr>
                <w:sz w:val="18"/>
                <w:szCs w:val="17"/>
              </w:rPr>
              <w:t>0.811</w:t>
            </w:r>
          </w:p>
        </w:tc>
        <w:tc>
          <w:tcPr>
            <w:tcW w:w="583" w:type="pct"/>
            <w:vAlign w:val="center"/>
          </w:tcPr>
          <w:p w:rsidR="004E4104" w:rsidRPr="00AB200C" w:rsidRDefault="00380D34" w:rsidP="00AB200C">
            <w:pPr>
              <w:spacing w:line="240" w:lineRule="auto"/>
              <w:rPr>
                <w:sz w:val="18"/>
              </w:rPr>
            </w:pPr>
            <w:r w:rsidRPr="00AB200C">
              <w:rPr>
                <w:sz w:val="18"/>
                <w:szCs w:val="17"/>
              </w:rPr>
              <w:t>0.172</w:t>
            </w:r>
          </w:p>
        </w:tc>
        <w:tc>
          <w:tcPr>
            <w:tcW w:w="711" w:type="pct"/>
            <w:vAlign w:val="center"/>
          </w:tcPr>
          <w:p w:rsidR="004E4104" w:rsidRPr="00AB200C" w:rsidRDefault="00380D34" w:rsidP="00AB200C">
            <w:pPr>
              <w:spacing w:line="240" w:lineRule="auto"/>
              <w:rPr>
                <w:sz w:val="18"/>
              </w:rPr>
            </w:pPr>
            <w:r w:rsidRPr="00AB200C">
              <w:rPr>
                <w:sz w:val="18"/>
                <w:szCs w:val="17"/>
              </w:rPr>
              <w:t>115/63/35/21</w:t>
            </w:r>
          </w:p>
        </w:tc>
        <w:tc>
          <w:tcPr>
            <w:tcW w:w="637" w:type="pct"/>
            <w:vAlign w:val="center"/>
          </w:tcPr>
          <w:p w:rsidR="004E4104" w:rsidRPr="00AB200C" w:rsidRDefault="00380D34" w:rsidP="00AB200C">
            <w:pPr>
              <w:spacing w:line="240" w:lineRule="auto"/>
              <w:rPr>
                <w:sz w:val="18"/>
              </w:rPr>
            </w:pPr>
            <w:r w:rsidRPr="00AB200C">
              <w:rPr>
                <w:sz w:val="18"/>
                <w:szCs w:val="17"/>
              </w:rPr>
              <w:t>0.846</w:t>
            </w:r>
          </w:p>
        </w:tc>
        <w:tc>
          <w:tcPr>
            <w:tcW w:w="637" w:type="pct"/>
            <w:vAlign w:val="center"/>
          </w:tcPr>
          <w:p w:rsidR="004E4104" w:rsidRPr="00AB200C" w:rsidRDefault="00380D34" w:rsidP="00AB200C">
            <w:pPr>
              <w:spacing w:line="240" w:lineRule="auto"/>
              <w:rPr>
                <w:sz w:val="18"/>
              </w:rPr>
            </w:pPr>
            <w:r w:rsidRPr="00AB200C">
              <w:rPr>
                <w:sz w:val="18"/>
                <w:szCs w:val="17"/>
              </w:rPr>
              <w:t>0.643</w:t>
            </w:r>
          </w:p>
        </w:tc>
        <w:tc>
          <w:tcPr>
            <w:tcW w:w="659" w:type="pct"/>
            <w:vAlign w:val="center"/>
          </w:tcPr>
          <w:p w:rsidR="004E4104" w:rsidRPr="00AB200C" w:rsidRDefault="00380D34" w:rsidP="00AB200C">
            <w:pPr>
              <w:spacing w:line="240" w:lineRule="auto"/>
              <w:rPr>
                <w:sz w:val="18"/>
              </w:rPr>
            </w:pPr>
            <w:r w:rsidRPr="00AB200C">
              <w:rPr>
                <w:sz w:val="18"/>
                <w:szCs w:val="17"/>
              </w:rPr>
              <w:t>5-fold score</w:t>
            </w:r>
          </w:p>
        </w:tc>
      </w:tr>
      <w:tr w:rsidR="00DF474B" w:rsidRPr="00380D34" w:rsidTr="00AB200C">
        <w:trPr>
          <w:jc w:val="center"/>
        </w:trPr>
        <w:tc>
          <w:tcPr>
            <w:tcW w:w="624" w:type="pct"/>
            <w:vAlign w:val="center"/>
          </w:tcPr>
          <w:p w:rsidR="004E4104" w:rsidRPr="00AB200C" w:rsidRDefault="00380D34" w:rsidP="00AB200C">
            <w:pPr>
              <w:spacing w:line="240" w:lineRule="auto"/>
              <w:rPr>
                <w:sz w:val="18"/>
              </w:rPr>
            </w:pPr>
            <w:r w:rsidRPr="00AB200C">
              <w:rPr>
                <w:sz w:val="18"/>
                <w:szCs w:val="17"/>
              </w:rPr>
              <w:t>DPT score</w:t>
            </w:r>
          </w:p>
        </w:tc>
        <w:tc>
          <w:tcPr>
            <w:tcW w:w="565" w:type="pct"/>
            <w:vAlign w:val="center"/>
          </w:tcPr>
          <w:p w:rsidR="004E4104" w:rsidRPr="00AB200C" w:rsidRDefault="00380D34" w:rsidP="00AB200C">
            <w:pPr>
              <w:spacing w:line="240" w:lineRule="auto"/>
              <w:rPr>
                <w:sz w:val="18"/>
              </w:rPr>
            </w:pPr>
            <w:r w:rsidRPr="00AB200C">
              <w:rPr>
                <w:sz w:val="18"/>
                <w:szCs w:val="17"/>
              </w:rPr>
              <w:t>234</w:t>
            </w:r>
          </w:p>
        </w:tc>
        <w:tc>
          <w:tcPr>
            <w:tcW w:w="583" w:type="pct"/>
            <w:vAlign w:val="center"/>
          </w:tcPr>
          <w:p w:rsidR="004E4104" w:rsidRPr="00AB200C" w:rsidRDefault="00380D34" w:rsidP="00AB200C">
            <w:pPr>
              <w:spacing w:line="240" w:lineRule="auto"/>
              <w:rPr>
                <w:sz w:val="18"/>
              </w:rPr>
            </w:pPr>
            <w:r w:rsidRPr="00AB200C">
              <w:rPr>
                <w:sz w:val="18"/>
                <w:szCs w:val="17"/>
              </w:rPr>
              <w:t>0.778</w:t>
            </w:r>
          </w:p>
        </w:tc>
        <w:tc>
          <w:tcPr>
            <w:tcW w:w="583" w:type="pct"/>
            <w:vAlign w:val="center"/>
          </w:tcPr>
          <w:p w:rsidR="004E4104" w:rsidRPr="00AB200C" w:rsidRDefault="00380D34" w:rsidP="00AB200C">
            <w:pPr>
              <w:spacing w:line="240" w:lineRule="auto"/>
              <w:rPr>
                <w:sz w:val="18"/>
              </w:rPr>
            </w:pPr>
            <w:r w:rsidRPr="00AB200C">
              <w:rPr>
                <w:sz w:val="18"/>
                <w:szCs w:val="17"/>
              </w:rPr>
              <w:t>0.189</w:t>
            </w:r>
          </w:p>
        </w:tc>
        <w:tc>
          <w:tcPr>
            <w:tcW w:w="711" w:type="pct"/>
            <w:vAlign w:val="center"/>
          </w:tcPr>
          <w:p w:rsidR="004E4104" w:rsidRPr="00AB200C" w:rsidRDefault="00380D34" w:rsidP="00AB200C">
            <w:pPr>
              <w:spacing w:line="240" w:lineRule="auto"/>
              <w:rPr>
                <w:sz w:val="18"/>
              </w:rPr>
            </w:pPr>
            <w:r w:rsidRPr="00AB200C">
              <w:rPr>
                <w:sz w:val="18"/>
                <w:szCs w:val="17"/>
              </w:rPr>
              <w:t>116/60/38/20</w:t>
            </w:r>
          </w:p>
        </w:tc>
        <w:tc>
          <w:tcPr>
            <w:tcW w:w="637" w:type="pct"/>
            <w:vAlign w:val="center"/>
          </w:tcPr>
          <w:p w:rsidR="004E4104" w:rsidRPr="00AB200C" w:rsidRDefault="00380D34" w:rsidP="00AB200C">
            <w:pPr>
              <w:spacing w:line="240" w:lineRule="auto"/>
              <w:rPr>
                <w:sz w:val="18"/>
              </w:rPr>
            </w:pPr>
            <w:r w:rsidRPr="00AB200C">
              <w:rPr>
                <w:sz w:val="18"/>
                <w:szCs w:val="17"/>
              </w:rPr>
              <w:t>0.853</w:t>
            </w:r>
          </w:p>
        </w:tc>
        <w:tc>
          <w:tcPr>
            <w:tcW w:w="637" w:type="pct"/>
            <w:vAlign w:val="center"/>
          </w:tcPr>
          <w:p w:rsidR="004E4104" w:rsidRPr="00AB200C" w:rsidRDefault="00380D34" w:rsidP="00AB200C">
            <w:pPr>
              <w:spacing w:line="240" w:lineRule="auto"/>
              <w:rPr>
                <w:sz w:val="18"/>
              </w:rPr>
            </w:pPr>
            <w:r w:rsidRPr="00AB200C">
              <w:rPr>
                <w:sz w:val="18"/>
                <w:szCs w:val="17"/>
              </w:rPr>
              <w:t>0.612</w:t>
            </w:r>
          </w:p>
        </w:tc>
        <w:tc>
          <w:tcPr>
            <w:tcW w:w="659" w:type="pct"/>
            <w:vAlign w:val="center"/>
          </w:tcPr>
          <w:p w:rsidR="004E4104" w:rsidRPr="00AB200C" w:rsidRDefault="00380D34" w:rsidP="00AB200C">
            <w:pPr>
              <w:spacing w:line="240" w:lineRule="auto"/>
              <w:rPr>
                <w:sz w:val="18"/>
              </w:rPr>
            </w:pPr>
            <w:r w:rsidRPr="00AB200C">
              <w:rPr>
                <w:sz w:val="18"/>
                <w:szCs w:val="17"/>
              </w:rPr>
              <w:t>5-fold score</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24" w:type="pct"/>
            <w:vAlign w:val="center"/>
          </w:tcPr>
          <w:p w:rsidR="004E4104" w:rsidRPr="00AB200C" w:rsidRDefault="00380D34" w:rsidP="00AB200C">
            <w:pPr>
              <w:spacing w:line="240" w:lineRule="auto"/>
              <w:rPr>
                <w:sz w:val="18"/>
              </w:rPr>
            </w:pPr>
            <w:r w:rsidRPr="00AB200C">
              <w:rPr>
                <w:sz w:val="18"/>
                <w:szCs w:val="17"/>
              </w:rPr>
              <w:t>Vs score</w:t>
            </w:r>
          </w:p>
        </w:tc>
        <w:tc>
          <w:tcPr>
            <w:tcW w:w="565" w:type="pct"/>
            <w:vAlign w:val="center"/>
          </w:tcPr>
          <w:p w:rsidR="004E4104" w:rsidRPr="00AB200C" w:rsidRDefault="00380D34" w:rsidP="00AB200C">
            <w:pPr>
              <w:spacing w:line="240" w:lineRule="auto"/>
              <w:rPr>
                <w:sz w:val="18"/>
              </w:rPr>
            </w:pPr>
            <w:r w:rsidRPr="00AB200C">
              <w:rPr>
                <w:sz w:val="18"/>
                <w:szCs w:val="17"/>
              </w:rPr>
              <w:t>234</w:t>
            </w:r>
          </w:p>
        </w:tc>
        <w:tc>
          <w:tcPr>
            <w:tcW w:w="583" w:type="pct"/>
            <w:vAlign w:val="center"/>
          </w:tcPr>
          <w:p w:rsidR="004E4104" w:rsidRPr="00AB200C" w:rsidRDefault="00380D34" w:rsidP="00AB200C">
            <w:pPr>
              <w:spacing w:line="240" w:lineRule="auto"/>
              <w:rPr>
                <w:sz w:val="18"/>
              </w:rPr>
            </w:pPr>
            <w:r w:rsidRPr="00AB200C">
              <w:rPr>
                <w:sz w:val="18"/>
                <w:szCs w:val="17"/>
              </w:rPr>
              <w:t>0.796</w:t>
            </w:r>
          </w:p>
        </w:tc>
        <w:tc>
          <w:tcPr>
            <w:tcW w:w="583" w:type="pct"/>
            <w:vAlign w:val="center"/>
          </w:tcPr>
          <w:p w:rsidR="004E4104" w:rsidRPr="00AB200C" w:rsidRDefault="00380D34" w:rsidP="00AB200C">
            <w:pPr>
              <w:spacing w:line="240" w:lineRule="auto"/>
              <w:rPr>
                <w:sz w:val="18"/>
              </w:rPr>
            </w:pPr>
            <w:r w:rsidRPr="00AB200C">
              <w:rPr>
                <w:sz w:val="18"/>
                <w:szCs w:val="17"/>
              </w:rPr>
              <w:t>0.183</w:t>
            </w:r>
          </w:p>
        </w:tc>
        <w:tc>
          <w:tcPr>
            <w:tcW w:w="711" w:type="pct"/>
            <w:vAlign w:val="center"/>
          </w:tcPr>
          <w:p w:rsidR="004E4104" w:rsidRPr="00AB200C" w:rsidRDefault="00380D34" w:rsidP="00AB200C">
            <w:pPr>
              <w:spacing w:line="240" w:lineRule="auto"/>
              <w:rPr>
                <w:sz w:val="18"/>
              </w:rPr>
            </w:pPr>
            <w:r w:rsidRPr="00AB200C">
              <w:rPr>
                <w:sz w:val="18"/>
                <w:szCs w:val="17"/>
              </w:rPr>
              <w:t>116/62/36/20</w:t>
            </w:r>
          </w:p>
        </w:tc>
        <w:tc>
          <w:tcPr>
            <w:tcW w:w="637" w:type="pct"/>
            <w:vAlign w:val="center"/>
          </w:tcPr>
          <w:p w:rsidR="004E4104" w:rsidRPr="00AB200C" w:rsidRDefault="00380D34" w:rsidP="00AB200C">
            <w:pPr>
              <w:spacing w:line="240" w:lineRule="auto"/>
              <w:rPr>
                <w:sz w:val="18"/>
              </w:rPr>
            </w:pPr>
            <w:r w:rsidRPr="00AB200C">
              <w:rPr>
                <w:sz w:val="18"/>
                <w:szCs w:val="17"/>
              </w:rPr>
              <w:t>0.853</w:t>
            </w:r>
          </w:p>
        </w:tc>
        <w:tc>
          <w:tcPr>
            <w:tcW w:w="637" w:type="pct"/>
            <w:vAlign w:val="center"/>
          </w:tcPr>
          <w:p w:rsidR="004E4104" w:rsidRPr="00AB200C" w:rsidRDefault="00380D34" w:rsidP="00AB200C">
            <w:pPr>
              <w:spacing w:line="240" w:lineRule="auto"/>
              <w:rPr>
                <w:sz w:val="18"/>
              </w:rPr>
            </w:pPr>
            <w:r w:rsidRPr="00AB200C">
              <w:rPr>
                <w:sz w:val="18"/>
                <w:szCs w:val="17"/>
              </w:rPr>
              <w:t>0.633</w:t>
            </w:r>
          </w:p>
        </w:tc>
        <w:tc>
          <w:tcPr>
            <w:tcW w:w="659" w:type="pct"/>
            <w:vAlign w:val="center"/>
          </w:tcPr>
          <w:p w:rsidR="004E4104" w:rsidRPr="00AB200C" w:rsidRDefault="00380D34" w:rsidP="00AB200C">
            <w:pPr>
              <w:spacing w:line="240" w:lineRule="auto"/>
              <w:rPr>
                <w:sz w:val="18"/>
              </w:rPr>
            </w:pPr>
            <w:r w:rsidRPr="00AB200C">
              <w:rPr>
                <w:sz w:val="18"/>
                <w:szCs w:val="17"/>
              </w:rPr>
              <w:t>5-fold score</w:t>
            </w:r>
          </w:p>
        </w:tc>
      </w:tr>
      <w:tr w:rsidR="00DF474B" w:rsidRPr="00380D34" w:rsidTr="00AB200C">
        <w:trPr>
          <w:jc w:val="center"/>
        </w:trPr>
        <w:tc>
          <w:tcPr>
            <w:tcW w:w="624" w:type="pct"/>
            <w:vAlign w:val="center"/>
          </w:tcPr>
          <w:p w:rsidR="004E4104" w:rsidRPr="00AB200C" w:rsidRDefault="00380D34" w:rsidP="00AB200C">
            <w:pPr>
              <w:spacing w:line="240" w:lineRule="auto"/>
              <w:rPr>
                <w:sz w:val="18"/>
              </w:rPr>
            </w:pPr>
            <w:r w:rsidRPr="00AB200C">
              <w:rPr>
                <w:sz w:val="18"/>
                <w:szCs w:val="17"/>
              </w:rPr>
              <w:t>static limit-state margin</w:t>
            </w:r>
          </w:p>
        </w:tc>
        <w:tc>
          <w:tcPr>
            <w:tcW w:w="565" w:type="pct"/>
            <w:vAlign w:val="center"/>
          </w:tcPr>
          <w:p w:rsidR="004E4104" w:rsidRPr="00AB200C" w:rsidRDefault="00380D34" w:rsidP="00AB200C">
            <w:pPr>
              <w:spacing w:line="240" w:lineRule="auto"/>
              <w:rPr>
                <w:sz w:val="18"/>
              </w:rPr>
            </w:pPr>
            <w:r w:rsidRPr="00AB200C">
              <w:rPr>
                <w:sz w:val="18"/>
                <w:szCs w:val="17"/>
              </w:rPr>
              <w:t>195</w:t>
            </w:r>
          </w:p>
        </w:tc>
        <w:tc>
          <w:tcPr>
            <w:tcW w:w="583" w:type="pct"/>
            <w:vAlign w:val="center"/>
          </w:tcPr>
          <w:p w:rsidR="004E4104" w:rsidRPr="00AB200C" w:rsidRDefault="00380D34" w:rsidP="00AB200C">
            <w:pPr>
              <w:spacing w:line="240" w:lineRule="auto"/>
              <w:rPr>
                <w:sz w:val="18"/>
              </w:rPr>
            </w:pPr>
            <w:r w:rsidRPr="00AB200C">
              <w:rPr>
                <w:sz w:val="18"/>
                <w:szCs w:val="17"/>
              </w:rPr>
              <w:t>0.760</w:t>
            </w:r>
          </w:p>
        </w:tc>
        <w:tc>
          <w:tcPr>
            <w:tcW w:w="583" w:type="pct"/>
            <w:vAlign w:val="center"/>
          </w:tcPr>
          <w:p w:rsidR="004E4104" w:rsidRPr="00AB200C" w:rsidRDefault="00380D34" w:rsidP="00AB200C">
            <w:pPr>
              <w:spacing w:line="240" w:lineRule="auto"/>
              <w:rPr>
                <w:sz w:val="18"/>
              </w:rPr>
            </w:pPr>
            <w:r w:rsidRPr="00AB200C">
              <w:rPr>
                <w:sz w:val="18"/>
                <w:szCs w:val="17"/>
              </w:rPr>
              <w:t>0.199</w:t>
            </w:r>
          </w:p>
        </w:tc>
        <w:tc>
          <w:tcPr>
            <w:tcW w:w="711" w:type="pct"/>
            <w:vAlign w:val="center"/>
          </w:tcPr>
          <w:p w:rsidR="004E4104" w:rsidRPr="00AB200C" w:rsidRDefault="00380D34" w:rsidP="00AB200C">
            <w:pPr>
              <w:spacing w:line="240" w:lineRule="auto"/>
              <w:rPr>
                <w:sz w:val="18"/>
              </w:rPr>
            </w:pPr>
            <w:r w:rsidRPr="00AB200C">
              <w:rPr>
                <w:sz w:val="18"/>
                <w:szCs w:val="17"/>
              </w:rPr>
              <w:t>91/42/50/12</w:t>
            </w:r>
          </w:p>
        </w:tc>
        <w:tc>
          <w:tcPr>
            <w:tcW w:w="637" w:type="pct"/>
            <w:vAlign w:val="center"/>
          </w:tcPr>
          <w:p w:rsidR="004E4104" w:rsidRPr="00AB200C" w:rsidRDefault="00380D34" w:rsidP="00AB200C">
            <w:pPr>
              <w:spacing w:line="240" w:lineRule="auto"/>
              <w:rPr>
                <w:sz w:val="18"/>
              </w:rPr>
            </w:pPr>
            <w:r w:rsidRPr="00AB200C">
              <w:rPr>
                <w:sz w:val="18"/>
                <w:szCs w:val="17"/>
              </w:rPr>
              <w:t>0.883</w:t>
            </w:r>
          </w:p>
        </w:tc>
        <w:tc>
          <w:tcPr>
            <w:tcW w:w="637" w:type="pct"/>
            <w:vAlign w:val="center"/>
          </w:tcPr>
          <w:p w:rsidR="004E4104" w:rsidRPr="00AB200C" w:rsidRDefault="00380D34" w:rsidP="00AB200C">
            <w:pPr>
              <w:spacing w:line="240" w:lineRule="auto"/>
              <w:rPr>
                <w:sz w:val="18"/>
              </w:rPr>
            </w:pPr>
            <w:r w:rsidRPr="00AB200C">
              <w:rPr>
                <w:sz w:val="18"/>
                <w:szCs w:val="17"/>
              </w:rPr>
              <w:t>0.457</w:t>
            </w:r>
          </w:p>
        </w:tc>
        <w:tc>
          <w:tcPr>
            <w:tcW w:w="659" w:type="pct"/>
            <w:vAlign w:val="center"/>
          </w:tcPr>
          <w:p w:rsidR="004E4104" w:rsidRPr="00AB200C" w:rsidRDefault="00380D34" w:rsidP="00AB200C">
            <w:pPr>
              <w:spacing w:line="240" w:lineRule="auto"/>
              <w:rPr>
                <w:sz w:val="18"/>
              </w:rPr>
            </w:pPr>
            <w:r w:rsidRPr="00AB200C">
              <w:rPr>
                <w:sz w:val="18"/>
                <w:szCs w:val="17"/>
              </w:rPr>
              <w:t>static compatibility</w:t>
            </w:r>
          </w:p>
        </w:tc>
      </w:tr>
      <w:tr w:rsidR="004E4104"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624" w:type="pct"/>
            <w:vAlign w:val="center"/>
          </w:tcPr>
          <w:p w:rsidR="004E4104" w:rsidRPr="00AB200C" w:rsidRDefault="00380D34" w:rsidP="00AB200C">
            <w:pPr>
              <w:spacing w:line="240" w:lineRule="auto"/>
              <w:rPr>
                <w:sz w:val="18"/>
              </w:rPr>
            </w:pPr>
            <w:r w:rsidRPr="00AB200C">
              <w:rPr>
                <w:sz w:val="18"/>
                <w:szCs w:val="17"/>
              </w:rPr>
              <w:t>static Pf proxy</w:t>
            </w:r>
          </w:p>
        </w:tc>
        <w:tc>
          <w:tcPr>
            <w:tcW w:w="565" w:type="pct"/>
            <w:vAlign w:val="center"/>
          </w:tcPr>
          <w:p w:rsidR="004E4104" w:rsidRPr="00AB200C" w:rsidRDefault="00380D34" w:rsidP="00AB200C">
            <w:pPr>
              <w:spacing w:line="240" w:lineRule="auto"/>
              <w:rPr>
                <w:sz w:val="18"/>
              </w:rPr>
            </w:pPr>
            <w:r w:rsidRPr="00AB200C">
              <w:rPr>
                <w:sz w:val="18"/>
                <w:szCs w:val="17"/>
              </w:rPr>
              <w:t>195</w:t>
            </w:r>
          </w:p>
        </w:tc>
        <w:tc>
          <w:tcPr>
            <w:tcW w:w="583" w:type="pct"/>
            <w:vAlign w:val="center"/>
          </w:tcPr>
          <w:p w:rsidR="004E4104" w:rsidRPr="00AB200C" w:rsidRDefault="00380D34" w:rsidP="00AB200C">
            <w:pPr>
              <w:spacing w:line="240" w:lineRule="auto"/>
              <w:rPr>
                <w:sz w:val="18"/>
              </w:rPr>
            </w:pPr>
            <w:r w:rsidRPr="00AB200C">
              <w:rPr>
                <w:sz w:val="18"/>
                <w:szCs w:val="17"/>
              </w:rPr>
              <w:t>0.760</w:t>
            </w:r>
          </w:p>
        </w:tc>
        <w:tc>
          <w:tcPr>
            <w:tcW w:w="583" w:type="pct"/>
            <w:vAlign w:val="center"/>
          </w:tcPr>
          <w:p w:rsidR="004E4104" w:rsidRPr="00AB200C" w:rsidRDefault="00380D34" w:rsidP="00AB200C">
            <w:pPr>
              <w:spacing w:line="240" w:lineRule="auto"/>
              <w:rPr>
                <w:sz w:val="18"/>
              </w:rPr>
            </w:pPr>
            <w:r w:rsidRPr="00AB200C">
              <w:rPr>
                <w:sz w:val="18"/>
                <w:szCs w:val="17"/>
              </w:rPr>
              <w:t>0.200</w:t>
            </w:r>
          </w:p>
        </w:tc>
        <w:tc>
          <w:tcPr>
            <w:tcW w:w="711" w:type="pct"/>
            <w:vAlign w:val="center"/>
          </w:tcPr>
          <w:p w:rsidR="004E4104" w:rsidRPr="00AB200C" w:rsidRDefault="00380D34" w:rsidP="00AB200C">
            <w:pPr>
              <w:spacing w:line="240" w:lineRule="auto"/>
              <w:rPr>
                <w:sz w:val="18"/>
              </w:rPr>
            </w:pPr>
            <w:r w:rsidRPr="00AB200C">
              <w:rPr>
                <w:sz w:val="18"/>
                <w:szCs w:val="17"/>
              </w:rPr>
              <w:t>91/42/50/12</w:t>
            </w:r>
          </w:p>
        </w:tc>
        <w:tc>
          <w:tcPr>
            <w:tcW w:w="637" w:type="pct"/>
            <w:vAlign w:val="center"/>
          </w:tcPr>
          <w:p w:rsidR="004E4104" w:rsidRPr="00AB200C" w:rsidRDefault="00380D34" w:rsidP="00AB200C">
            <w:pPr>
              <w:spacing w:line="240" w:lineRule="auto"/>
              <w:rPr>
                <w:sz w:val="18"/>
              </w:rPr>
            </w:pPr>
            <w:r w:rsidRPr="00AB200C">
              <w:rPr>
                <w:sz w:val="18"/>
                <w:szCs w:val="17"/>
              </w:rPr>
              <w:t>0.883</w:t>
            </w:r>
          </w:p>
        </w:tc>
        <w:tc>
          <w:tcPr>
            <w:tcW w:w="637" w:type="pct"/>
            <w:vAlign w:val="center"/>
          </w:tcPr>
          <w:p w:rsidR="004E4104" w:rsidRPr="00AB200C" w:rsidRDefault="00380D34" w:rsidP="00AB200C">
            <w:pPr>
              <w:spacing w:line="240" w:lineRule="auto"/>
              <w:rPr>
                <w:sz w:val="18"/>
              </w:rPr>
            </w:pPr>
            <w:r w:rsidRPr="00AB200C">
              <w:rPr>
                <w:sz w:val="18"/>
                <w:szCs w:val="17"/>
              </w:rPr>
              <w:t>0.457</w:t>
            </w:r>
          </w:p>
        </w:tc>
        <w:tc>
          <w:tcPr>
            <w:tcW w:w="659" w:type="pct"/>
            <w:vAlign w:val="center"/>
          </w:tcPr>
          <w:p w:rsidR="004E4104" w:rsidRPr="00AB200C" w:rsidRDefault="00380D34" w:rsidP="00AB200C">
            <w:pPr>
              <w:spacing w:line="240" w:lineRule="auto"/>
              <w:rPr>
                <w:sz w:val="18"/>
              </w:rPr>
            </w:pPr>
            <w:r w:rsidRPr="00AB200C">
              <w:rPr>
                <w:sz w:val="18"/>
                <w:szCs w:val="17"/>
              </w:rPr>
              <w:t>static compatibility</w:t>
            </w:r>
          </w:p>
        </w:tc>
      </w:tr>
    </w:tbl>
    <w:p w:rsidR="000A5A2B" w:rsidRPr="008F6A0C" w:rsidRDefault="000A5A2B" w:rsidP="000A5A2B">
      <w:pPr>
        <w:pStyle w:val="Tabletitle"/>
        <w:rPr>
          <w:b/>
          <w:color w:val="000000"/>
        </w:rPr>
      </w:pPr>
      <w:r>
        <w:t>Table 13. Standard SPT model-form comparison.</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192"/>
        <w:gridCol w:w="1531"/>
        <w:gridCol w:w="1104"/>
        <w:gridCol w:w="1208"/>
        <w:gridCol w:w="1167"/>
        <w:gridCol w:w="1140"/>
        <w:gridCol w:w="1162"/>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701" w:type="pct"/>
            <w:vAlign w:val="center"/>
          </w:tcPr>
          <w:p w:rsidR="004E4104" w:rsidRPr="00AB200C" w:rsidRDefault="00380D34" w:rsidP="00AB200C">
            <w:pPr>
              <w:spacing w:line="240" w:lineRule="auto"/>
              <w:rPr>
                <w:sz w:val="18"/>
              </w:rPr>
            </w:pPr>
            <w:r w:rsidRPr="00AB200C">
              <w:rPr>
                <w:sz w:val="18"/>
                <w:szCs w:val="17"/>
              </w:rPr>
              <w:t>Scenario</w:t>
            </w:r>
          </w:p>
        </w:tc>
        <w:tc>
          <w:tcPr>
            <w:tcW w:w="900" w:type="pct"/>
            <w:vAlign w:val="center"/>
          </w:tcPr>
          <w:p w:rsidR="004E4104" w:rsidRPr="00AB200C" w:rsidRDefault="00380D34" w:rsidP="00AB200C">
            <w:pPr>
              <w:spacing w:line="240" w:lineRule="auto"/>
              <w:rPr>
                <w:sz w:val="18"/>
              </w:rPr>
            </w:pPr>
            <w:r w:rsidRPr="00AB200C">
              <w:rPr>
                <w:sz w:val="18"/>
                <w:szCs w:val="17"/>
              </w:rPr>
              <w:t>Gradation</w:t>
            </w:r>
          </w:p>
        </w:tc>
        <w:tc>
          <w:tcPr>
            <w:tcW w:w="649" w:type="pct"/>
            <w:vAlign w:val="center"/>
          </w:tcPr>
          <w:p w:rsidR="004E4104" w:rsidRPr="00AB200C" w:rsidRDefault="00380D34" w:rsidP="00AB200C">
            <w:pPr>
              <w:spacing w:line="240" w:lineRule="auto"/>
              <w:rPr>
                <w:sz w:val="18"/>
              </w:rPr>
            </w:pPr>
            <w:r w:rsidRPr="00AB200C">
              <w:rPr>
                <w:sz w:val="18"/>
                <w:szCs w:val="17"/>
              </w:rPr>
              <w:t>n</w:t>
            </w:r>
          </w:p>
        </w:tc>
        <w:tc>
          <w:tcPr>
            <w:tcW w:w="710" w:type="pct"/>
            <w:vAlign w:val="center"/>
          </w:tcPr>
          <w:p w:rsidR="004E4104" w:rsidRPr="00AB200C" w:rsidRDefault="00380D34" w:rsidP="00AB200C">
            <w:pPr>
              <w:spacing w:line="240" w:lineRule="auto"/>
              <w:rPr>
                <w:sz w:val="18"/>
              </w:rPr>
            </w:pPr>
            <w:r w:rsidRPr="00AB200C">
              <w:rPr>
                <w:sz w:val="18"/>
                <w:szCs w:val="17"/>
              </w:rPr>
              <w:t>Spearman Pf vs BI14</w:t>
            </w:r>
          </w:p>
        </w:tc>
        <w:tc>
          <w:tcPr>
            <w:tcW w:w="686" w:type="pct"/>
            <w:vAlign w:val="center"/>
          </w:tcPr>
          <w:p w:rsidR="004E4104" w:rsidRPr="00AB200C" w:rsidRDefault="00380D34" w:rsidP="00AB200C">
            <w:pPr>
              <w:spacing w:line="240" w:lineRule="auto"/>
              <w:rPr>
                <w:sz w:val="18"/>
              </w:rPr>
            </w:pPr>
            <w:r w:rsidRPr="00AB200C">
              <w:rPr>
                <w:sz w:val="18"/>
                <w:szCs w:val="17"/>
              </w:rPr>
              <w:t>Median |Delta Pf|</w:t>
            </w:r>
          </w:p>
        </w:tc>
        <w:tc>
          <w:tcPr>
            <w:tcW w:w="670" w:type="pct"/>
            <w:vAlign w:val="center"/>
          </w:tcPr>
          <w:p w:rsidR="004E4104" w:rsidRPr="00AB200C" w:rsidRDefault="00380D34" w:rsidP="00AB200C">
            <w:pPr>
              <w:spacing w:line="240" w:lineRule="auto"/>
              <w:rPr>
                <w:sz w:val="18"/>
              </w:rPr>
            </w:pPr>
            <w:r w:rsidRPr="00AB200C">
              <w:rPr>
                <w:sz w:val="18"/>
                <w:szCs w:val="17"/>
              </w:rPr>
              <w:t>Max |Delta Pf|</w:t>
            </w:r>
          </w:p>
        </w:tc>
        <w:tc>
          <w:tcPr>
            <w:tcW w:w="683" w:type="pct"/>
            <w:vAlign w:val="center"/>
          </w:tcPr>
          <w:p w:rsidR="004E4104" w:rsidRPr="00AB200C" w:rsidRDefault="00380D34" w:rsidP="00AB200C">
            <w:pPr>
              <w:spacing w:line="240" w:lineRule="auto"/>
              <w:rPr>
                <w:sz w:val="18"/>
              </w:rPr>
            </w:pPr>
            <w:r w:rsidRPr="00AB200C">
              <w:rPr>
                <w:sz w:val="18"/>
                <w:szCs w:val="17"/>
              </w:rPr>
              <w:t>Same highest layer share</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stationary</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0.968</w:t>
            </w:r>
          </w:p>
        </w:tc>
        <w:tc>
          <w:tcPr>
            <w:tcW w:w="686" w:type="pct"/>
            <w:vAlign w:val="center"/>
          </w:tcPr>
          <w:p w:rsidR="004E4104" w:rsidRPr="00AB200C" w:rsidRDefault="00380D34" w:rsidP="00AB200C">
            <w:pPr>
              <w:spacing w:line="240" w:lineRule="auto"/>
              <w:rPr>
                <w:sz w:val="18"/>
              </w:rPr>
            </w:pPr>
            <w:r w:rsidRPr="00AB200C">
              <w:rPr>
                <w:sz w:val="18"/>
                <w:szCs w:val="17"/>
              </w:rPr>
              <w:t>0.316</w:t>
            </w:r>
          </w:p>
        </w:tc>
        <w:tc>
          <w:tcPr>
            <w:tcW w:w="670" w:type="pct"/>
            <w:vAlign w:val="center"/>
          </w:tcPr>
          <w:p w:rsidR="004E4104" w:rsidRPr="00AB200C" w:rsidRDefault="00380D34" w:rsidP="00AB200C">
            <w:pPr>
              <w:spacing w:line="240" w:lineRule="auto"/>
              <w:rPr>
                <w:sz w:val="18"/>
              </w:rPr>
            </w:pPr>
            <w:r w:rsidRPr="00AB200C">
              <w:rPr>
                <w:sz w:val="18"/>
                <w:szCs w:val="17"/>
              </w:rPr>
              <w:t>0.430</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stationary</w:t>
            </w:r>
          </w:p>
        </w:tc>
        <w:tc>
          <w:tcPr>
            <w:tcW w:w="900" w:type="pct"/>
            <w:vAlign w:val="center"/>
          </w:tcPr>
          <w:p w:rsidR="004E4104" w:rsidRPr="00AB200C" w:rsidRDefault="00380D34" w:rsidP="00AB200C">
            <w:pPr>
              <w:spacing w:line="240" w:lineRule="auto"/>
              <w:rPr>
                <w:sz w:val="18"/>
              </w:rPr>
            </w:pPr>
            <w:r w:rsidRPr="00AB200C">
              <w:rPr>
                <w:sz w:val="18"/>
                <w:szCs w:val="17"/>
              </w:rPr>
              <w:t>fines_accumulation</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0.996</w:t>
            </w:r>
          </w:p>
        </w:tc>
        <w:tc>
          <w:tcPr>
            <w:tcW w:w="686" w:type="pct"/>
            <w:vAlign w:val="center"/>
          </w:tcPr>
          <w:p w:rsidR="004E4104" w:rsidRPr="00AB200C" w:rsidRDefault="00380D34" w:rsidP="00AB200C">
            <w:pPr>
              <w:spacing w:line="240" w:lineRule="auto"/>
              <w:rPr>
                <w:sz w:val="18"/>
              </w:rPr>
            </w:pPr>
            <w:r w:rsidRPr="00AB200C">
              <w:rPr>
                <w:sz w:val="18"/>
                <w:szCs w:val="17"/>
              </w:rPr>
              <w:t>0.326</w:t>
            </w:r>
          </w:p>
        </w:tc>
        <w:tc>
          <w:tcPr>
            <w:tcW w:w="670" w:type="pct"/>
            <w:vAlign w:val="center"/>
          </w:tcPr>
          <w:p w:rsidR="004E4104" w:rsidRPr="00AB200C" w:rsidRDefault="00380D34" w:rsidP="00AB200C">
            <w:pPr>
              <w:spacing w:line="240" w:lineRule="auto"/>
              <w:rPr>
                <w:sz w:val="18"/>
              </w:rPr>
            </w:pPr>
            <w:r w:rsidRPr="00AB200C">
              <w:rPr>
                <w:sz w:val="18"/>
                <w:szCs w:val="17"/>
              </w:rPr>
              <w:t>0.461</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stationary</w:t>
            </w:r>
          </w:p>
        </w:tc>
        <w:tc>
          <w:tcPr>
            <w:tcW w:w="900" w:type="pct"/>
            <w:vAlign w:val="center"/>
          </w:tcPr>
          <w:p w:rsidR="004E4104" w:rsidRPr="00AB200C" w:rsidRDefault="00380D34" w:rsidP="00AB200C">
            <w:pPr>
              <w:spacing w:line="240" w:lineRule="auto"/>
              <w:rPr>
                <w:sz w:val="18"/>
              </w:rPr>
            </w:pPr>
            <w:r w:rsidRPr="00AB200C">
              <w:rPr>
                <w:sz w:val="18"/>
                <w:szCs w:val="17"/>
              </w:rPr>
              <w:t>fines_washout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0.997</w:t>
            </w:r>
          </w:p>
        </w:tc>
        <w:tc>
          <w:tcPr>
            <w:tcW w:w="686" w:type="pct"/>
            <w:vAlign w:val="center"/>
          </w:tcPr>
          <w:p w:rsidR="004E4104" w:rsidRPr="00AB200C" w:rsidRDefault="00380D34" w:rsidP="00AB200C">
            <w:pPr>
              <w:spacing w:line="240" w:lineRule="auto"/>
              <w:rPr>
                <w:sz w:val="18"/>
              </w:rPr>
            </w:pPr>
            <w:r w:rsidRPr="00AB200C">
              <w:rPr>
                <w:sz w:val="18"/>
                <w:szCs w:val="17"/>
              </w:rPr>
              <w:t>0.285</w:t>
            </w:r>
          </w:p>
        </w:tc>
        <w:tc>
          <w:tcPr>
            <w:tcW w:w="670" w:type="pct"/>
            <w:vAlign w:val="center"/>
          </w:tcPr>
          <w:p w:rsidR="004E4104" w:rsidRPr="00AB200C" w:rsidRDefault="00380D34" w:rsidP="00AB200C">
            <w:pPr>
              <w:spacing w:line="240" w:lineRule="auto"/>
              <w:rPr>
                <w:sz w:val="18"/>
              </w:rPr>
            </w:pPr>
            <w:r w:rsidRPr="00AB200C">
              <w:rPr>
                <w:sz w:val="18"/>
                <w:szCs w:val="17"/>
              </w:rPr>
              <w:t>0.471</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rising</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0.966</w:t>
            </w:r>
          </w:p>
        </w:tc>
        <w:tc>
          <w:tcPr>
            <w:tcW w:w="686" w:type="pct"/>
            <w:vAlign w:val="center"/>
          </w:tcPr>
          <w:p w:rsidR="004E4104" w:rsidRPr="00AB200C" w:rsidRDefault="00380D34" w:rsidP="00AB200C">
            <w:pPr>
              <w:spacing w:line="240" w:lineRule="auto"/>
              <w:rPr>
                <w:sz w:val="18"/>
              </w:rPr>
            </w:pPr>
            <w:r w:rsidRPr="00AB200C">
              <w:rPr>
                <w:sz w:val="18"/>
                <w:szCs w:val="17"/>
              </w:rPr>
              <w:t>0.228</w:t>
            </w:r>
          </w:p>
        </w:tc>
        <w:tc>
          <w:tcPr>
            <w:tcW w:w="670" w:type="pct"/>
            <w:vAlign w:val="center"/>
          </w:tcPr>
          <w:p w:rsidR="004E4104" w:rsidRPr="00AB200C" w:rsidRDefault="00380D34" w:rsidP="00AB200C">
            <w:pPr>
              <w:spacing w:line="240" w:lineRule="auto"/>
              <w:rPr>
                <w:sz w:val="18"/>
              </w:rPr>
            </w:pPr>
            <w:r w:rsidRPr="00AB200C">
              <w:rPr>
                <w:sz w:val="18"/>
                <w:szCs w:val="17"/>
              </w:rPr>
              <w:t>0.475</w:t>
            </w:r>
          </w:p>
        </w:tc>
        <w:tc>
          <w:tcPr>
            <w:tcW w:w="683" w:type="pct"/>
            <w:vAlign w:val="center"/>
          </w:tcPr>
          <w:p w:rsidR="004E4104" w:rsidRPr="00AB200C" w:rsidRDefault="00380D34" w:rsidP="00AB200C">
            <w:pPr>
              <w:spacing w:line="240" w:lineRule="auto"/>
              <w:rPr>
                <w:sz w:val="18"/>
              </w:rPr>
            </w:pPr>
            <w:r w:rsidRPr="00AB200C">
              <w:rPr>
                <w:sz w:val="18"/>
                <w:szCs w:val="17"/>
              </w:rPr>
              <w:t>0.654</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rising</w:t>
            </w:r>
          </w:p>
        </w:tc>
        <w:tc>
          <w:tcPr>
            <w:tcW w:w="900" w:type="pct"/>
            <w:vAlign w:val="center"/>
          </w:tcPr>
          <w:p w:rsidR="004E4104" w:rsidRPr="00AB200C" w:rsidRDefault="00380D34" w:rsidP="00AB200C">
            <w:pPr>
              <w:spacing w:line="240" w:lineRule="auto"/>
              <w:rPr>
                <w:sz w:val="18"/>
              </w:rPr>
            </w:pPr>
            <w:r w:rsidRPr="00AB200C">
              <w:rPr>
                <w:sz w:val="18"/>
                <w:szCs w:val="17"/>
              </w:rPr>
              <w:t>fines_accumulation</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0.931</w:t>
            </w:r>
          </w:p>
        </w:tc>
        <w:tc>
          <w:tcPr>
            <w:tcW w:w="686" w:type="pct"/>
            <w:vAlign w:val="center"/>
          </w:tcPr>
          <w:p w:rsidR="004E4104" w:rsidRPr="00AB200C" w:rsidRDefault="00380D34" w:rsidP="00AB200C">
            <w:pPr>
              <w:spacing w:line="240" w:lineRule="auto"/>
              <w:rPr>
                <w:sz w:val="18"/>
              </w:rPr>
            </w:pPr>
            <w:r w:rsidRPr="00AB200C">
              <w:rPr>
                <w:sz w:val="18"/>
                <w:szCs w:val="17"/>
              </w:rPr>
              <w:t>0.287</w:t>
            </w:r>
          </w:p>
        </w:tc>
        <w:tc>
          <w:tcPr>
            <w:tcW w:w="670" w:type="pct"/>
            <w:vAlign w:val="center"/>
          </w:tcPr>
          <w:p w:rsidR="004E4104" w:rsidRPr="00AB200C" w:rsidRDefault="00380D34" w:rsidP="00AB200C">
            <w:pPr>
              <w:spacing w:line="240" w:lineRule="auto"/>
              <w:rPr>
                <w:sz w:val="18"/>
              </w:rPr>
            </w:pPr>
            <w:r w:rsidRPr="00AB200C">
              <w:rPr>
                <w:sz w:val="18"/>
                <w:szCs w:val="17"/>
              </w:rPr>
              <w:t>0.444</w:t>
            </w:r>
          </w:p>
        </w:tc>
        <w:tc>
          <w:tcPr>
            <w:tcW w:w="683" w:type="pct"/>
            <w:vAlign w:val="center"/>
          </w:tcPr>
          <w:p w:rsidR="004E4104" w:rsidRPr="00AB200C" w:rsidRDefault="00380D34" w:rsidP="00AB200C">
            <w:pPr>
              <w:spacing w:line="240" w:lineRule="auto"/>
              <w:rPr>
                <w:sz w:val="18"/>
              </w:rPr>
            </w:pPr>
            <w:r w:rsidRPr="00AB200C">
              <w:rPr>
                <w:sz w:val="18"/>
                <w:szCs w:val="17"/>
              </w:rPr>
              <w:t>0.577</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rising</w:t>
            </w:r>
          </w:p>
        </w:tc>
        <w:tc>
          <w:tcPr>
            <w:tcW w:w="900" w:type="pct"/>
            <w:vAlign w:val="center"/>
          </w:tcPr>
          <w:p w:rsidR="004E4104" w:rsidRPr="00AB200C" w:rsidRDefault="00380D34" w:rsidP="00AB200C">
            <w:pPr>
              <w:spacing w:line="240" w:lineRule="auto"/>
              <w:rPr>
                <w:sz w:val="18"/>
              </w:rPr>
            </w:pPr>
            <w:r w:rsidRPr="00AB200C">
              <w:rPr>
                <w:sz w:val="18"/>
                <w:szCs w:val="17"/>
              </w:rPr>
              <w:t>fines_washout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0.977</w:t>
            </w:r>
          </w:p>
        </w:tc>
        <w:tc>
          <w:tcPr>
            <w:tcW w:w="686" w:type="pct"/>
            <w:vAlign w:val="center"/>
          </w:tcPr>
          <w:p w:rsidR="004E4104" w:rsidRPr="00AB200C" w:rsidRDefault="00380D34" w:rsidP="00AB200C">
            <w:pPr>
              <w:spacing w:line="240" w:lineRule="auto"/>
              <w:rPr>
                <w:sz w:val="18"/>
              </w:rPr>
            </w:pPr>
            <w:r w:rsidRPr="00AB200C">
              <w:rPr>
                <w:sz w:val="18"/>
                <w:szCs w:val="17"/>
              </w:rPr>
              <w:t>0.211</w:t>
            </w:r>
          </w:p>
        </w:tc>
        <w:tc>
          <w:tcPr>
            <w:tcW w:w="670" w:type="pct"/>
            <w:vAlign w:val="center"/>
          </w:tcPr>
          <w:p w:rsidR="004E4104" w:rsidRPr="00AB200C" w:rsidRDefault="00380D34" w:rsidP="00AB200C">
            <w:pPr>
              <w:spacing w:line="240" w:lineRule="auto"/>
              <w:rPr>
                <w:sz w:val="18"/>
              </w:rPr>
            </w:pPr>
            <w:r w:rsidRPr="00AB200C">
              <w:rPr>
                <w:sz w:val="18"/>
                <w:szCs w:val="17"/>
              </w:rPr>
              <w:t>0.482</w:t>
            </w:r>
          </w:p>
        </w:tc>
        <w:tc>
          <w:tcPr>
            <w:tcW w:w="683" w:type="pct"/>
            <w:vAlign w:val="center"/>
          </w:tcPr>
          <w:p w:rsidR="004E4104" w:rsidRPr="00AB200C" w:rsidRDefault="00380D34" w:rsidP="00AB200C">
            <w:pPr>
              <w:spacing w:line="240" w:lineRule="auto"/>
              <w:rPr>
                <w:sz w:val="18"/>
              </w:rPr>
            </w:pPr>
            <w:r w:rsidRPr="00AB200C">
              <w:rPr>
                <w:sz w:val="18"/>
                <w:szCs w:val="17"/>
              </w:rPr>
              <w:t>0.462</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seasonal</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0.991</w:t>
            </w:r>
          </w:p>
        </w:tc>
        <w:tc>
          <w:tcPr>
            <w:tcW w:w="686" w:type="pct"/>
            <w:vAlign w:val="center"/>
          </w:tcPr>
          <w:p w:rsidR="004E4104" w:rsidRPr="00AB200C" w:rsidRDefault="00380D34" w:rsidP="00AB200C">
            <w:pPr>
              <w:spacing w:line="240" w:lineRule="auto"/>
              <w:rPr>
                <w:sz w:val="18"/>
              </w:rPr>
            </w:pPr>
            <w:r w:rsidRPr="00AB200C">
              <w:rPr>
                <w:sz w:val="18"/>
                <w:szCs w:val="17"/>
              </w:rPr>
              <w:t>0.281</w:t>
            </w:r>
          </w:p>
        </w:tc>
        <w:tc>
          <w:tcPr>
            <w:tcW w:w="670" w:type="pct"/>
            <w:vAlign w:val="center"/>
          </w:tcPr>
          <w:p w:rsidR="004E4104" w:rsidRPr="00AB200C" w:rsidRDefault="00380D34" w:rsidP="00AB200C">
            <w:pPr>
              <w:spacing w:line="240" w:lineRule="auto"/>
              <w:rPr>
                <w:sz w:val="18"/>
              </w:rPr>
            </w:pPr>
            <w:r w:rsidRPr="00AB200C">
              <w:rPr>
                <w:sz w:val="18"/>
                <w:szCs w:val="17"/>
              </w:rPr>
              <w:t>0.462</w:t>
            </w:r>
          </w:p>
        </w:tc>
        <w:tc>
          <w:tcPr>
            <w:tcW w:w="683" w:type="pct"/>
            <w:vAlign w:val="center"/>
          </w:tcPr>
          <w:p w:rsidR="004E4104" w:rsidRPr="00AB200C" w:rsidRDefault="00380D34" w:rsidP="00AB200C">
            <w:pPr>
              <w:spacing w:line="240" w:lineRule="auto"/>
              <w:rPr>
                <w:sz w:val="18"/>
              </w:rPr>
            </w:pPr>
            <w:r w:rsidRPr="00AB200C">
              <w:rPr>
                <w:sz w:val="18"/>
                <w:szCs w:val="17"/>
              </w:rPr>
              <w:t>1.000</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seasonal</w:t>
            </w:r>
          </w:p>
        </w:tc>
        <w:tc>
          <w:tcPr>
            <w:tcW w:w="900" w:type="pct"/>
            <w:vAlign w:val="center"/>
          </w:tcPr>
          <w:p w:rsidR="004E4104" w:rsidRPr="00AB200C" w:rsidRDefault="00380D34" w:rsidP="00AB200C">
            <w:pPr>
              <w:spacing w:line="240" w:lineRule="auto"/>
              <w:rPr>
                <w:sz w:val="18"/>
              </w:rPr>
            </w:pPr>
            <w:r w:rsidRPr="00AB200C">
              <w:rPr>
                <w:sz w:val="18"/>
                <w:szCs w:val="17"/>
              </w:rPr>
              <w:t>fines_accumulation</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0.985</w:t>
            </w:r>
          </w:p>
        </w:tc>
        <w:tc>
          <w:tcPr>
            <w:tcW w:w="686" w:type="pct"/>
            <w:vAlign w:val="center"/>
          </w:tcPr>
          <w:p w:rsidR="004E4104" w:rsidRPr="00AB200C" w:rsidRDefault="00380D34" w:rsidP="00AB200C">
            <w:pPr>
              <w:spacing w:line="240" w:lineRule="auto"/>
              <w:rPr>
                <w:sz w:val="18"/>
              </w:rPr>
            </w:pPr>
            <w:r w:rsidRPr="00AB200C">
              <w:rPr>
                <w:sz w:val="18"/>
                <w:szCs w:val="17"/>
              </w:rPr>
              <w:t>0.333</w:t>
            </w:r>
          </w:p>
        </w:tc>
        <w:tc>
          <w:tcPr>
            <w:tcW w:w="670" w:type="pct"/>
            <w:vAlign w:val="center"/>
          </w:tcPr>
          <w:p w:rsidR="004E4104" w:rsidRPr="00AB200C" w:rsidRDefault="00380D34" w:rsidP="00AB200C">
            <w:pPr>
              <w:spacing w:line="240" w:lineRule="auto"/>
              <w:rPr>
                <w:sz w:val="18"/>
              </w:rPr>
            </w:pPr>
            <w:r w:rsidRPr="00AB200C">
              <w:rPr>
                <w:sz w:val="18"/>
                <w:szCs w:val="17"/>
              </w:rPr>
              <w:t>0.460</w:t>
            </w:r>
          </w:p>
        </w:tc>
        <w:tc>
          <w:tcPr>
            <w:tcW w:w="683" w:type="pct"/>
            <w:vAlign w:val="center"/>
          </w:tcPr>
          <w:p w:rsidR="004E4104" w:rsidRPr="00AB200C" w:rsidRDefault="00380D34" w:rsidP="00AB200C">
            <w:pPr>
              <w:spacing w:line="240" w:lineRule="auto"/>
              <w:rPr>
                <w:sz w:val="18"/>
              </w:rPr>
            </w:pPr>
            <w:r w:rsidRPr="00AB200C">
              <w:rPr>
                <w:sz w:val="18"/>
                <w:szCs w:val="17"/>
              </w:rPr>
              <w:t>0.962</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seasonal</w:t>
            </w:r>
          </w:p>
        </w:tc>
        <w:tc>
          <w:tcPr>
            <w:tcW w:w="900" w:type="pct"/>
            <w:vAlign w:val="center"/>
          </w:tcPr>
          <w:p w:rsidR="004E4104" w:rsidRPr="00AB200C" w:rsidRDefault="00380D34" w:rsidP="00AB200C">
            <w:pPr>
              <w:spacing w:line="240" w:lineRule="auto"/>
              <w:rPr>
                <w:sz w:val="18"/>
              </w:rPr>
            </w:pPr>
            <w:r w:rsidRPr="00AB200C">
              <w:rPr>
                <w:sz w:val="18"/>
                <w:szCs w:val="17"/>
              </w:rPr>
              <w:t>fines_washout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0.984</w:t>
            </w:r>
          </w:p>
        </w:tc>
        <w:tc>
          <w:tcPr>
            <w:tcW w:w="686" w:type="pct"/>
            <w:vAlign w:val="center"/>
          </w:tcPr>
          <w:p w:rsidR="004E4104" w:rsidRPr="00AB200C" w:rsidRDefault="00380D34" w:rsidP="00AB200C">
            <w:pPr>
              <w:spacing w:line="240" w:lineRule="auto"/>
              <w:rPr>
                <w:sz w:val="18"/>
              </w:rPr>
            </w:pPr>
            <w:r w:rsidRPr="00AB200C">
              <w:rPr>
                <w:sz w:val="18"/>
                <w:szCs w:val="17"/>
              </w:rPr>
              <w:t>0.238</w:t>
            </w:r>
          </w:p>
        </w:tc>
        <w:tc>
          <w:tcPr>
            <w:tcW w:w="670" w:type="pct"/>
            <w:vAlign w:val="center"/>
          </w:tcPr>
          <w:p w:rsidR="004E4104" w:rsidRPr="00AB200C" w:rsidRDefault="00380D34" w:rsidP="00AB200C">
            <w:pPr>
              <w:spacing w:line="240" w:lineRule="auto"/>
              <w:rPr>
                <w:sz w:val="18"/>
              </w:rPr>
            </w:pPr>
            <w:r w:rsidRPr="00AB200C">
              <w:rPr>
                <w:sz w:val="18"/>
                <w:szCs w:val="17"/>
              </w:rPr>
              <w:t>0.481</w:t>
            </w:r>
          </w:p>
        </w:tc>
        <w:tc>
          <w:tcPr>
            <w:tcW w:w="683" w:type="pct"/>
            <w:vAlign w:val="center"/>
          </w:tcPr>
          <w:p w:rsidR="004E4104" w:rsidRPr="00AB200C" w:rsidRDefault="00380D34" w:rsidP="00AB200C">
            <w:pPr>
              <w:spacing w:line="240" w:lineRule="auto"/>
              <w:rPr>
                <w:sz w:val="18"/>
              </w:rPr>
            </w:pPr>
            <w:r w:rsidRPr="00AB200C">
              <w:rPr>
                <w:sz w:val="18"/>
                <w:szCs w:val="17"/>
              </w:rPr>
              <w:t>0.885</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extreme</w:t>
            </w:r>
          </w:p>
        </w:tc>
        <w:tc>
          <w:tcPr>
            <w:tcW w:w="900" w:type="pct"/>
            <w:vAlign w:val="center"/>
          </w:tcPr>
          <w:p w:rsidR="004E4104" w:rsidRPr="00AB200C" w:rsidRDefault="00380D34" w:rsidP="00AB200C">
            <w:pPr>
              <w:spacing w:line="240" w:lineRule="auto"/>
              <w:rPr>
                <w:sz w:val="18"/>
              </w:rPr>
            </w:pPr>
            <w:r w:rsidRPr="00AB200C">
              <w:rPr>
                <w:sz w:val="18"/>
                <w:szCs w:val="17"/>
              </w:rPr>
              <w:t>constant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0.995</w:t>
            </w:r>
          </w:p>
        </w:tc>
        <w:tc>
          <w:tcPr>
            <w:tcW w:w="686" w:type="pct"/>
            <w:vAlign w:val="center"/>
          </w:tcPr>
          <w:p w:rsidR="004E4104" w:rsidRPr="00AB200C" w:rsidRDefault="00380D34" w:rsidP="00AB200C">
            <w:pPr>
              <w:spacing w:line="240" w:lineRule="auto"/>
              <w:rPr>
                <w:sz w:val="18"/>
              </w:rPr>
            </w:pPr>
            <w:r w:rsidRPr="00AB200C">
              <w:rPr>
                <w:sz w:val="18"/>
                <w:szCs w:val="17"/>
              </w:rPr>
              <w:t>0.218</w:t>
            </w:r>
          </w:p>
        </w:tc>
        <w:tc>
          <w:tcPr>
            <w:tcW w:w="670" w:type="pct"/>
            <w:vAlign w:val="center"/>
          </w:tcPr>
          <w:p w:rsidR="004E4104" w:rsidRPr="00AB200C" w:rsidRDefault="00380D34" w:rsidP="00AB200C">
            <w:pPr>
              <w:spacing w:line="240" w:lineRule="auto"/>
              <w:rPr>
                <w:sz w:val="18"/>
              </w:rPr>
            </w:pPr>
            <w:r w:rsidRPr="00AB200C">
              <w:rPr>
                <w:sz w:val="18"/>
                <w:szCs w:val="17"/>
              </w:rPr>
              <w:t>0.468</w:t>
            </w:r>
          </w:p>
        </w:tc>
        <w:tc>
          <w:tcPr>
            <w:tcW w:w="683" w:type="pct"/>
            <w:vAlign w:val="center"/>
          </w:tcPr>
          <w:p w:rsidR="004E4104" w:rsidRPr="00AB200C" w:rsidRDefault="00380D34" w:rsidP="00AB200C">
            <w:pPr>
              <w:spacing w:line="240" w:lineRule="auto"/>
              <w:rPr>
                <w:sz w:val="18"/>
              </w:rPr>
            </w:pPr>
            <w:r w:rsidRPr="00AB200C">
              <w:rPr>
                <w:sz w:val="18"/>
                <w:szCs w:val="17"/>
              </w:rPr>
              <w:t>0.962</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01" w:type="pct"/>
            <w:vAlign w:val="center"/>
          </w:tcPr>
          <w:p w:rsidR="004E4104" w:rsidRPr="00AB200C" w:rsidRDefault="00380D34" w:rsidP="00AB200C">
            <w:pPr>
              <w:spacing w:line="240" w:lineRule="auto"/>
              <w:rPr>
                <w:sz w:val="18"/>
              </w:rPr>
            </w:pPr>
            <w:r w:rsidRPr="00AB200C">
              <w:rPr>
                <w:sz w:val="18"/>
                <w:szCs w:val="17"/>
              </w:rPr>
              <w:t>extreme</w:t>
            </w:r>
          </w:p>
        </w:tc>
        <w:tc>
          <w:tcPr>
            <w:tcW w:w="900" w:type="pct"/>
            <w:vAlign w:val="center"/>
          </w:tcPr>
          <w:p w:rsidR="004E4104" w:rsidRPr="00AB200C" w:rsidRDefault="00380D34" w:rsidP="00AB200C">
            <w:pPr>
              <w:spacing w:line="240" w:lineRule="auto"/>
              <w:rPr>
                <w:sz w:val="18"/>
              </w:rPr>
            </w:pPr>
            <w:r w:rsidRPr="00AB200C">
              <w:rPr>
                <w:sz w:val="18"/>
                <w:szCs w:val="17"/>
              </w:rPr>
              <w:t>fines_accumulation</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0.990</w:t>
            </w:r>
          </w:p>
        </w:tc>
        <w:tc>
          <w:tcPr>
            <w:tcW w:w="686" w:type="pct"/>
            <w:vAlign w:val="center"/>
          </w:tcPr>
          <w:p w:rsidR="004E4104" w:rsidRPr="00AB200C" w:rsidRDefault="00380D34" w:rsidP="00AB200C">
            <w:pPr>
              <w:spacing w:line="240" w:lineRule="auto"/>
              <w:rPr>
                <w:sz w:val="18"/>
              </w:rPr>
            </w:pPr>
            <w:r w:rsidRPr="00AB200C">
              <w:rPr>
                <w:sz w:val="18"/>
                <w:szCs w:val="17"/>
              </w:rPr>
              <w:t>0.245</w:t>
            </w:r>
          </w:p>
        </w:tc>
        <w:tc>
          <w:tcPr>
            <w:tcW w:w="670" w:type="pct"/>
            <w:vAlign w:val="center"/>
          </w:tcPr>
          <w:p w:rsidR="004E4104" w:rsidRPr="00AB200C" w:rsidRDefault="00380D34" w:rsidP="00AB200C">
            <w:pPr>
              <w:spacing w:line="240" w:lineRule="auto"/>
              <w:rPr>
                <w:sz w:val="18"/>
              </w:rPr>
            </w:pPr>
            <w:r w:rsidRPr="00AB200C">
              <w:rPr>
                <w:sz w:val="18"/>
                <w:szCs w:val="17"/>
              </w:rPr>
              <w:t>0.453</w:t>
            </w:r>
          </w:p>
        </w:tc>
        <w:tc>
          <w:tcPr>
            <w:tcW w:w="683" w:type="pct"/>
            <w:vAlign w:val="center"/>
          </w:tcPr>
          <w:p w:rsidR="004E4104" w:rsidRPr="00AB200C" w:rsidRDefault="00380D34" w:rsidP="00AB200C">
            <w:pPr>
              <w:spacing w:line="240" w:lineRule="auto"/>
              <w:rPr>
                <w:sz w:val="18"/>
              </w:rPr>
            </w:pPr>
            <w:r w:rsidRPr="00AB200C">
              <w:rPr>
                <w:sz w:val="18"/>
                <w:szCs w:val="17"/>
              </w:rPr>
              <w:t>0.962</w:t>
            </w:r>
          </w:p>
        </w:tc>
      </w:tr>
      <w:tr w:rsidR="00DF474B" w:rsidRPr="00380D34" w:rsidTr="00AB200C">
        <w:trPr>
          <w:jc w:val="center"/>
        </w:trPr>
        <w:tc>
          <w:tcPr>
            <w:tcW w:w="701" w:type="pct"/>
            <w:vAlign w:val="center"/>
          </w:tcPr>
          <w:p w:rsidR="004E4104" w:rsidRPr="00AB200C" w:rsidRDefault="00380D34" w:rsidP="00AB200C">
            <w:pPr>
              <w:spacing w:line="240" w:lineRule="auto"/>
              <w:rPr>
                <w:sz w:val="18"/>
              </w:rPr>
            </w:pPr>
            <w:r w:rsidRPr="00AB200C">
              <w:rPr>
                <w:sz w:val="18"/>
                <w:szCs w:val="17"/>
              </w:rPr>
              <w:t>extreme</w:t>
            </w:r>
          </w:p>
        </w:tc>
        <w:tc>
          <w:tcPr>
            <w:tcW w:w="900" w:type="pct"/>
            <w:vAlign w:val="center"/>
          </w:tcPr>
          <w:p w:rsidR="004E4104" w:rsidRPr="00AB200C" w:rsidRDefault="00380D34" w:rsidP="00AB200C">
            <w:pPr>
              <w:spacing w:line="240" w:lineRule="auto"/>
              <w:rPr>
                <w:sz w:val="18"/>
              </w:rPr>
            </w:pPr>
            <w:r w:rsidRPr="00AB200C">
              <w:rPr>
                <w:sz w:val="18"/>
                <w:szCs w:val="17"/>
              </w:rPr>
              <w:t>fines_washout</w:t>
            </w:r>
          </w:p>
        </w:tc>
        <w:tc>
          <w:tcPr>
            <w:tcW w:w="649" w:type="pct"/>
            <w:vAlign w:val="center"/>
          </w:tcPr>
          <w:p w:rsidR="004E4104" w:rsidRPr="00AB200C" w:rsidRDefault="00380D34" w:rsidP="00AB200C">
            <w:pPr>
              <w:spacing w:line="240" w:lineRule="auto"/>
              <w:rPr>
                <w:sz w:val="18"/>
              </w:rPr>
            </w:pPr>
            <w:r w:rsidRPr="00AB200C">
              <w:rPr>
                <w:sz w:val="18"/>
                <w:szCs w:val="17"/>
              </w:rPr>
              <w:t>104</w:t>
            </w:r>
          </w:p>
        </w:tc>
        <w:tc>
          <w:tcPr>
            <w:tcW w:w="710" w:type="pct"/>
            <w:vAlign w:val="center"/>
          </w:tcPr>
          <w:p w:rsidR="004E4104" w:rsidRPr="00AB200C" w:rsidRDefault="00380D34" w:rsidP="00AB200C">
            <w:pPr>
              <w:spacing w:line="240" w:lineRule="auto"/>
              <w:rPr>
                <w:sz w:val="18"/>
              </w:rPr>
            </w:pPr>
            <w:r w:rsidRPr="00AB200C">
              <w:rPr>
                <w:sz w:val="18"/>
                <w:szCs w:val="17"/>
              </w:rPr>
              <w:t>0.994</w:t>
            </w:r>
          </w:p>
        </w:tc>
        <w:tc>
          <w:tcPr>
            <w:tcW w:w="686" w:type="pct"/>
            <w:vAlign w:val="center"/>
          </w:tcPr>
          <w:p w:rsidR="004E4104" w:rsidRPr="00AB200C" w:rsidRDefault="00380D34" w:rsidP="00AB200C">
            <w:pPr>
              <w:spacing w:line="240" w:lineRule="auto"/>
              <w:rPr>
                <w:sz w:val="18"/>
              </w:rPr>
            </w:pPr>
            <w:r w:rsidRPr="00AB200C">
              <w:rPr>
                <w:sz w:val="18"/>
                <w:szCs w:val="17"/>
              </w:rPr>
              <w:t>0.202</w:t>
            </w:r>
          </w:p>
        </w:tc>
        <w:tc>
          <w:tcPr>
            <w:tcW w:w="670" w:type="pct"/>
            <w:vAlign w:val="center"/>
          </w:tcPr>
          <w:p w:rsidR="004E4104" w:rsidRPr="00AB200C" w:rsidRDefault="00380D34" w:rsidP="00AB200C">
            <w:pPr>
              <w:spacing w:line="240" w:lineRule="auto"/>
              <w:rPr>
                <w:sz w:val="18"/>
              </w:rPr>
            </w:pPr>
            <w:r w:rsidRPr="00AB200C">
              <w:rPr>
                <w:sz w:val="18"/>
                <w:szCs w:val="17"/>
              </w:rPr>
              <w:t>0.477</w:t>
            </w:r>
          </w:p>
        </w:tc>
        <w:tc>
          <w:tcPr>
            <w:tcW w:w="683" w:type="pct"/>
            <w:vAlign w:val="center"/>
          </w:tcPr>
          <w:p w:rsidR="004E4104" w:rsidRPr="00AB200C" w:rsidRDefault="00380D34" w:rsidP="00AB200C">
            <w:pPr>
              <w:spacing w:line="240" w:lineRule="auto"/>
              <w:rPr>
                <w:sz w:val="18"/>
              </w:rPr>
            </w:pPr>
            <w:r w:rsidRPr="00AB200C">
              <w:rPr>
                <w:sz w:val="18"/>
                <w:szCs w:val="17"/>
              </w:rPr>
              <w:t>0.885</w:t>
            </w:r>
          </w:p>
        </w:tc>
      </w:tr>
    </w:tbl>
    <w:p w:rsidR="000A5A2B" w:rsidRPr="008F6A0C" w:rsidRDefault="000A5A2B" w:rsidP="000A5A2B">
      <w:pPr>
        <w:pStyle w:val="Tabletitle"/>
        <w:rPr>
          <w:b/>
          <w:color w:val="000000"/>
        </w:rPr>
      </w:pPr>
      <w:r>
        <w:t>Table 14. Vertical-dependence sensitivity for the extreme/fines-accumulation final state.</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1215"/>
        <w:gridCol w:w="1215"/>
        <w:gridCol w:w="1215"/>
        <w:gridCol w:w="1215"/>
        <w:gridCol w:w="1215"/>
        <w:gridCol w:w="1215"/>
        <w:gridCol w:w="1214"/>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714" w:type="pct"/>
            <w:vAlign w:val="center"/>
          </w:tcPr>
          <w:p w:rsidR="004E4104" w:rsidRPr="00AB200C" w:rsidRDefault="00380D34" w:rsidP="00AB200C">
            <w:pPr>
              <w:spacing w:line="240" w:lineRule="auto"/>
              <w:rPr>
                <w:sz w:val="18"/>
              </w:rPr>
            </w:pPr>
            <w:r w:rsidRPr="00AB200C">
              <w:rPr>
                <w:sz w:val="18"/>
                <w:szCs w:val="17"/>
              </w:rPr>
              <w:t>rho</w:t>
            </w:r>
          </w:p>
        </w:tc>
        <w:tc>
          <w:tcPr>
            <w:tcW w:w="714" w:type="pct"/>
            <w:vAlign w:val="center"/>
          </w:tcPr>
          <w:p w:rsidR="004E4104" w:rsidRPr="00AB200C" w:rsidRDefault="00380D34" w:rsidP="00AB200C">
            <w:pPr>
              <w:spacing w:line="240" w:lineRule="auto"/>
              <w:rPr>
                <w:sz w:val="18"/>
              </w:rPr>
            </w:pPr>
            <w:r w:rsidRPr="00AB200C">
              <w:rPr>
                <w:sz w:val="18"/>
                <w:szCs w:val="17"/>
              </w:rPr>
              <w:t>Psys copula</w:t>
            </w:r>
          </w:p>
        </w:tc>
        <w:tc>
          <w:tcPr>
            <w:tcW w:w="714" w:type="pct"/>
            <w:vAlign w:val="center"/>
          </w:tcPr>
          <w:p w:rsidR="004E4104" w:rsidRPr="00AB200C" w:rsidRDefault="00380D34" w:rsidP="00AB200C">
            <w:pPr>
              <w:spacing w:line="240" w:lineRule="auto"/>
              <w:rPr>
                <w:sz w:val="18"/>
              </w:rPr>
            </w:pPr>
            <w:r w:rsidRPr="00AB200C">
              <w:rPr>
                <w:sz w:val="18"/>
                <w:szCs w:val="17"/>
              </w:rPr>
              <w:t>Psys independent</w:t>
            </w:r>
          </w:p>
        </w:tc>
        <w:tc>
          <w:tcPr>
            <w:tcW w:w="714" w:type="pct"/>
            <w:vAlign w:val="center"/>
          </w:tcPr>
          <w:p w:rsidR="004E4104" w:rsidRPr="00AB200C" w:rsidRDefault="00380D34" w:rsidP="00AB200C">
            <w:pPr>
              <w:spacing w:line="240" w:lineRule="auto"/>
              <w:rPr>
                <w:sz w:val="18"/>
              </w:rPr>
            </w:pPr>
            <w:r w:rsidRPr="00AB200C">
              <w:rPr>
                <w:sz w:val="18"/>
                <w:szCs w:val="17"/>
              </w:rPr>
              <w:t>Frechet lower</w:t>
            </w:r>
          </w:p>
        </w:tc>
        <w:tc>
          <w:tcPr>
            <w:tcW w:w="714" w:type="pct"/>
            <w:vAlign w:val="center"/>
          </w:tcPr>
          <w:p w:rsidR="004E4104" w:rsidRPr="00AB200C" w:rsidRDefault="00380D34" w:rsidP="00AB200C">
            <w:pPr>
              <w:spacing w:line="240" w:lineRule="auto"/>
              <w:rPr>
                <w:sz w:val="18"/>
              </w:rPr>
            </w:pPr>
            <w:r w:rsidRPr="00AB200C">
              <w:rPr>
                <w:sz w:val="18"/>
                <w:szCs w:val="17"/>
              </w:rPr>
              <w:t>Frechet upper</w:t>
            </w:r>
          </w:p>
        </w:tc>
        <w:tc>
          <w:tcPr>
            <w:tcW w:w="714" w:type="pct"/>
            <w:vAlign w:val="center"/>
          </w:tcPr>
          <w:p w:rsidR="004E4104" w:rsidRPr="00AB200C" w:rsidRDefault="00380D34" w:rsidP="00AB200C">
            <w:pPr>
              <w:spacing w:line="240" w:lineRule="auto"/>
              <w:rPr>
                <w:sz w:val="18"/>
              </w:rPr>
            </w:pPr>
            <w:r w:rsidRPr="00AB200C">
              <w:rPr>
                <w:sz w:val="18"/>
                <w:szCs w:val="17"/>
              </w:rPr>
              <w:t>n sim</w:t>
            </w:r>
          </w:p>
        </w:tc>
        <w:tc>
          <w:tcPr>
            <w:tcW w:w="714" w:type="pct"/>
            <w:vAlign w:val="center"/>
          </w:tcPr>
          <w:p w:rsidR="004E4104" w:rsidRPr="00AB200C" w:rsidRDefault="00380D34" w:rsidP="00AB200C">
            <w:pPr>
              <w:spacing w:line="240" w:lineRule="auto"/>
              <w:rPr>
                <w:sz w:val="18"/>
              </w:rPr>
            </w:pPr>
            <w:r w:rsidRPr="00AB200C">
              <w:rPr>
                <w:sz w:val="18"/>
                <w:szCs w:val="17"/>
              </w:rPr>
              <w:t>Status</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14" w:type="pct"/>
            <w:vAlign w:val="center"/>
          </w:tcPr>
          <w:p w:rsidR="004E4104" w:rsidRPr="00AB200C" w:rsidRDefault="00380D34" w:rsidP="00AB200C">
            <w:pPr>
              <w:spacing w:line="240" w:lineRule="auto"/>
              <w:rPr>
                <w:sz w:val="18"/>
              </w:rPr>
            </w:pPr>
            <w:r w:rsidRPr="00AB200C">
              <w:rPr>
                <w:sz w:val="18"/>
                <w:szCs w:val="17"/>
              </w:rPr>
              <w:t>0.0</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r w:rsidR="00DF474B" w:rsidRPr="00380D34" w:rsidTr="00AB200C">
        <w:trPr>
          <w:jc w:val="center"/>
        </w:trPr>
        <w:tc>
          <w:tcPr>
            <w:tcW w:w="714" w:type="pct"/>
            <w:vAlign w:val="center"/>
          </w:tcPr>
          <w:p w:rsidR="004E4104" w:rsidRPr="00AB200C" w:rsidRDefault="00380D34" w:rsidP="00AB200C">
            <w:pPr>
              <w:spacing w:line="240" w:lineRule="auto"/>
              <w:rPr>
                <w:sz w:val="18"/>
              </w:rPr>
            </w:pPr>
            <w:r w:rsidRPr="00AB200C">
              <w:rPr>
                <w:sz w:val="18"/>
                <w:szCs w:val="17"/>
              </w:rPr>
              <w:t>0.3</w:t>
            </w:r>
          </w:p>
        </w:tc>
        <w:tc>
          <w:tcPr>
            <w:tcW w:w="714" w:type="pct"/>
            <w:vAlign w:val="center"/>
          </w:tcPr>
          <w:p w:rsidR="004E4104" w:rsidRPr="00AB200C" w:rsidRDefault="00380D34" w:rsidP="00AB200C">
            <w:pPr>
              <w:spacing w:line="240" w:lineRule="auto"/>
              <w:rPr>
                <w:sz w:val="18"/>
              </w:rPr>
            </w:pPr>
            <w:r w:rsidRPr="00AB200C">
              <w:rPr>
                <w:sz w:val="18"/>
                <w:szCs w:val="17"/>
              </w:rPr>
              <w:t>0.968</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714" w:type="pct"/>
            <w:vAlign w:val="center"/>
          </w:tcPr>
          <w:p w:rsidR="004E4104" w:rsidRPr="00AB200C" w:rsidRDefault="00380D34" w:rsidP="00AB200C">
            <w:pPr>
              <w:spacing w:line="240" w:lineRule="auto"/>
              <w:rPr>
                <w:sz w:val="18"/>
              </w:rPr>
            </w:pPr>
            <w:r w:rsidRPr="00AB200C">
              <w:rPr>
                <w:sz w:val="18"/>
                <w:szCs w:val="17"/>
              </w:rPr>
              <w:t>0.6</w:t>
            </w:r>
          </w:p>
        </w:tc>
        <w:tc>
          <w:tcPr>
            <w:tcW w:w="714" w:type="pct"/>
            <w:vAlign w:val="center"/>
          </w:tcPr>
          <w:p w:rsidR="004E4104" w:rsidRPr="00AB200C" w:rsidRDefault="00380D34" w:rsidP="00AB200C">
            <w:pPr>
              <w:spacing w:line="240" w:lineRule="auto"/>
              <w:rPr>
                <w:sz w:val="18"/>
              </w:rPr>
            </w:pPr>
            <w:r w:rsidRPr="00AB200C">
              <w:rPr>
                <w:sz w:val="18"/>
                <w:szCs w:val="17"/>
              </w:rPr>
              <w:t>0.944</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r w:rsidR="004E4104" w:rsidRPr="00380D34" w:rsidTr="00AB200C">
        <w:trPr>
          <w:jc w:val="center"/>
        </w:trPr>
        <w:tc>
          <w:tcPr>
            <w:tcW w:w="714" w:type="pct"/>
            <w:vAlign w:val="center"/>
          </w:tcPr>
          <w:p w:rsidR="004E4104" w:rsidRPr="00AB200C" w:rsidRDefault="00380D34" w:rsidP="00AB200C">
            <w:pPr>
              <w:spacing w:line="240" w:lineRule="auto"/>
              <w:rPr>
                <w:sz w:val="18"/>
              </w:rPr>
            </w:pPr>
            <w:r w:rsidRPr="00AB200C">
              <w:rPr>
                <w:sz w:val="18"/>
                <w:szCs w:val="17"/>
              </w:rPr>
              <w:t>0.9</w:t>
            </w:r>
          </w:p>
        </w:tc>
        <w:tc>
          <w:tcPr>
            <w:tcW w:w="714" w:type="pct"/>
            <w:vAlign w:val="center"/>
          </w:tcPr>
          <w:p w:rsidR="004E4104" w:rsidRPr="00AB200C" w:rsidRDefault="00380D34" w:rsidP="00AB200C">
            <w:pPr>
              <w:spacing w:line="240" w:lineRule="auto"/>
              <w:rPr>
                <w:sz w:val="18"/>
              </w:rPr>
            </w:pPr>
            <w:r w:rsidRPr="00AB200C">
              <w:rPr>
                <w:sz w:val="18"/>
                <w:szCs w:val="17"/>
              </w:rPr>
              <w:t>0.915</w:t>
            </w:r>
          </w:p>
        </w:tc>
        <w:tc>
          <w:tcPr>
            <w:tcW w:w="714" w:type="pct"/>
            <w:vAlign w:val="center"/>
          </w:tcPr>
          <w:p w:rsidR="004E4104" w:rsidRPr="00AB200C" w:rsidRDefault="00380D34" w:rsidP="00AB200C">
            <w:pPr>
              <w:spacing w:line="240" w:lineRule="auto"/>
              <w:rPr>
                <w:sz w:val="18"/>
              </w:rPr>
            </w:pPr>
            <w:r w:rsidRPr="00AB200C">
              <w:rPr>
                <w:sz w:val="18"/>
                <w:szCs w:val="17"/>
              </w:rPr>
              <w:t>0.989</w:t>
            </w:r>
          </w:p>
        </w:tc>
        <w:tc>
          <w:tcPr>
            <w:tcW w:w="714" w:type="pct"/>
            <w:vAlign w:val="center"/>
          </w:tcPr>
          <w:p w:rsidR="004E4104" w:rsidRPr="00AB200C" w:rsidRDefault="00380D34" w:rsidP="00AB200C">
            <w:pPr>
              <w:spacing w:line="240" w:lineRule="auto"/>
              <w:rPr>
                <w:sz w:val="18"/>
              </w:rPr>
            </w:pPr>
            <w:r w:rsidRPr="00AB200C">
              <w:rPr>
                <w:sz w:val="18"/>
                <w:szCs w:val="17"/>
              </w:rPr>
              <w:t>0.906</w:t>
            </w:r>
          </w:p>
        </w:tc>
        <w:tc>
          <w:tcPr>
            <w:tcW w:w="714" w:type="pct"/>
            <w:vAlign w:val="center"/>
          </w:tcPr>
          <w:p w:rsidR="004E4104" w:rsidRPr="00AB200C" w:rsidRDefault="00380D34" w:rsidP="00AB200C">
            <w:pPr>
              <w:spacing w:line="240" w:lineRule="auto"/>
              <w:rPr>
                <w:sz w:val="18"/>
              </w:rPr>
            </w:pPr>
            <w:r w:rsidRPr="00AB200C">
              <w:rPr>
                <w:sz w:val="18"/>
                <w:szCs w:val="17"/>
              </w:rPr>
              <w:t>1.000</w:t>
            </w:r>
          </w:p>
        </w:tc>
        <w:tc>
          <w:tcPr>
            <w:tcW w:w="714" w:type="pct"/>
            <w:vAlign w:val="center"/>
          </w:tcPr>
          <w:p w:rsidR="004E4104" w:rsidRPr="00AB200C" w:rsidRDefault="00380D34" w:rsidP="00AB200C">
            <w:pPr>
              <w:spacing w:line="240" w:lineRule="auto"/>
              <w:rPr>
                <w:sz w:val="18"/>
              </w:rPr>
            </w:pPr>
            <w:r w:rsidRPr="00AB200C">
              <w:rPr>
                <w:sz w:val="18"/>
                <w:szCs w:val="17"/>
              </w:rPr>
              <w:t>50000</w:t>
            </w:r>
          </w:p>
        </w:tc>
        <w:tc>
          <w:tcPr>
            <w:tcW w:w="714" w:type="pct"/>
            <w:vAlign w:val="center"/>
          </w:tcPr>
          <w:p w:rsidR="004E4104" w:rsidRPr="00AB200C" w:rsidRDefault="00380D34" w:rsidP="00AB200C">
            <w:pPr>
              <w:spacing w:line="240" w:lineRule="auto"/>
              <w:rPr>
                <w:sz w:val="18"/>
              </w:rPr>
            </w:pPr>
            <w:r w:rsidRPr="00AB200C">
              <w:rPr>
                <w:sz w:val="18"/>
                <w:szCs w:val="17"/>
              </w:rPr>
              <w:t>dependence diagnostic</w:t>
            </w:r>
          </w:p>
        </w:tc>
      </w:tr>
    </w:tbl>
    <w:p w:rsidR="000A5A2B" w:rsidRPr="008F6A0C" w:rsidRDefault="000A5A2B" w:rsidP="000A5A2B">
      <w:pPr>
        <w:pStyle w:val="Tabletitle"/>
        <w:rPr>
          <w:b/>
          <w:color w:val="000000"/>
        </w:rPr>
      </w:pPr>
      <w:r>
        <w:t>Table 15. External case-history compatibility metrics for the Hu full set and Wenchuan documented-earthquake subset.</w:t>
      </w:r>
    </w:p>
    <w:tbl>
      <w:tblPr>
        <w:tblStyle w:val="PlainTable2"/>
        <w:tblW w:w="5000" w:type="pct"/>
        <w:jc w:val="center"/>
        <w:tblCellMar>
          <w:top w:w="40" w:type="dxa"/>
          <w:left w:w="60" w:type="dxa"/>
          <w:bottom w:w="40" w:type="dxa"/>
          <w:right w:w="60" w:type="dxa"/>
        </w:tblCellMar>
        <w:tblLook w:val="0420" w:firstRow="1" w:lastRow="0" w:firstColumn="0" w:lastColumn="0" w:noHBand="0" w:noVBand="1"/>
      </w:tblPr>
      <w:tblGrid>
        <w:gridCol w:w="890"/>
        <w:gridCol w:w="1665"/>
        <w:gridCol w:w="477"/>
        <w:gridCol w:w="671"/>
        <w:gridCol w:w="525"/>
        <w:gridCol w:w="531"/>
        <w:gridCol w:w="912"/>
        <w:gridCol w:w="476"/>
        <w:gridCol w:w="458"/>
        <w:gridCol w:w="459"/>
        <w:gridCol w:w="459"/>
        <w:gridCol w:w="981"/>
      </w:tblGrid>
      <w:tr w:rsidR="00DF474B" w:rsidRPr="00AB200C" w:rsidTr="00AB200C">
        <w:trPr>
          <w:cnfStyle w:val="100000000000" w:firstRow="1" w:lastRow="0" w:firstColumn="0" w:lastColumn="0" w:oddVBand="0" w:evenVBand="0" w:oddHBand="0" w:evenHBand="0" w:firstRowFirstColumn="0" w:firstRowLastColumn="0" w:lastRowFirstColumn="0" w:lastRowLastColumn="0"/>
          <w:tblHeader/>
          <w:jc w:val="center"/>
        </w:trPr>
        <w:tc>
          <w:tcPr>
            <w:tcW w:w="523" w:type="pct"/>
            <w:vAlign w:val="center"/>
          </w:tcPr>
          <w:p w:rsidR="004E4104" w:rsidRPr="00AB200C" w:rsidRDefault="00380D34" w:rsidP="00AB200C">
            <w:pPr>
              <w:spacing w:line="240" w:lineRule="auto"/>
              <w:rPr>
                <w:sz w:val="18"/>
              </w:rPr>
            </w:pPr>
            <w:r w:rsidRPr="00AB200C">
              <w:rPr>
                <w:sz w:val="18"/>
                <w:szCs w:val="17"/>
              </w:rPr>
              <w:t>Group</w:t>
            </w:r>
          </w:p>
        </w:tc>
        <w:tc>
          <w:tcPr>
            <w:tcW w:w="979" w:type="pct"/>
            <w:vAlign w:val="center"/>
          </w:tcPr>
          <w:p w:rsidR="004E4104" w:rsidRPr="00AB200C" w:rsidRDefault="00380D34" w:rsidP="00AB200C">
            <w:pPr>
              <w:spacing w:line="240" w:lineRule="auto"/>
              <w:rPr>
                <w:sz w:val="18"/>
              </w:rPr>
            </w:pPr>
            <w:r w:rsidRPr="00AB200C">
              <w:rPr>
                <w:sz w:val="18"/>
                <w:szCs w:val="17"/>
              </w:rPr>
              <w:t>Predictor</w:t>
            </w:r>
          </w:p>
        </w:tc>
        <w:tc>
          <w:tcPr>
            <w:tcW w:w="281" w:type="pct"/>
            <w:vAlign w:val="center"/>
          </w:tcPr>
          <w:p w:rsidR="004E4104" w:rsidRPr="00AB200C" w:rsidRDefault="00380D34" w:rsidP="00AB200C">
            <w:pPr>
              <w:spacing w:line="240" w:lineRule="auto"/>
              <w:rPr>
                <w:sz w:val="18"/>
              </w:rPr>
            </w:pPr>
            <w:r w:rsidRPr="00AB200C">
              <w:rPr>
                <w:sz w:val="18"/>
                <w:szCs w:val="17"/>
              </w:rPr>
              <w:t>n</w:t>
            </w:r>
          </w:p>
        </w:tc>
        <w:tc>
          <w:tcPr>
            <w:tcW w:w="395" w:type="pct"/>
            <w:vAlign w:val="center"/>
          </w:tcPr>
          <w:p w:rsidR="004E4104" w:rsidRPr="00AB200C" w:rsidRDefault="00380D34" w:rsidP="00AB200C">
            <w:pPr>
              <w:spacing w:line="240" w:lineRule="auto"/>
              <w:rPr>
                <w:sz w:val="18"/>
              </w:rPr>
            </w:pPr>
            <w:r w:rsidRPr="00AB200C">
              <w:rPr>
                <w:sz w:val="18"/>
                <w:szCs w:val="17"/>
              </w:rPr>
              <w:t>L/Non-L</w:t>
            </w:r>
          </w:p>
        </w:tc>
        <w:tc>
          <w:tcPr>
            <w:tcW w:w="309" w:type="pct"/>
            <w:vAlign w:val="center"/>
          </w:tcPr>
          <w:p w:rsidR="004E4104" w:rsidRPr="00AB200C" w:rsidRDefault="00380D34" w:rsidP="00AB200C">
            <w:pPr>
              <w:spacing w:line="240" w:lineRule="auto"/>
              <w:rPr>
                <w:sz w:val="18"/>
              </w:rPr>
            </w:pPr>
            <w:r w:rsidRPr="00AB200C">
              <w:rPr>
                <w:sz w:val="18"/>
                <w:szCs w:val="17"/>
              </w:rPr>
              <w:t>AUC</w:t>
            </w:r>
          </w:p>
        </w:tc>
        <w:tc>
          <w:tcPr>
            <w:tcW w:w="312" w:type="pct"/>
            <w:vAlign w:val="center"/>
          </w:tcPr>
          <w:p w:rsidR="004E4104" w:rsidRPr="00AB200C" w:rsidRDefault="00380D34" w:rsidP="00AB200C">
            <w:pPr>
              <w:spacing w:line="240" w:lineRule="auto"/>
              <w:rPr>
                <w:sz w:val="18"/>
              </w:rPr>
            </w:pPr>
            <w:r w:rsidRPr="00AB200C">
              <w:rPr>
                <w:sz w:val="18"/>
                <w:szCs w:val="17"/>
              </w:rPr>
              <w:t>Brier</w:t>
            </w:r>
          </w:p>
        </w:tc>
        <w:tc>
          <w:tcPr>
            <w:tcW w:w="536" w:type="pct"/>
            <w:vAlign w:val="center"/>
          </w:tcPr>
          <w:p w:rsidR="004E4104" w:rsidRPr="00AB200C" w:rsidRDefault="00380D34" w:rsidP="00AB200C">
            <w:pPr>
              <w:spacing w:line="240" w:lineRule="auto"/>
              <w:rPr>
                <w:sz w:val="18"/>
              </w:rPr>
            </w:pPr>
            <w:r w:rsidRPr="00AB200C">
              <w:rPr>
                <w:sz w:val="18"/>
                <w:szCs w:val="17"/>
              </w:rPr>
              <w:t>Threshold</w:t>
            </w:r>
          </w:p>
        </w:tc>
        <w:tc>
          <w:tcPr>
            <w:tcW w:w="280" w:type="pct"/>
            <w:vAlign w:val="center"/>
          </w:tcPr>
          <w:p w:rsidR="004E4104" w:rsidRPr="00AB200C" w:rsidRDefault="00380D34" w:rsidP="00AB200C">
            <w:pPr>
              <w:spacing w:line="240" w:lineRule="auto"/>
              <w:rPr>
                <w:sz w:val="18"/>
              </w:rPr>
            </w:pPr>
            <w:r w:rsidRPr="00AB200C">
              <w:rPr>
                <w:sz w:val="18"/>
                <w:szCs w:val="17"/>
              </w:rPr>
              <w:t>TP</w:t>
            </w:r>
          </w:p>
        </w:tc>
        <w:tc>
          <w:tcPr>
            <w:tcW w:w="269" w:type="pct"/>
            <w:vAlign w:val="center"/>
          </w:tcPr>
          <w:p w:rsidR="004E4104" w:rsidRPr="00AB200C" w:rsidRDefault="00380D34" w:rsidP="00AB200C">
            <w:pPr>
              <w:spacing w:line="240" w:lineRule="auto"/>
              <w:rPr>
                <w:sz w:val="18"/>
              </w:rPr>
            </w:pPr>
            <w:r w:rsidRPr="00AB200C">
              <w:rPr>
                <w:sz w:val="18"/>
                <w:szCs w:val="17"/>
              </w:rPr>
              <w:t>FP</w:t>
            </w:r>
          </w:p>
        </w:tc>
        <w:tc>
          <w:tcPr>
            <w:tcW w:w="270" w:type="pct"/>
            <w:vAlign w:val="center"/>
          </w:tcPr>
          <w:p w:rsidR="004E4104" w:rsidRPr="00AB200C" w:rsidRDefault="00380D34" w:rsidP="00AB200C">
            <w:pPr>
              <w:spacing w:line="240" w:lineRule="auto"/>
              <w:rPr>
                <w:sz w:val="18"/>
              </w:rPr>
            </w:pPr>
            <w:r w:rsidRPr="00AB200C">
              <w:rPr>
                <w:sz w:val="18"/>
                <w:szCs w:val="17"/>
              </w:rPr>
              <w:t>TN</w:t>
            </w:r>
          </w:p>
        </w:tc>
        <w:tc>
          <w:tcPr>
            <w:tcW w:w="270" w:type="pct"/>
            <w:vAlign w:val="center"/>
          </w:tcPr>
          <w:p w:rsidR="004E4104" w:rsidRPr="00AB200C" w:rsidRDefault="00380D34" w:rsidP="00AB200C">
            <w:pPr>
              <w:spacing w:line="240" w:lineRule="auto"/>
              <w:rPr>
                <w:sz w:val="18"/>
              </w:rPr>
            </w:pPr>
            <w:r w:rsidRPr="00AB200C">
              <w:rPr>
                <w:sz w:val="18"/>
                <w:szCs w:val="17"/>
              </w:rPr>
              <w:t>FN</w:t>
            </w:r>
          </w:p>
        </w:tc>
        <w:tc>
          <w:tcPr>
            <w:tcW w:w="577" w:type="pct"/>
            <w:vAlign w:val="center"/>
          </w:tcPr>
          <w:p w:rsidR="004E4104" w:rsidRPr="00AB200C" w:rsidRDefault="00380D34" w:rsidP="00AB200C">
            <w:pPr>
              <w:spacing w:line="240" w:lineRule="auto"/>
              <w:rPr>
                <w:sz w:val="18"/>
              </w:rPr>
            </w:pPr>
            <w:r w:rsidRPr="00AB200C">
              <w:rPr>
                <w:sz w:val="18"/>
                <w:szCs w:val="17"/>
              </w:rPr>
              <w:t>Sens./Spec.</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Combined GW+CSR+N120+Vs</w:t>
            </w:r>
          </w:p>
        </w:tc>
        <w:tc>
          <w:tcPr>
            <w:tcW w:w="281" w:type="pct"/>
            <w:vAlign w:val="center"/>
          </w:tcPr>
          <w:p w:rsidR="004E4104" w:rsidRPr="00AB200C" w:rsidRDefault="00380D34" w:rsidP="00AB200C">
            <w:pPr>
              <w:spacing w:line="240" w:lineRule="auto"/>
              <w:rPr>
                <w:sz w:val="18"/>
              </w:rPr>
            </w:pPr>
            <w:r w:rsidRPr="00AB200C">
              <w:rPr>
                <w:sz w:val="18"/>
                <w:szCs w:val="17"/>
              </w:rPr>
              <w:t>234</w:t>
            </w:r>
          </w:p>
        </w:tc>
        <w:tc>
          <w:tcPr>
            <w:tcW w:w="395" w:type="pct"/>
            <w:vAlign w:val="center"/>
          </w:tcPr>
          <w:p w:rsidR="004E4104" w:rsidRPr="00AB200C" w:rsidRDefault="00380D34" w:rsidP="00AB200C">
            <w:pPr>
              <w:spacing w:line="240" w:lineRule="auto"/>
              <w:rPr>
                <w:sz w:val="18"/>
              </w:rPr>
            </w:pPr>
            <w:r w:rsidRPr="00AB200C">
              <w:rPr>
                <w:sz w:val="18"/>
                <w:szCs w:val="17"/>
              </w:rPr>
              <w:t>136/98</w:t>
            </w:r>
          </w:p>
        </w:tc>
        <w:tc>
          <w:tcPr>
            <w:tcW w:w="309" w:type="pct"/>
            <w:vAlign w:val="center"/>
          </w:tcPr>
          <w:p w:rsidR="004E4104" w:rsidRPr="00AB200C" w:rsidRDefault="00380D34" w:rsidP="00AB200C">
            <w:pPr>
              <w:spacing w:line="240" w:lineRule="auto"/>
              <w:rPr>
                <w:sz w:val="18"/>
              </w:rPr>
            </w:pPr>
            <w:r w:rsidRPr="00AB200C">
              <w:rPr>
                <w:sz w:val="18"/>
                <w:szCs w:val="17"/>
              </w:rPr>
              <w:t>0.811</w:t>
            </w:r>
          </w:p>
        </w:tc>
        <w:tc>
          <w:tcPr>
            <w:tcW w:w="312" w:type="pct"/>
            <w:vAlign w:val="center"/>
          </w:tcPr>
          <w:p w:rsidR="004E4104" w:rsidRPr="00AB200C" w:rsidRDefault="00380D34" w:rsidP="00AB200C">
            <w:pPr>
              <w:spacing w:line="240" w:lineRule="auto"/>
              <w:rPr>
                <w:sz w:val="18"/>
              </w:rPr>
            </w:pPr>
            <w:r w:rsidRPr="00AB200C">
              <w:rPr>
                <w:sz w:val="18"/>
                <w:szCs w:val="17"/>
              </w:rPr>
              <w:t>0.172</w:t>
            </w:r>
          </w:p>
        </w:tc>
        <w:tc>
          <w:tcPr>
            <w:tcW w:w="536" w:type="pct"/>
            <w:vAlign w:val="center"/>
          </w:tcPr>
          <w:p w:rsidR="004E4104" w:rsidRPr="00AB200C" w:rsidRDefault="00380D34" w:rsidP="00AB200C">
            <w:pPr>
              <w:spacing w:line="240" w:lineRule="auto"/>
              <w:rPr>
                <w:sz w:val="18"/>
              </w:rPr>
            </w:pPr>
            <w:r w:rsidRPr="00AB200C">
              <w:rPr>
                <w:sz w:val="18"/>
                <w:szCs w:val="17"/>
              </w:rPr>
              <w:t>-0.095</w:t>
            </w:r>
          </w:p>
        </w:tc>
        <w:tc>
          <w:tcPr>
            <w:tcW w:w="280" w:type="pct"/>
            <w:vAlign w:val="center"/>
          </w:tcPr>
          <w:p w:rsidR="004E4104" w:rsidRPr="00AB200C" w:rsidRDefault="00380D34" w:rsidP="00AB200C">
            <w:pPr>
              <w:spacing w:line="240" w:lineRule="auto"/>
              <w:rPr>
                <w:sz w:val="18"/>
              </w:rPr>
            </w:pPr>
            <w:r w:rsidRPr="00AB200C">
              <w:rPr>
                <w:sz w:val="18"/>
                <w:szCs w:val="17"/>
              </w:rPr>
              <w:t>111</w:t>
            </w:r>
          </w:p>
        </w:tc>
        <w:tc>
          <w:tcPr>
            <w:tcW w:w="269" w:type="pct"/>
            <w:vAlign w:val="center"/>
          </w:tcPr>
          <w:p w:rsidR="004E4104" w:rsidRPr="00AB200C" w:rsidRDefault="00380D34" w:rsidP="00AB200C">
            <w:pPr>
              <w:spacing w:line="240" w:lineRule="auto"/>
              <w:rPr>
                <w:sz w:val="18"/>
              </w:rPr>
            </w:pPr>
            <w:r w:rsidRPr="00AB200C">
              <w:rPr>
                <w:sz w:val="18"/>
                <w:szCs w:val="17"/>
              </w:rPr>
              <w:t>29</w:t>
            </w:r>
          </w:p>
        </w:tc>
        <w:tc>
          <w:tcPr>
            <w:tcW w:w="270" w:type="pct"/>
            <w:vAlign w:val="center"/>
          </w:tcPr>
          <w:p w:rsidR="004E4104" w:rsidRPr="00AB200C" w:rsidRDefault="00380D34" w:rsidP="00AB200C">
            <w:pPr>
              <w:spacing w:line="240" w:lineRule="auto"/>
              <w:rPr>
                <w:sz w:val="18"/>
              </w:rPr>
            </w:pPr>
            <w:r w:rsidRPr="00AB200C">
              <w:rPr>
                <w:sz w:val="18"/>
                <w:szCs w:val="17"/>
              </w:rPr>
              <w:t>69</w:t>
            </w:r>
          </w:p>
        </w:tc>
        <w:tc>
          <w:tcPr>
            <w:tcW w:w="270" w:type="pct"/>
            <w:vAlign w:val="center"/>
          </w:tcPr>
          <w:p w:rsidR="004E4104" w:rsidRPr="00AB200C" w:rsidRDefault="00380D34" w:rsidP="00AB200C">
            <w:pPr>
              <w:spacing w:line="240" w:lineRule="auto"/>
              <w:rPr>
                <w:sz w:val="18"/>
              </w:rPr>
            </w:pPr>
            <w:r w:rsidRPr="00AB200C">
              <w:rPr>
                <w:sz w:val="18"/>
                <w:szCs w:val="17"/>
              </w:rPr>
              <w:t>25</w:t>
            </w:r>
          </w:p>
        </w:tc>
        <w:tc>
          <w:tcPr>
            <w:tcW w:w="577" w:type="pct"/>
            <w:vAlign w:val="center"/>
          </w:tcPr>
          <w:p w:rsidR="004E4104" w:rsidRPr="00AB200C" w:rsidRDefault="00380D34" w:rsidP="00AB200C">
            <w:pPr>
              <w:spacing w:line="240" w:lineRule="auto"/>
              <w:rPr>
                <w:sz w:val="18"/>
              </w:rPr>
            </w:pPr>
            <w:r w:rsidRPr="00AB200C">
              <w:rPr>
                <w:sz w:val="18"/>
                <w:szCs w:val="17"/>
              </w:rPr>
              <w:t>0.816/0.704</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DPT/N120</w:t>
            </w:r>
          </w:p>
        </w:tc>
        <w:tc>
          <w:tcPr>
            <w:tcW w:w="281" w:type="pct"/>
            <w:vAlign w:val="center"/>
          </w:tcPr>
          <w:p w:rsidR="004E4104" w:rsidRPr="00AB200C" w:rsidRDefault="00380D34" w:rsidP="00AB200C">
            <w:pPr>
              <w:spacing w:line="240" w:lineRule="auto"/>
              <w:rPr>
                <w:sz w:val="18"/>
              </w:rPr>
            </w:pPr>
            <w:r w:rsidRPr="00AB200C">
              <w:rPr>
                <w:sz w:val="18"/>
                <w:szCs w:val="17"/>
              </w:rPr>
              <w:t>234</w:t>
            </w:r>
          </w:p>
        </w:tc>
        <w:tc>
          <w:tcPr>
            <w:tcW w:w="395" w:type="pct"/>
            <w:vAlign w:val="center"/>
          </w:tcPr>
          <w:p w:rsidR="004E4104" w:rsidRPr="00AB200C" w:rsidRDefault="00380D34" w:rsidP="00AB200C">
            <w:pPr>
              <w:spacing w:line="240" w:lineRule="auto"/>
              <w:rPr>
                <w:sz w:val="18"/>
              </w:rPr>
            </w:pPr>
            <w:r w:rsidRPr="00AB200C">
              <w:rPr>
                <w:sz w:val="18"/>
                <w:szCs w:val="17"/>
              </w:rPr>
              <w:t>136/98</w:t>
            </w:r>
          </w:p>
        </w:tc>
        <w:tc>
          <w:tcPr>
            <w:tcW w:w="309" w:type="pct"/>
            <w:vAlign w:val="center"/>
          </w:tcPr>
          <w:p w:rsidR="004E4104" w:rsidRPr="00AB200C" w:rsidRDefault="00380D34" w:rsidP="00AB200C">
            <w:pPr>
              <w:spacing w:line="240" w:lineRule="auto"/>
              <w:rPr>
                <w:sz w:val="18"/>
              </w:rPr>
            </w:pPr>
            <w:r w:rsidRPr="00AB200C">
              <w:rPr>
                <w:sz w:val="18"/>
                <w:szCs w:val="17"/>
              </w:rPr>
              <w:t>0.778</w:t>
            </w:r>
          </w:p>
        </w:tc>
        <w:tc>
          <w:tcPr>
            <w:tcW w:w="312" w:type="pct"/>
            <w:vAlign w:val="center"/>
          </w:tcPr>
          <w:p w:rsidR="004E4104" w:rsidRPr="00AB200C" w:rsidRDefault="00380D34" w:rsidP="00AB200C">
            <w:pPr>
              <w:spacing w:line="240" w:lineRule="auto"/>
              <w:rPr>
                <w:sz w:val="18"/>
              </w:rPr>
            </w:pPr>
            <w:r w:rsidRPr="00AB200C">
              <w:rPr>
                <w:sz w:val="18"/>
                <w:szCs w:val="17"/>
              </w:rPr>
              <w:t>0.189</w:t>
            </w:r>
          </w:p>
        </w:tc>
        <w:tc>
          <w:tcPr>
            <w:tcW w:w="536" w:type="pct"/>
            <w:vAlign w:val="center"/>
          </w:tcPr>
          <w:p w:rsidR="004E4104" w:rsidRPr="00AB200C" w:rsidRDefault="00380D34" w:rsidP="00AB200C">
            <w:pPr>
              <w:spacing w:line="240" w:lineRule="auto"/>
              <w:rPr>
                <w:sz w:val="18"/>
              </w:rPr>
            </w:pPr>
            <w:r w:rsidRPr="00AB200C">
              <w:rPr>
                <w:sz w:val="18"/>
                <w:szCs w:val="17"/>
              </w:rPr>
              <w:t>-0.206</w:t>
            </w:r>
          </w:p>
        </w:tc>
        <w:tc>
          <w:tcPr>
            <w:tcW w:w="280" w:type="pct"/>
            <w:vAlign w:val="center"/>
          </w:tcPr>
          <w:p w:rsidR="004E4104" w:rsidRPr="00AB200C" w:rsidRDefault="00380D34" w:rsidP="00AB200C">
            <w:pPr>
              <w:spacing w:line="240" w:lineRule="auto"/>
              <w:rPr>
                <w:sz w:val="18"/>
              </w:rPr>
            </w:pPr>
            <w:r w:rsidRPr="00AB200C">
              <w:rPr>
                <w:sz w:val="18"/>
                <w:szCs w:val="17"/>
              </w:rPr>
              <w:t>116</w:t>
            </w:r>
          </w:p>
        </w:tc>
        <w:tc>
          <w:tcPr>
            <w:tcW w:w="269" w:type="pct"/>
            <w:vAlign w:val="center"/>
          </w:tcPr>
          <w:p w:rsidR="004E4104" w:rsidRPr="00AB200C" w:rsidRDefault="00380D34" w:rsidP="00AB200C">
            <w:pPr>
              <w:spacing w:line="240" w:lineRule="auto"/>
              <w:rPr>
                <w:sz w:val="18"/>
              </w:rPr>
            </w:pPr>
            <w:r w:rsidRPr="00AB200C">
              <w:rPr>
                <w:sz w:val="18"/>
                <w:szCs w:val="17"/>
              </w:rPr>
              <w:t>35</w:t>
            </w:r>
          </w:p>
        </w:tc>
        <w:tc>
          <w:tcPr>
            <w:tcW w:w="270" w:type="pct"/>
            <w:vAlign w:val="center"/>
          </w:tcPr>
          <w:p w:rsidR="004E4104" w:rsidRPr="00AB200C" w:rsidRDefault="00380D34" w:rsidP="00AB200C">
            <w:pPr>
              <w:spacing w:line="240" w:lineRule="auto"/>
              <w:rPr>
                <w:sz w:val="18"/>
              </w:rPr>
            </w:pPr>
            <w:r w:rsidRPr="00AB200C">
              <w:rPr>
                <w:sz w:val="18"/>
                <w:szCs w:val="17"/>
              </w:rPr>
              <w:t>63</w:t>
            </w:r>
          </w:p>
        </w:tc>
        <w:tc>
          <w:tcPr>
            <w:tcW w:w="270" w:type="pct"/>
            <w:vAlign w:val="center"/>
          </w:tcPr>
          <w:p w:rsidR="004E4104" w:rsidRPr="00AB200C" w:rsidRDefault="00380D34" w:rsidP="00AB200C">
            <w:pPr>
              <w:spacing w:line="240" w:lineRule="auto"/>
              <w:rPr>
                <w:sz w:val="18"/>
              </w:rPr>
            </w:pPr>
            <w:r w:rsidRPr="00AB200C">
              <w:rPr>
                <w:sz w:val="18"/>
                <w:szCs w:val="17"/>
              </w:rPr>
              <w:t>20</w:t>
            </w:r>
          </w:p>
        </w:tc>
        <w:tc>
          <w:tcPr>
            <w:tcW w:w="577" w:type="pct"/>
            <w:vAlign w:val="center"/>
          </w:tcPr>
          <w:p w:rsidR="004E4104" w:rsidRPr="00AB200C" w:rsidRDefault="00380D34" w:rsidP="00AB200C">
            <w:pPr>
              <w:spacing w:line="240" w:lineRule="auto"/>
              <w:rPr>
                <w:sz w:val="18"/>
              </w:rPr>
            </w:pPr>
            <w:r w:rsidRPr="00AB200C">
              <w:rPr>
                <w:sz w:val="18"/>
                <w:szCs w:val="17"/>
              </w:rPr>
              <w:t>0.853/0.643</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Vs</w:t>
            </w:r>
          </w:p>
        </w:tc>
        <w:tc>
          <w:tcPr>
            <w:tcW w:w="281" w:type="pct"/>
            <w:vAlign w:val="center"/>
          </w:tcPr>
          <w:p w:rsidR="004E4104" w:rsidRPr="00AB200C" w:rsidRDefault="00380D34" w:rsidP="00AB200C">
            <w:pPr>
              <w:spacing w:line="240" w:lineRule="auto"/>
              <w:rPr>
                <w:sz w:val="18"/>
              </w:rPr>
            </w:pPr>
            <w:r w:rsidRPr="00AB200C">
              <w:rPr>
                <w:sz w:val="18"/>
                <w:szCs w:val="17"/>
              </w:rPr>
              <w:t>234</w:t>
            </w:r>
          </w:p>
        </w:tc>
        <w:tc>
          <w:tcPr>
            <w:tcW w:w="395" w:type="pct"/>
            <w:vAlign w:val="center"/>
          </w:tcPr>
          <w:p w:rsidR="004E4104" w:rsidRPr="00AB200C" w:rsidRDefault="00380D34" w:rsidP="00AB200C">
            <w:pPr>
              <w:spacing w:line="240" w:lineRule="auto"/>
              <w:rPr>
                <w:sz w:val="18"/>
              </w:rPr>
            </w:pPr>
            <w:r w:rsidRPr="00AB200C">
              <w:rPr>
                <w:sz w:val="18"/>
                <w:szCs w:val="17"/>
              </w:rPr>
              <w:t>136/98</w:t>
            </w:r>
          </w:p>
        </w:tc>
        <w:tc>
          <w:tcPr>
            <w:tcW w:w="309" w:type="pct"/>
            <w:vAlign w:val="center"/>
          </w:tcPr>
          <w:p w:rsidR="004E4104" w:rsidRPr="00AB200C" w:rsidRDefault="00380D34" w:rsidP="00AB200C">
            <w:pPr>
              <w:spacing w:line="240" w:lineRule="auto"/>
              <w:rPr>
                <w:sz w:val="18"/>
              </w:rPr>
            </w:pPr>
            <w:r w:rsidRPr="00AB200C">
              <w:rPr>
                <w:sz w:val="18"/>
                <w:szCs w:val="17"/>
              </w:rPr>
              <w:t>0.796</w:t>
            </w:r>
          </w:p>
        </w:tc>
        <w:tc>
          <w:tcPr>
            <w:tcW w:w="312" w:type="pct"/>
            <w:vAlign w:val="center"/>
          </w:tcPr>
          <w:p w:rsidR="004E4104" w:rsidRPr="00AB200C" w:rsidRDefault="00380D34" w:rsidP="00AB200C">
            <w:pPr>
              <w:spacing w:line="240" w:lineRule="auto"/>
              <w:rPr>
                <w:sz w:val="18"/>
              </w:rPr>
            </w:pPr>
            <w:r w:rsidRPr="00AB200C">
              <w:rPr>
                <w:sz w:val="18"/>
                <w:szCs w:val="17"/>
              </w:rPr>
              <w:t>0.183</w:t>
            </w:r>
          </w:p>
        </w:tc>
        <w:tc>
          <w:tcPr>
            <w:tcW w:w="536" w:type="pct"/>
            <w:vAlign w:val="center"/>
          </w:tcPr>
          <w:p w:rsidR="004E4104" w:rsidRPr="00AB200C" w:rsidRDefault="00380D34" w:rsidP="00AB200C">
            <w:pPr>
              <w:spacing w:line="240" w:lineRule="auto"/>
              <w:rPr>
                <w:sz w:val="18"/>
              </w:rPr>
            </w:pPr>
            <w:r w:rsidRPr="00AB200C">
              <w:rPr>
                <w:sz w:val="18"/>
                <w:szCs w:val="17"/>
              </w:rPr>
              <w:t>0.002</w:t>
            </w:r>
          </w:p>
        </w:tc>
        <w:tc>
          <w:tcPr>
            <w:tcW w:w="280" w:type="pct"/>
            <w:vAlign w:val="center"/>
          </w:tcPr>
          <w:p w:rsidR="004E4104" w:rsidRPr="00AB200C" w:rsidRDefault="00380D34" w:rsidP="00AB200C">
            <w:pPr>
              <w:spacing w:line="240" w:lineRule="auto"/>
              <w:rPr>
                <w:sz w:val="18"/>
              </w:rPr>
            </w:pPr>
            <w:r w:rsidRPr="00AB200C">
              <w:rPr>
                <w:sz w:val="18"/>
                <w:szCs w:val="17"/>
              </w:rPr>
              <w:t>98</w:t>
            </w:r>
          </w:p>
        </w:tc>
        <w:tc>
          <w:tcPr>
            <w:tcW w:w="269" w:type="pct"/>
            <w:vAlign w:val="center"/>
          </w:tcPr>
          <w:p w:rsidR="004E4104" w:rsidRPr="00AB200C" w:rsidRDefault="00380D34" w:rsidP="00AB200C">
            <w:pPr>
              <w:spacing w:line="240" w:lineRule="auto"/>
              <w:rPr>
                <w:sz w:val="18"/>
              </w:rPr>
            </w:pPr>
            <w:r w:rsidRPr="00AB200C">
              <w:rPr>
                <w:sz w:val="18"/>
                <w:szCs w:val="17"/>
              </w:rPr>
              <w:t>20</w:t>
            </w:r>
          </w:p>
        </w:tc>
        <w:tc>
          <w:tcPr>
            <w:tcW w:w="270" w:type="pct"/>
            <w:vAlign w:val="center"/>
          </w:tcPr>
          <w:p w:rsidR="004E4104" w:rsidRPr="00AB200C" w:rsidRDefault="00380D34" w:rsidP="00AB200C">
            <w:pPr>
              <w:spacing w:line="240" w:lineRule="auto"/>
              <w:rPr>
                <w:sz w:val="18"/>
              </w:rPr>
            </w:pPr>
            <w:r w:rsidRPr="00AB200C">
              <w:rPr>
                <w:sz w:val="18"/>
                <w:szCs w:val="17"/>
              </w:rPr>
              <w:t>78</w:t>
            </w:r>
          </w:p>
        </w:tc>
        <w:tc>
          <w:tcPr>
            <w:tcW w:w="270" w:type="pct"/>
            <w:vAlign w:val="center"/>
          </w:tcPr>
          <w:p w:rsidR="004E4104" w:rsidRPr="00AB200C" w:rsidRDefault="00380D34" w:rsidP="00AB200C">
            <w:pPr>
              <w:spacing w:line="240" w:lineRule="auto"/>
              <w:rPr>
                <w:sz w:val="18"/>
              </w:rPr>
            </w:pPr>
            <w:r w:rsidRPr="00AB200C">
              <w:rPr>
                <w:sz w:val="18"/>
                <w:szCs w:val="17"/>
              </w:rPr>
              <w:t>38</w:t>
            </w:r>
          </w:p>
        </w:tc>
        <w:tc>
          <w:tcPr>
            <w:tcW w:w="577" w:type="pct"/>
            <w:vAlign w:val="center"/>
          </w:tcPr>
          <w:p w:rsidR="004E4104" w:rsidRPr="00AB200C" w:rsidRDefault="00380D34" w:rsidP="00AB200C">
            <w:pPr>
              <w:spacing w:line="240" w:lineRule="auto"/>
              <w:rPr>
                <w:sz w:val="18"/>
              </w:rPr>
            </w:pPr>
            <w:r w:rsidRPr="00AB200C">
              <w:rPr>
                <w:sz w:val="18"/>
                <w:szCs w:val="17"/>
              </w:rPr>
              <w:t>0.721/0.796</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r w:rsidRPr="00AB200C">
              <w:rPr>
                <w:sz w:val="18"/>
                <w:szCs w:val="17"/>
              </w:rPr>
              <w:t>Hu full</w:t>
            </w:r>
          </w:p>
        </w:tc>
        <w:tc>
          <w:tcPr>
            <w:tcW w:w="979" w:type="pct"/>
            <w:vAlign w:val="center"/>
          </w:tcPr>
          <w:p w:rsidR="004E4104" w:rsidRPr="00AB200C" w:rsidRDefault="00380D34" w:rsidP="00AB200C">
            <w:pPr>
              <w:spacing w:line="240" w:lineRule="auto"/>
              <w:rPr>
                <w:sz w:val="18"/>
              </w:rPr>
            </w:pPr>
            <w:r w:rsidRPr="00AB200C">
              <w:rPr>
                <w:sz w:val="18"/>
                <w:szCs w:val="17"/>
              </w:rPr>
              <w:t>Static limit-state</w:t>
            </w:r>
          </w:p>
        </w:tc>
        <w:tc>
          <w:tcPr>
            <w:tcW w:w="281" w:type="pct"/>
            <w:vAlign w:val="center"/>
          </w:tcPr>
          <w:p w:rsidR="004E4104" w:rsidRPr="00AB200C" w:rsidRDefault="00380D34" w:rsidP="00AB200C">
            <w:pPr>
              <w:spacing w:line="240" w:lineRule="auto"/>
              <w:rPr>
                <w:sz w:val="18"/>
              </w:rPr>
            </w:pPr>
            <w:r w:rsidRPr="00AB200C">
              <w:rPr>
                <w:sz w:val="18"/>
                <w:szCs w:val="17"/>
              </w:rPr>
              <w:t>195</w:t>
            </w:r>
          </w:p>
        </w:tc>
        <w:tc>
          <w:tcPr>
            <w:tcW w:w="395" w:type="pct"/>
            <w:vAlign w:val="center"/>
          </w:tcPr>
          <w:p w:rsidR="004E4104" w:rsidRPr="00AB200C" w:rsidRDefault="00380D34" w:rsidP="00AB200C">
            <w:pPr>
              <w:spacing w:line="240" w:lineRule="auto"/>
              <w:rPr>
                <w:sz w:val="18"/>
              </w:rPr>
            </w:pPr>
            <w:r w:rsidRPr="00AB200C">
              <w:rPr>
                <w:sz w:val="18"/>
                <w:szCs w:val="17"/>
              </w:rPr>
              <w:t>103/92</w:t>
            </w:r>
          </w:p>
        </w:tc>
        <w:tc>
          <w:tcPr>
            <w:tcW w:w="309" w:type="pct"/>
            <w:vAlign w:val="center"/>
          </w:tcPr>
          <w:p w:rsidR="004E4104" w:rsidRPr="00AB200C" w:rsidRDefault="00380D34" w:rsidP="00AB200C">
            <w:pPr>
              <w:spacing w:line="240" w:lineRule="auto"/>
              <w:rPr>
                <w:sz w:val="18"/>
              </w:rPr>
            </w:pPr>
            <w:r w:rsidRPr="00AB200C">
              <w:rPr>
                <w:sz w:val="18"/>
                <w:szCs w:val="17"/>
              </w:rPr>
              <w:t>0.760</w:t>
            </w:r>
          </w:p>
        </w:tc>
        <w:tc>
          <w:tcPr>
            <w:tcW w:w="312" w:type="pct"/>
            <w:vAlign w:val="center"/>
          </w:tcPr>
          <w:p w:rsidR="004E4104" w:rsidRPr="00AB200C" w:rsidRDefault="00380D34" w:rsidP="00AB200C">
            <w:pPr>
              <w:spacing w:line="240" w:lineRule="auto"/>
              <w:rPr>
                <w:sz w:val="18"/>
              </w:rPr>
            </w:pPr>
            <w:r w:rsidRPr="00AB200C">
              <w:rPr>
                <w:sz w:val="18"/>
                <w:szCs w:val="17"/>
              </w:rPr>
              <w:t>0.199</w:t>
            </w:r>
          </w:p>
        </w:tc>
        <w:tc>
          <w:tcPr>
            <w:tcW w:w="536" w:type="pct"/>
            <w:vAlign w:val="center"/>
          </w:tcPr>
          <w:p w:rsidR="004E4104" w:rsidRPr="00AB200C" w:rsidRDefault="00380D34" w:rsidP="00AB200C">
            <w:pPr>
              <w:spacing w:line="240" w:lineRule="auto"/>
              <w:rPr>
                <w:sz w:val="18"/>
              </w:rPr>
            </w:pPr>
            <w:r w:rsidRPr="00AB200C">
              <w:rPr>
                <w:sz w:val="18"/>
                <w:szCs w:val="17"/>
              </w:rPr>
              <w:t>0.196</w:t>
            </w:r>
          </w:p>
        </w:tc>
        <w:tc>
          <w:tcPr>
            <w:tcW w:w="280" w:type="pct"/>
            <w:vAlign w:val="center"/>
          </w:tcPr>
          <w:p w:rsidR="004E4104" w:rsidRPr="00AB200C" w:rsidRDefault="00380D34" w:rsidP="00AB200C">
            <w:pPr>
              <w:spacing w:line="240" w:lineRule="auto"/>
              <w:rPr>
                <w:sz w:val="18"/>
              </w:rPr>
            </w:pPr>
            <w:r w:rsidRPr="00AB200C">
              <w:rPr>
                <w:sz w:val="18"/>
                <w:szCs w:val="17"/>
              </w:rPr>
              <w:t>85</w:t>
            </w:r>
          </w:p>
        </w:tc>
        <w:tc>
          <w:tcPr>
            <w:tcW w:w="269" w:type="pct"/>
            <w:vAlign w:val="center"/>
          </w:tcPr>
          <w:p w:rsidR="004E4104" w:rsidRPr="00AB200C" w:rsidRDefault="00380D34" w:rsidP="00AB200C">
            <w:pPr>
              <w:spacing w:line="240" w:lineRule="auto"/>
              <w:rPr>
                <w:sz w:val="18"/>
              </w:rPr>
            </w:pPr>
            <w:r w:rsidRPr="00AB200C">
              <w:rPr>
                <w:sz w:val="18"/>
                <w:szCs w:val="17"/>
              </w:rPr>
              <w:t>34</w:t>
            </w:r>
          </w:p>
        </w:tc>
        <w:tc>
          <w:tcPr>
            <w:tcW w:w="270" w:type="pct"/>
            <w:vAlign w:val="center"/>
          </w:tcPr>
          <w:p w:rsidR="004E4104" w:rsidRPr="00AB200C" w:rsidRDefault="00380D34" w:rsidP="00AB200C">
            <w:pPr>
              <w:spacing w:line="240" w:lineRule="auto"/>
              <w:rPr>
                <w:sz w:val="18"/>
              </w:rPr>
            </w:pPr>
            <w:r w:rsidRPr="00AB200C">
              <w:rPr>
                <w:sz w:val="18"/>
                <w:szCs w:val="17"/>
              </w:rPr>
              <w:t>58</w:t>
            </w:r>
          </w:p>
        </w:tc>
        <w:tc>
          <w:tcPr>
            <w:tcW w:w="270" w:type="pct"/>
            <w:vAlign w:val="center"/>
          </w:tcPr>
          <w:p w:rsidR="004E4104" w:rsidRPr="00AB200C" w:rsidRDefault="00380D34" w:rsidP="00AB200C">
            <w:pPr>
              <w:spacing w:line="240" w:lineRule="auto"/>
              <w:rPr>
                <w:sz w:val="18"/>
              </w:rPr>
            </w:pPr>
            <w:r w:rsidRPr="00AB200C">
              <w:rPr>
                <w:sz w:val="18"/>
                <w:szCs w:val="17"/>
              </w:rPr>
              <w:t>18</w:t>
            </w:r>
          </w:p>
        </w:tc>
        <w:tc>
          <w:tcPr>
            <w:tcW w:w="577" w:type="pct"/>
            <w:vAlign w:val="center"/>
          </w:tcPr>
          <w:p w:rsidR="004E4104" w:rsidRPr="00AB200C" w:rsidRDefault="00380D34" w:rsidP="00AB200C">
            <w:pPr>
              <w:spacing w:line="240" w:lineRule="auto"/>
              <w:rPr>
                <w:sz w:val="18"/>
              </w:rPr>
            </w:pPr>
            <w:r w:rsidRPr="00AB200C">
              <w:rPr>
                <w:sz w:val="18"/>
                <w:szCs w:val="17"/>
              </w:rPr>
              <w:t>0.825/0.630</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r w:rsidRPr="00AB200C">
              <w:rPr>
                <w:sz w:val="18"/>
                <w:szCs w:val="17"/>
              </w:rPr>
              <w:t>Wenchuan</w:t>
            </w:r>
          </w:p>
        </w:tc>
        <w:tc>
          <w:tcPr>
            <w:tcW w:w="979" w:type="pct"/>
            <w:vAlign w:val="center"/>
          </w:tcPr>
          <w:p w:rsidR="004E4104" w:rsidRPr="00AB200C" w:rsidRDefault="00380D34" w:rsidP="00AB200C">
            <w:pPr>
              <w:spacing w:line="240" w:lineRule="auto"/>
              <w:rPr>
                <w:sz w:val="18"/>
              </w:rPr>
            </w:pPr>
            <w:r w:rsidRPr="00AB200C">
              <w:rPr>
                <w:sz w:val="18"/>
                <w:szCs w:val="17"/>
              </w:rPr>
              <w:t>Combined GW+CSR+N120+Vs</w:t>
            </w:r>
          </w:p>
        </w:tc>
        <w:tc>
          <w:tcPr>
            <w:tcW w:w="281" w:type="pct"/>
            <w:vAlign w:val="center"/>
          </w:tcPr>
          <w:p w:rsidR="004E4104" w:rsidRPr="00AB200C" w:rsidRDefault="00380D34" w:rsidP="00AB200C">
            <w:pPr>
              <w:spacing w:line="240" w:lineRule="auto"/>
              <w:rPr>
                <w:sz w:val="18"/>
              </w:rPr>
            </w:pPr>
            <w:r w:rsidRPr="00AB200C">
              <w:rPr>
                <w:sz w:val="18"/>
                <w:szCs w:val="17"/>
              </w:rPr>
              <w:t>81</w:t>
            </w:r>
          </w:p>
        </w:tc>
        <w:tc>
          <w:tcPr>
            <w:tcW w:w="395" w:type="pct"/>
            <w:vAlign w:val="center"/>
          </w:tcPr>
          <w:p w:rsidR="004E4104" w:rsidRPr="00AB200C" w:rsidRDefault="00380D34" w:rsidP="00AB200C">
            <w:pPr>
              <w:spacing w:line="240" w:lineRule="auto"/>
              <w:rPr>
                <w:sz w:val="18"/>
              </w:rPr>
            </w:pPr>
            <w:r w:rsidRPr="00AB200C">
              <w:rPr>
                <w:sz w:val="18"/>
                <w:szCs w:val="17"/>
              </w:rPr>
              <w:t>47/34</w:t>
            </w:r>
          </w:p>
        </w:tc>
        <w:tc>
          <w:tcPr>
            <w:tcW w:w="309" w:type="pct"/>
            <w:vAlign w:val="center"/>
          </w:tcPr>
          <w:p w:rsidR="004E4104" w:rsidRPr="00AB200C" w:rsidRDefault="00380D34" w:rsidP="00AB200C">
            <w:pPr>
              <w:spacing w:line="240" w:lineRule="auto"/>
              <w:rPr>
                <w:sz w:val="18"/>
              </w:rPr>
            </w:pPr>
            <w:r w:rsidRPr="00AB200C">
              <w:rPr>
                <w:sz w:val="18"/>
                <w:szCs w:val="17"/>
              </w:rPr>
              <w:t>0.909</w:t>
            </w:r>
          </w:p>
        </w:tc>
        <w:tc>
          <w:tcPr>
            <w:tcW w:w="312" w:type="pct"/>
            <w:vAlign w:val="center"/>
          </w:tcPr>
          <w:p w:rsidR="004E4104" w:rsidRPr="00AB200C" w:rsidRDefault="00380D34" w:rsidP="00AB200C">
            <w:pPr>
              <w:spacing w:line="240" w:lineRule="auto"/>
              <w:rPr>
                <w:sz w:val="18"/>
              </w:rPr>
            </w:pPr>
            <w:r w:rsidRPr="00AB200C">
              <w:rPr>
                <w:sz w:val="18"/>
                <w:szCs w:val="17"/>
              </w:rPr>
              <w:t>0.124</w:t>
            </w:r>
          </w:p>
        </w:tc>
        <w:tc>
          <w:tcPr>
            <w:tcW w:w="536" w:type="pct"/>
            <w:vAlign w:val="center"/>
          </w:tcPr>
          <w:p w:rsidR="004E4104" w:rsidRPr="00AB200C" w:rsidRDefault="00380D34" w:rsidP="00AB200C">
            <w:pPr>
              <w:spacing w:line="240" w:lineRule="auto"/>
              <w:rPr>
                <w:sz w:val="18"/>
              </w:rPr>
            </w:pPr>
            <w:r w:rsidRPr="00AB200C">
              <w:rPr>
                <w:sz w:val="18"/>
                <w:szCs w:val="17"/>
              </w:rPr>
              <w:t>-0.329</w:t>
            </w:r>
          </w:p>
        </w:tc>
        <w:tc>
          <w:tcPr>
            <w:tcW w:w="280" w:type="pct"/>
            <w:vAlign w:val="center"/>
          </w:tcPr>
          <w:p w:rsidR="004E4104" w:rsidRPr="00AB200C" w:rsidRDefault="00380D34" w:rsidP="00AB200C">
            <w:pPr>
              <w:spacing w:line="240" w:lineRule="auto"/>
              <w:rPr>
                <w:sz w:val="18"/>
              </w:rPr>
            </w:pPr>
            <w:r w:rsidRPr="00AB200C">
              <w:rPr>
                <w:sz w:val="18"/>
                <w:szCs w:val="17"/>
              </w:rPr>
              <w:t>41</w:t>
            </w:r>
          </w:p>
        </w:tc>
        <w:tc>
          <w:tcPr>
            <w:tcW w:w="269" w:type="pct"/>
            <w:vAlign w:val="center"/>
          </w:tcPr>
          <w:p w:rsidR="004E4104" w:rsidRPr="00AB200C" w:rsidRDefault="00380D34" w:rsidP="00AB200C">
            <w:pPr>
              <w:spacing w:line="240" w:lineRule="auto"/>
              <w:rPr>
                <w:sz w:val="18"/>
              </w:rPr>
            </w:pPr>
            <w:r w:rsidRPr="00AB200C">
              <w:rPr>
                <w:sz w:val="18"/>
                <w:szCs w:val="17"/>
              </w:rPr>
              <w:t>4</w:t>
            </w:r>
          </w:p>
        </w:tc>
        <w:tc>
          <w:tcPr>
            <w:tcW w:w="270" w:type="pct"/>
            <w:vAlign w:val="center"/>
          </w:tcPr>
          <w:p w:rsidR="004E4104" w:rsidRPr="00AB200C" w:rsidRDefault="00380D34" w:rsidP="00AB200C">
            <w:pPr>
              <w:spacing w:line="240" w:lineRule="auto"/>
              <w:rPr>
                <w:sz w:val="18"/>
              </w:rPr>
            </w:pPr>
            <w:r w:rsidRPr="00AB200C">
              <w:rPr>
                <w:sz w:val="18"/>
                <w:szCs w:val="17"/>
              </w:rPr>
              <w:t>30</w:t>
            </w:r>
          </w:p>
        </w:tc>
        <w:tc>
          <w:tcPr>
            <w:tcW w:w="270" w:type="pct"/>
            <w:vAlign w:val="center"/>
          </w:tcPr>
          <w:p w:rsidR="004E4104" w:rsidRPr="00AB200C" w:rsidRDefault="00380D34" w:rsidP="00AB200C">
            <w:pPr>
              <w:spacing w:line="240" w:lineRule="auto"/>
              <w:rPr>
                <w:sz w:val="18"/>
              </w:rPr>
            </w:pPr>
            <w:r w:rsidRPr="00AB200C">
              <w:rPr>
                <w:sz w:val="18"/>
                <w:szCs w:val="17"/>
              </w:rPr>
              <w:t>6</w:t>
            </w:r>
          </w:p>
        </w:tc>
        <w:tc>
          <w:tcPr>
            <w:tcW w:w="577" w:type="pct"/>
            <w:vAlign w:val="center"/>
          </w:tcPr>
          <w:p w:rsidR="004E4104" w:rsidRPr="00AB200C" w:rsidRDefault="00380D34" w:rsidP="00AB200C">
            <w:pPr>
              <w:spacing w:line="240" w:lineRule="auto"/>
              <w:rPr>
                <w:sz w:val="18"/>
              </w:rPr>
            </w:pPr>
            <w:r w:rsidRPr="00AB200C">
              <w:rPr>
                <w:sz w:val="18"/>
                <w:szCs w:val="17"/>
              </w:rPr>
              <w:t>0.872/0.882</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r w:rsidRPr="00AB200C">
              <w:rPr>
                <w:sz w:val="18"/>
                <w:szCs w:val="17"/>
              </w:rPr>
              <w:t>Wenchuan</w:t>
            </w:r>
          </w:p>
        </w:tc>
        <w:tc>
          <w:tcPr>
            <w:tcW w:w="979" w:type="pct"/>
            <w:vAlign w:val="center"/>
          </w:tcPr>
          <w:p w:rsidR="004E4104" w:rsidRPr="00AB200C" w:rsidRDefault="00380D34" w:rsidP="00AB200C">
            <w:pPr>
              <w:spacing w:line="240" w:lineRule="auto"/>
              <w:rPr>
                <w:sz w:val="18"/>
              </w:rPr>
            </w:pPr>
            <w:r w:rsidRPr="00AB200C">
              <w:rPr>
                <w:sz w:val="18"/>
                <w:szCs w:val="17"/>
              </w:rPr>
              <w:t>DPT/N120</w:t>
            </w:r>
          </w:p>
        </w:tc>
        <w:tc>
          <w:tcPr>
            <w:tcW w:w="281" w:type="pct"/>
            <w:vAlign w:val="center"/>
          </w:tcPr>
          <w:p w:rsidR="004E4104" w:rsidRPr="00AB200C" w:rsidRDefault="00380D34" w:rsidP="00AB200C">
            <w:pPr>
              <w:spacing w:line="240" w:lineRule="auto"/>
              <w:rPr>
                <w:sz w:val="18"/>
              </w:rPr>
            </w:pPr>
            <w:r w:rsidRPr="00AB200C">
              <w:rPr>
                <w:sz w:val="18"/>
                <w:szCs w:val="17"/>
              </w:rPr>
              <w:t>81</w:t>
            </w:r>
          </w:p>
        </w:tc>
        <w:tc>
          <w:tcPr>
            <w:tcW w:w="395" w:type="pct"/>
            <w:vAlign w:val="center"/>
          </w:tcPr>
          <w:p w:rsidR="004E4104" w:rsidRPr="00AB200C" w:rsidRDefault="00380D34" w:rsidP="00AB200C">
            <w:pPr>
              <w:spacing w:line="240" w:lineRule="auto"/>
              <w:rPr>
                <w:sz w:val="18"/>
              </w:rPr>
            </w:pPr>
            <w:r w:rsidRPr="00AB200C">
              <w:rPr>
                <w:sz w:val="18"/>
                <w:szCs w:val="17"/>
              </w:rPr>
              <w:t>47/34</w:t>
            </w:r>
          </w:p>
        </w:tc>
        <w:tc>
          <w:tcPr>
            <w:tcW w:w="309" w:type="pct"/>
            <w:vAlign w:val="center"/>
          </w:tcPr>
          <w:p w:rsidR="004E4104" w:rsidRPr="00AB200C" w:rsidRDefault="00380D34" w:rsidP="00AB200C">
            <w:pPr>
              <w:spacing w:line="240" w:lineRule="auto"/>
              <w:rPr>
                <w:sz w:val="18"/>
              </w:rPr>
            </w:pPr>
            <w:r w:rsidRPr="00AB200C">
              <w:rPr>
                <w:sz w:val="18"/>
                <w:szCs w:val="17"/>
              </w:rPr>
              <w:t>0.884</w:t>
            </w:r>
          </w:p>
        </w:tc>
        <w:tc>
          <w:tcPr>
            <w:tcW w:w="312" w:type="pct"/>
            <w:vAlign w:val="center"/>
          </w:tcPr>
          <w:p w:rsidR="004E4104" w:rsidRPr="00AB200C" w:rsidRDefault="00380D34" w:rsidP="00AB200C">
            <w:pPr>
              <w:spacing w:line="240" w:lineRule="auto"/>
              <w:rPr>
                <w:sz w:val="18"/>
              </w:rPr>
            </w:pPr>
            <w:r w:rsidRPr="00AB200C">
              <w:rPr>
                <w:sz w:val="18"/>
                <w:szCs w:val="17"/>
              </w:rPr>
              <w:t>0.140</w:t>
            </w:r>
          </w:p>
        </w:tc>
        <w:tc>
          <w:tcPr>
            <w:tcW w:w="536" w:type="pct"/>
            <w:vAlign w:val="center"/>
          </w:tcPr>
          <w:p w:rsidR="004E4104" w:rsidRPr="00AB200C" w:rsidRDefault="00380D34" w:rsidP="00AB200C">
            <w:pPr>
              <w:spacing w:line="240" w:lineRule="auto"/>
              <w:rPr>
                <w:sz w:val="18"/>
              </w:rPr>
            </w:pPr>
            <w:r w:rsidRPr="00AB200C">
              <w:rPr>
                <w:sz w:val="18"/>
                <w:szCs w:val="17"/>
              </w:rPr>
              <w:t>-0.333</w:t>
            </w:r>
          </w:p>
        </w:tc>
        <w:tc>
          <w:tcPr>
            <w:tcW w:w="280" w:type="pct"/>
            <w:vAlign w:val="center"/>
          </w:tcPr>
          <w:p w:rsidR="004E4104" w:rsidRPr="00AB200C" w:rsidRDefault="00380D34" w:rsidP="00AB200C">
            <w:pPr>
              <w:spacing w:line="240" w:lineRule="auto"/>
              <w:rPr>
                <w:sz w:val="18"/>
              </w:rPr>
            </w:pPr>
            <w:r w:rsidRPr="00AB200C">
              <w:rPr>
                <w:sz w:val="18"/>
                <w:szCs w:val="17"/>
              </w:rPr>
              <w:t>43</w:t>
            </w:r>
          </w:p>
        </w:tc>
        <w:tc>
          <w:tcPr>
            <w:tcW w:w="269" w:type="pct"/>
            <w:vAlign w:val="center"/>
          </w:tcPr>
          <w:p w:rsidR="004E4104" w:rsidRPr="00AB200C" w:rsidRDefault="00380D34" w:rsidP="00AB200C">
            <w:pPr>
              <w:spacing w:line="240" w:lineRule="auto"/>
              <w:rPr>
                <w:sz w:val="18"/>
              </w:rPr>
            </w:pPr>
            <w:r w:rsidRPr="00AB200C">
              <w:rPr>
                <w:sz w:val="18"/>
                <w:szCs w:val="17"/>
              </w:rPr>
              <w:t>7</w:t>
            </w:r>
          </w:p>
        </w:tc>
        <w:tc>
          <w:tcPr>
            <w:tcW w:w="270" w:type="pct"/>
            <w:vAlign w:val="center"/>
          </w:tcPr>
          <w:p w:rsidR="004E4104" w:rsidRPr="00AB200C" w:rsidRDefault="00380D34" w:rsidP="00AB200C">
            <w:pPr>
              <w:spacing w:line="240" w:lineRule="auto"/>
              <w:rPr>
                <w:sz w:val="18"/>
              </w:rPr>
            </w:pPr>
            <w:r w:rsidRPr="00AB200C">
              <w:rPr>
                <w:sz w:val="18"/>
                <w:szCs w:val="17"/>
              </w:rPr>
              <w:t>27</w:t>
            </w:r>
          </w:p>
        </w:tc>
        <w:tc>
          <w:tcPr>
            <w:tcW w:w="270" w:type="pct"/>
            <w:vAlign w:val="center"/>
          </w:tcPr>
          <w:p w:rsidR="004E4104" w:rsidRPr="00AB200C" w:rsidRDefault="00380D34" w:rsidP="00AB200C">
            <w:pPr>
              <w:spacing w:line="240" w:lineRule="auto"/>
              <w:rPr>
                <w:sz w:val="18"/>
              </w:rPr>
            </w:pPr>
            <w:r w:rsidRPr="00AB200C">
              <w:rPr>
                <w:sz w:val="18"/>
                <w:szCs w:val="17"/>
              </w:rPr>
              <w:t>4</w:t>
            </w:r>
          </w:p>
        </w:tc>
        <w:tc>
          <w:tcPr>
            <w:tcW w:w="577" w:type="pct"/>
            <w:vAlign w:val="center"/>
          </w:tcPr>
          <w:p w:rsidR="004E4104" w:rsidRPr="00AB200C" w:rsidRDefault="00380D34" w:rsidP="00AB200C">
            <w:pPr>
              <w:spacing w:line="240" w:lineRule="auto"/>
              <w:rPr>
                <w:sz w:val="18"/>
              </w:rPr>
            </w:pPr>
            <w:r w:rsidRPr="00AB200C">
              <w:rPr>
                <w:sz w:val="18"/>
                <w:szCs w:val="17"/>
              </w:rPr>
              <w:t>0.915/0.794</w:t>
            </w:r>
          </w:p>
        </w:tc>
      </w:tr>
      <w:tr w:rsidR="00DF474B" w:rsidRPr="00380D34" w:rsidTr="00AB200C">
        <w:trPr>
          <w:cnfStyle w:val="000000100000" w:firstRow="0" w:lastRow="0" w:firstColumn="0" w:lastColumn="0" w:oddVBand="0" w:evenVBand="0" w:oddHBand="1" w:evenHBand="0" w:firstRowFirstColumn="0" w:firstRowLastColumn="0" w:lastRowFirstColumn="0" w:lastRowLastColumn="0"/>
          <w:jc w:val="center"/>
        </w:trPr>
        <w:tc>
          <w:tcPr>
            <w:tcW w:w="523" w:type="pct"/>
            <w:vAlign w:val="center"/>
          </w:tcPr>
          <w:p w:rsidR="004E4104" w:rsidRPr="00AB200C" w:rsidRDefault="00380D34" w:rsidP="00AB200C">
            <w:pPr>
              <w:spacing w:line="240" w:lineRule="auto"/>
              <w:rPr>
                <w:sz w:val="18"/>
              </w:rPr>
            </w:pPr>
            <w:r w:rsidRPr="00AB200C">
              <w:rPr>
                <w:sz w:val="18"/>
                <w:szCs w:val="17"/>
              </w:rPr>
              <w:t>Wenchuan</w:t>
            </w:r>
          </w:p>
        </w:tc>
        <w:tc>
          <w:tcPr>
            <w:tcW w:w="979" w:type="pct"/>
            <w:vAlign w:val="center"/>
          </w:tcPr>
          <w:p w:rsidR="004E4104" w:rsidRPr="00AB200C" w:rsidRDefault="00380D34" w:rsidP="00AB200C">
            <w:pPr>
              <w:spacing w:line="240" w:lineRule="auto"/>
              <w:rPr>
                <w:sz w:val="18"/>
              </w:rPr>
            </w:pPr>
            <w:r w:rsidRPr="00AB200C">
              <w:rPr>
                <w:sz w:val="18"/>
                <w:szCs w:val="17"/>
              </w:rPr>
              <w:t>Vs</w:t>
            </w:r>
          </w:p>
        </w:tc>
        <w:tc>
          <w:tcPr>
            <w:tcW w:w="281" w:type="pct"/>
            <w:vAlign w:val="center"/>
          </w:tcPr>
          <w:p w:rsidR="004E4104" w:rsidRPr="00AB200C" w:rsidRDefault="00380D34" w:rsidP="00AB200C">
            <w:pPr>
              <w:spacing w:line="240" w:lineRule="auto"/>
              <w:rPr>
                <w:sz w:val="18"/>
              </w:rPr>
            </w:pPr>
            <w:r w:rsidRPr="00AB200C">
              <w:rPr>
                <w:sz w:val="18"/>
                <w:szCs w:val="17"/>
              </w:rPr>
              <w:t>81</w:t>
            </w:r>
          </w:p>
        </w:tc>
        <w:tc>
          <w:tcPr>
            <w:tcW w:w="395" w:type="pct"/>
            <w:vAlign w:val="center"/>
          </w:tcPr>
          <w:p w:rsidR="004E4104" w:rsidRPr="00AB200C" w:rsidRDefault="00380D34" w:rsidP="00AB200C">
            <w:pPr>
              <w:spacing w:line="240" w:lineRule="auto"/>
              <w:rPr>
                <w:sz w:val="18"/>
              </w:rPr>
            </w:pPr>
            <w:r w:rsidRPr="00AB200C">
              <w:rPr>
                <w:sz w:val="18"/>
                <w:szCs w:val="17"/>
              </w:rPr>
              <w:t>47/34</w:t>
            </w:r>
          </w:p>
        </w:tc>
        <w:tc>
          <w:tcPr>
            <w:tcW w:w="309" w:type="pct"/>
            <w:vAlign w:val="center"/>
          </w:tcPr>
          <w:p w:rsidR="004E4104" w:rsidRPr="00AB200C" w:rsidRDefault="00380D34" w:rsidP="00AB200C">
            <w:pPr>
              <w:spacing w:line="240" w:lineRule="auto"/>
              <w:rPr>
                <w:sz w:val="18"/>
              </w:rPr>
            </w:pPr>
            <w:r w:rsidRPr="00AB200C">
              <w:rPr>
                <w:sz w:val="18"/>
                <w:szCs w:val="17"/>
              </w:rPr>
              <w:t>0.864</w:t>
            </w:r>
          </w:p>
        </w:tc>
        <w:tc>
          <w:tcPr>
            <w:tcW w:w="312" w:type="pct"/>
            <w:vAlign w:val="center"/>
          </w:tcPr>
          <w:p w:rsidR="004E4104" w:rsidRPr="00AB200C" w:rsidRDefault="00380D34" w:rsidP="00AB200C">
            <w:pPr>
              <w:spacing w:line="240" w:lineRule="auto"/>
              <w:rPr>
                <w:sz w:val="18"/>
              </w:rPr>
            </w:pPr>
            <w:r w:rsidRPr="00AB200C">
              <w:rPr>
                <w:sz w:val="18"/>
                <w:szCs w:val="17"/>
              </w:rPr>
              <w:t>0.145</w:t>
            </w:r>
          </w:p>
        </w:tc>
        <w:tc>
          <w:tcPr>
            <w:tcW w:w="536" w:type="pct"/>
            <w:vAlign w:val="center"/>
          </w:tcPr>
          <w:p w:rsidR="004E4104" w:rsidRPr="00AB200C" w:rsidRDefault="00380D34" w:rsidP="00AB200C">
            <w:pPr>
              <w:spacing w:line="240" w:lineRule="auto"/>
              <w:rPr>
                <w:sz w:val="18"/>
              </w:rPr>
            </w:pPr>
            <w:r w:rsidRPr="00AB200C">
              <w:rPr>
                <w:sz w:val="18"/>
                <w:szCs w:val="17"/>
              </w:rPr>
              <w:t>-0.370</w:t>
            </w:r>
          </w:p>
        </w:tc>
        <w:tc>
          <w:tcPr>
            <w:tcW w:w="280" w:type="pct"/>
            <w:vAlign w:val="center"/>
          </w:tcPr>
          <w:p w:rsidR="004E4104" w:rsidRPr="00AB200C" w:rsidRDefault="00380D34" w:rsidP="00AB200C">
            <w:pPr>
              <w:spacing w:line="240" w:lineRule="auto"/>
              <w:rPr>
                <w:sz w:val="18"/>
              </w:rPr>
            </w:pPr>
            <w:r w:rsidRPr="00AB200C">
              <w:rPr>
                <w:sz w:val="18"/>
                <w:szCs w:val="17"/>
              </w:rPr>
              <w:t>39</w:t>
            </w:r>
          </w:p>
        </w:tc>
        <w:tc>
          <w:tcPr>
            <w:tcW w:w="269" w:type="pct"/>
            <w:vAlign w:val="center"/>
          </w:tcPr>
          <w:p w:rsidR="004E4104" w:rsidRPr="00AB200C" w:rsidRDefault="00380D34" w:rsidP="00AB200C">
            <w:pPr>
              <w:spacing w:line="240" w:lineRule="auto"/>
              <w:rPr>
                <w:sz w:val="18"/>
              </w:rPr>
            </w:pPr>
            <w:r w:rsidRPr="00AB200C">
              <w:rPr>
                <w:sz w:val="18"/>
                <w:szCs w:val="17"/>
              </w:rPr>
              <w:t>6</w:t>
            </w:r>
          </w:p>
        </w:tc>
        <w:tc>
          <w:tcPr>
            <w:tcW w:w="270" w:type="pct"/>
            <w:vAlign w:val="center"/>
          </w:tcPr>
          <w:p w:rsidR="004E4104" w:rsidRPr="00AB200C" w:rsidRDefault="00380D34" w:rsidP="00AB200C">
            <w:pPr>
              <w:spacing w:line="240" w:lineRule="auto"/>
              <w:rPr>
                <w:sz w:val="18"/>
              </w:rPr>
            </w:pPr>
            <w:r w:rsidRPr="00AB200C">
              <w:rPr>
                <w:sz w:val="18"/>
                <w:szCs w:val="17"/>
              </w:rPr>
              <w:t>28</w:t>
            </w:r>
          </w:p>
        </w:tc>
        <w:tc>
          <w:tcPr>
            <w:tcW w:w="270" w:type="pct"/>
            <w:vAlign w:val="center"/>
          </w:tcPr>
          <w:p w:rsidR="004E4104" w:rsidRPr="00AB200C" w:rsidRDefault="00380D34" w:rsidP="00AB200C">
            <w:pPr>
              <w:spacing w:line="240" w:lineRule="auto"/>
              <w:rPr>
                <w:sz w:val="18"/>
              </w:rPr>
            </w:pPr>
            <w:r w:rsidRPr="00AB200C">
              <w:rPr>
                <w:sz w:val="18"/>
                <w:szCs w:val="17"/>
              </w:rPr>
              <w:t>8</w:t>
            </w:r>
          </w:p>
        </w:tc>
        <w:tc>
          <w:tcPr>
            <w:tcW w:w="577" w:type="pct"/>
            <w:vAlign w:val="center"/>
          </w:tcPr>
          <w:p w:rsidR="004E4104" w:rsidRPr="00AB200C" w:rsidRDefault="00380D34" w:rsidP="00AB200C">
            <w:pPr>
              <w:spacing w:line="240" w:lineRule="auto"/>
              <w:rPr>
                <w:sz w:val="18"/>
              </w:rPr>
            </w:pPr>
            <w:r w:rsidRPr="00AB200C">
              <w:rPr>
                <w:sz w:val="18"/>
                <w:szCs w:val="17"/>
              </w:rPr>
              <w:t>0.830/0.824</w:t>
            </w:r>
          </w:p>
        </w:tc>
      </w:tr>
      <w:tr w:rsidR="00DF474B" w:rsidRPr="00380D34" w:rsidTr="00AB200C">
        <w:trPr>
          <w:jc w:val="center"/>
        </w:trPr>
        <w:tc>
          <w:tcPr>
            <w:tcW w:w="523" w:type="pct"/>
            <w:vAlign w:val="center"/>
          </w:tcPr>
          <w:p w:rsidR="004E4104" w:rsidRPr="00AB200C" w:rsidRDefault="00380D34" w:rsidP="00AB200C">
            <w:pPr>
              <w:spacing w:line="240" w:lineRule="auto"/>
              <w:rPr>
                <w:sz w:val="18"/>
              </w:rPr>
            </w:pPr>
            <w:r w:rsidRPr="00AB200C">
              <w:rPr>
                <w:sz w:val="18"/>
                <w:szCs w:val="17"/>
              </w:rPr>
              <w:t>Wenchuan</w:t>
            </w:r>
          </w:p>
        </w:tc>
        <w:tc>
          <w:tcPr>
            <w:tcW w:w="979" w:type="pct"/>
            <w:vAlign w:val="center"/>
          </w:tcPr>
          <w:p w:rsidR="004E4104" w:rsidRPr="00AB200C" w:rsidRDefault="00380D34" w:rsidP="00AB200C">
            <w:pPr>
              <w:spacing w:line="240" w:lineRule="auto"/>
              <w:rPr>
                <w:sz w:val="18"/>
              </w:rPr>
            </w:pPr>
            <w:r w:rsidRPr="00AB200C">
              <w:rPr>
                <w:sz w:val="18"/>
                <w:szCs w:val="17"/>
              </w:rPr>
              <w:t>Static limit-state</w:t>
            </w:r>
          </w:p>
        </w:tc>
        <w:tc>
          <w:tcPr>
            <w:tcW w:w="281" w:type="pct"/>
            <w:vAlign w:val="center"/>
          </w:tcPr>
          <w:p w:rsidR="004E4104" w:rsidRPr="00AB200C" w:rsidRDefault="00380D34" w:rsidP="00AB200C">
            <w:pPr>
              <w:spacing w:line="240" w:lineRule="auto"/>
              <w:rPr>
                <w:sz w:val="18"/>
              </w:rPr>
            </w:pPr>
            <w:r w:rsidRPr="00AB200C">
              <w:rPr>
                <w:sz w:val="18"/>
                <w:szCs w:val="17"/>
              </w:rPr>
              <w:t>60</w:t>
            </w:r>
          </w:p>
        </w:tc>
        <w:tc>
          <w:tcPr>
            <w:tcW w:w="395" w:type="pct"/>
            <w:vAlign w:val="center"/>
          </w:tcPr>
          <w:p w:rsidR="004E4104" w:rsidRPr="00AB200C" w:rsidRDefault="00380D34" w:rsidP="00AB200C">
            <w:pPr>
              <w:spacing w:line="240" w:lineRule="auto"/>
              <w:rPr>
                <w:sz w:val="18"/>
              </w:rPr>
            </w:pPr>
            <w:r w:rsidRPr="00AB200C">
              <w:rPr>
                <w:sz w:val="18"/>
                <w:szCs w:val="17"/>
              </w:rPr>
              <w:t>28/32</w:t>
            </w:r>
          </w:p>
        </w:tc>
        <w:tc>
          <w:tcPr>
            <w:tcW w:w="309" w:type="pct"/>
            <w:vAlign w:val="center"/>
          </w:tcPr>
          <w:p w:rsidR="004E4104" w:rsidRPr="00AB200C" w:rsidRDefault="00380D34" w:rsidP="00AB200C">
            <w:pPr>
              <w:spacing w:line="240" w:lineRule="auto"/>
              <w:rPr>
                <w:sz w:val="18"/>
              </w:rPr>
            </w:pPr>
            <w:r w:rsidRPr="00AB200C">
              <w:rPr>
                <w:sz w:val="18"/>
                <w:szCs w:val="17"/>
              </w:rPr>
              <w:t>0.824</w:t>
            </w:r>
          </w:p>
        </w:tc>
        <w:tc>
          <w:tcPr>
            <w:tcW w:w="312" w:type="pct"/>
            <w:vAlign w:val="center"/>
          </w:tcPr>
          <w:p w:rsidR="004E4104" w:rsidRPr="00AB200C" w:rsidRDefault="00380D34" w:rsidP="00AB200C">
            <w:pPr>
              <w:spacing w:line="240" w:lineRule="auto"/>
              <w:rPr>
                <w:sz w:val="18"/>
              </w:rPr>
            </w:pPr>
            <w:r w:rsidRPr="00AB200C">
              <w:rPr>
                <w:sz w:val="18"/>
                <w:szCs w:val="17"/>
              </w:rPr>
              <w:t>0.182</w:t>
            </w:r>
          </w:p>
        </w:tc>
        <w:tc>
          <w:tcPr>
            <w:tcW w:w="536" w:type="pct"/>
            <w:vAlign w:val="center"/>
          </w:tcPr>
          <w:p w:rsidR="004E4104" w:rsidRPr="00AB200C" w:rsidRDefault="00380D34" w:rsidP="00AB200C">
            <w:pPr>
              <w:spacing w:line="240" w:lineRule="auto"/>
              <w:rPr>
                <w:sz w:val="18"/>
              </w:rPr>
            </w:pPr>
            <w:r w:rsidRPr="00AB200C">
              <w:rPr>
                <w:sz w:val="18"/>
                <w:szCs w:val="17"/>
              </w:rPr>
              <w:t>0.143</w:t>
            </w:r>
          </w:p>
        </w:tc>
        <w:tc>
          <w:tcPr>
            <w:tcW w:w="280" w:type="pct"/>
            <w:vAlign w:val="center"/>
          </w:tcPr>
          <w:p w:rsidR="004E4104" w:rsidRPr="00AB200C" w:rsidRDefault="00380D34" w:rsidP="00AB200C">
            <w:pPr>
              <w:spacing w:line="240" w:lineRule="auto"/>
              <w:rPr>
                <w:sz w:val="18"/>
              </w:rPr>
            </w:pPr>
            <w:r w:rsidRPr="00AB200C">
              <w:rPr>
                <w:sz w:val="18"/>
                <w:szCs w:val="17"/>
              </w:rPr>
              <w:t>22</w:t>
            </w:r>
          </w:p>
        </w:tc>
        <w:tc>
          <w:tcPr>
            <w:tcW w:w="269" w:type="pct"/>
            <w:vAlign w:val="center"/>
          </w:tcPr>
          <w:p w:rsidR="004E4104" w:rsidRPr="00AB200C" w:rsidRDefault="00380D34" w:rsidP="00AB200C">
            <w:pPr>
              <w:spacing w:line="240" w:lineRule="auto"/>
              <w:rPr>
                <w:sz w:val="18"/>
              </w:rPr>
            </w:pPr>
            <w:r w:rsidRPr="00AB200C">
              <w:rPr>
                <w:sz w:val="18"/>
                <w:szCs w:val="17"/>
              </w:rPr>
              <w:t>7</w:t>
            </w:r>
          </w:p>
        </w:tc>
        <w:tc>
          <w:tcPr>
            <w:tcW w:w="270" w:type="pct"/>
            <w:vAlign w:val="center"/>
          </w:tcPr>
          <w:p w:rsidR="004E4104" w:rsidRPr="00AB200C" w:rsidRDefault="00380D34" w:rsidP="00AB200C">
            <w:pPr>
              <w:spacing w:line="240" w:lineRule="auto"/>
              <w:rPr>
                <w:sz w:val="18"/>
              </w:rPr>
            </w:pPr>
            <w:r w:rsidRPr="00AB200C">
              <w:rPr>
                <w:sz w:val="18"/>
                <w:szCs w:val="17"/>
              </w:rPr>
              <w:t>25</w:t>
            </w:r>
          </w:p>
        </w:tc>
        <w:tc>
          <w:tcPr>
            <w:tcW w:w="270" w:type="pct"/>
            <w:vAlign w:val="center"/>
          </w:tcPr>
          <w:p w:rsidR="004E4104" w:rsidRPr="00AB200C" w:rsidRDefault="00380D34" w:rsidP="00AB200C">
            <w:pPr>
              <w:spacing w:line="240" w:lineRule="auto"/>
              <w:rPr>
                <w:sz w:val="18"/>
              </w:rPr>
            </w:pPr>
            <w:r w:rsidRPr="00AB200C">
              <w:rPr>
                <w:sz w:val="18"/>
                <w:szCs w:val="17"/>
              </w:rPr>
              <w:t>6</w:t>
            </w:r>
          </w:p>
        </w:tc>
        <w:tc>
          <w:tcPr>
            <w:tcW w:w="577" w:type="pct"/>
            <w:vAlign w:val="center"/>
          </w:tcPr>
          <w:p w:rsidR="004E4104" w:rsidRPr="00AB200C" w:rsidRDefault="00380D34" w:rsidP="00AB200C">
            <w:pPr>
              <w:spacing w:line="240" w:lineRule="auto"/>
              <w:rPr>
                <w:sz w:val="18"/>
              </w:rPr>
            </w:pPr>
            <w:r w:rsidRPr="00AB200C">
              <w:rPr>
                <w:sz w:val="18"/>
                <w:szCs w:val="17"/>
              </w:rPr>
              <w:t>0.786/0.781</w:t>
            </w:r>
          </w:p>
        </w:tc>
      </w:tr>
    </w:tbl>
    <w:p w:rsidR="000A5A2B" w:rsidRDefault="000A5A2B" w:rsidP="000A5A2B"/>
    <w:p w:rsidR="00CD5D77" w:rsidRDefault="00CD5D77" w:rsidP="00F436BC">
      <w:pPr>
        <w:pStyle w:val="Paragraph"/>
        <w:rPr>
          <w:rFonts w:cs="Arial"/>
        </w:rPr>
      </w:pPr>
      <w:r>
        <w:t>The standard SPT model-form comparison is reported in Table 13.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compatibility metrics. These supplementary tables are cross-referenced here to connect the manuscript diagnostics with the online resource files.</w:t>
      </w:r>
    </w:p>
    <w:p w:rsidR="00731CB2" w:rsidRDefault="00731CB2" w:rsidP="00F436BC">
      <w:pPr>
        <w:pStyle w:val="Heading2"/>
        <w:rPr>
          <w:rFonts w:ascii="Arial" w:hAnsi="Arial"/>
        </w:rPr>
      </w:pPr>
      <w:r>
        <w:t>5.4 Site-calibrated extension and out-of-sample stress test</w:t>
      </w:r>
    </w:p>
    <w:p w:rsidR="00731CB2" w:rsidRDefault="00731CB2" w:rsidP="00F436BC">
      <w:pPr>
        <w:pStyle w:val="Paragraph"/>
        <w:rPr>
          <w:rFonts w:cs="Arial"/>
        </w:rPr>
      </w:pPr>
      <w: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rPr>
          <w:rFonts w:cs="Arial"/>
        </w:rPr>
      </w:pPr>
      <w:r>
        <w:t>The validation protocol is intentionally out-of-sample. The primary Nisqually protocol uses leave-one-site-family-out spatial validation, pools the held-out predictions, and reports calibration diagnostics on those predictions. Under this protocol, M2 (nonstationary groundwater plus gradation proxy) improves Brier score relative to M0 (static stationary), from 0.072 to 0.026 in pooled held-out predictions and from 0.088 to 0.025 as mean fold Brier. This makes the historical validation claim narrower and more defensible: the gain is an out-of-sample, site-family holdout improvement over the stationary comparator, not an in-sample fit to the same CPT profiles. Calibration remains imperfect because the dataset is small and strongly separable; calibration slopes are reported explicitly rather than hidden. Exhaustive paired-family and strict SODO+UW holdouts are retained as sensitivity checks; the paired-family protocol also favours M2, while the single SODO+UW split does not. Fig. 7 visualizes the out-of-sample Brier comparison, and Fig. 8 reports the vertical variogram diagnostic used by the random-field extension.</w:t>
      </w:r>
    </w:p>
    <w:p w:rsidR="003B066E" w:rsidRDefault="003B066E" w:rsidP="000A5A2B">
      <w:r>
        <w:t>The Canterbury temporal extension now has two levels. First, the original DesignSafe PRJ-2937 100 Osbourne St CPT01 sequence remains as a transparent three-event temporal stress test for the 2010 Darfield, 2011 Christchurch and 2016 Valentine earthquake states. In that small sequence, M2 lowers Brier score relative to M0 from 0.326 to 0.306, and M3 lowers it to 0.146, so it is reported only as a documented stress test rather than as a standalone Canterbury calibration. Second, the new multi-site Canterbury transfer applies the same Nisqually-trained models to 15,890 scored event states across 5,665 usable CPT records after excluding 1,114 manifestation-code-10 states as indeterminate. This larger external domain removes the n=3 limitation but blocks a universal non-stationary Brier-superiority claim: M0 is the best Brier model (0.318), while M3 worsens Brier by +0.0885 with a paired bootstrap 95% interval of +0.0846 to +0.0927. The risk-management signal is instead a safety-screening tradeoff: M3 reduces false negatives from 224 to 111, and conservative max(M0..M3) reduces them to 43, but only with many additional false positives and worse calibration. A cost-sensitive frontier resolves the decision implication without treating threshold tuning as validation: the domain-retuned threshold curve is reported as a diagnostic/oracle frontier, whereas the fixed 0.50 curve is the operational screening comparison. Under the fixed 0.50 threshold and a 10:1 false-negative/false-positive cost ratio, conservative max(M0..M3) lowers domain-balanced mean expected loss from 0.465 to 0.189 and case-weighted global mean expected loss from 0.521 to 0.484. Fig. 9 visualizes the three-event Pf(t) stress test, Fig. 10 summarizes the expanded Canterbury gate, and Fig. 11 reports the decision frontier.</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424415"/>
            <wp:effectExtent l="0" t="0" r="6350" b="0"/>
            <wp:docPr id="6" name="Figure 6" descr="Nisqually groundwater calibration plot with observed water-table points, a fitted mean groundwater trajectory, a 95 percent interval and a vertical marker for the 28 February 2001 earthquake." title="Fig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Fig. 6 Observed and calibrated groundwater trajectory for the Nisqually PRJ-3758 CPT case-history dataset. Points are reported water-table-depth observations, the line is the fitted mean trajectory, the band is the 95% interval and the vertical line marks the 28 February 2001 earthquake.</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538440"/>
            <wp:effectExtent l="0" t="0" r="6350" b="0"/>
            <wp:docPr id="7" name="Figure 7" descr="Out-of-sample Brier score comparison for M0 through M3 models in the Nisqually site-calibrated extension, based on leave-one-site-family-out validation." title="Fig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Fig. 7 Out-of-sample M0-M3 Brier comparison for the Nisqually site-calibrated extension. Primary metrics use leave-one-site-family-out spatial validation.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538440"/>
            <wp:effectExtent l="0" t="0" r="6350" b="0"/>
            <wp:docPr id="8" name="Figure 8" descr="Empirical and fitted vertical variogram for Nisqually CPT log qc, used as the random-field dependence diagnostic." title="Fig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3538440"/>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Fig. 8 Empirical and fitted vertical variogram for the Nisqually CPT log(qc) diagnostic used by the random-field extension.</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r>
        <w:rPr>
          <w:noProof/>
          <w:lang w:val="es-PA" w:eastAsia="es-PA"/>
        </w:rPr>
        <w:drawing>
          <wp:inline distT="0" distB="0" distL="0" distR="0">
            <wp:extent cx="5400040" cy="3424415"/>
            <wp:effectExtent l="0" t="0" r="6350" b="0"/>
            <wp:docPr id="9" name="Figure 9" descr="Canterbury 100 Osbourne CPT01 temporal liquefaction probability curves for the 2010 Darfield, 2011 Christchurch and 2016 Valentine earthquake states, with the observed manifestation event marked." title="Fig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3424415"/>
                    </a:xfrm>
                    <a:prstGeom prst="rect">
                      <a:avLst/>
                    </a:prstGeom>
                  </pic:spPr>
                </pic:pic>
              </a:graphicData>
            </a:graphic>
          </wp:inline>
        </w:drawing>
      </w:r>
    </w:p>
    <w:p w:rsidR="000042A0" w:rsidRDefault="000042A0" w:rsidP="000A5A2B">
      <w:pPr>
        <w:pStyle w:val="Figurecaption"/>
        <w:rPr>
          <w:rFonts w:eastAsiaTheme="majorEastAsia" w:cs="Arial"/>
          <w:b/>
          <w:bCs/>
          <w:color w:val="000000"/>
          <w:sz w:val="23"/>
          <w:szCs w:val="26"/>
        </w:rPr>
      </w:pPr>
      <w:r>
        <w:t>Fig. 9 Canterbury 100 Osbourne CPT01 temporal site application. The curves show Pf(t) over the 2010, 2011 and 2016 documented earthquake states; the red marker indicates the observed manifestation event.</w:t>
      </w:r>
    </w:p>
    <w:p w:rsidR="00DB1D60" w:rsidRDefault="00DB1D60" w:rsidP="000A5A2B">
      <w:pPr>
        <w:rPr>
          <w:rFonts w:eastAsiaTheme="majorEastAsia" w:cs="Arial"/>
          <w:b/>
          <w:bCs/>
          <w:color w:val="000000"/>
          <w:sz w:val="23"/>
          <w:szCs w:val="26"/>
        </w:rPr>
      </w:pPr>
    </w:p>
    <w:p w:rsidR="000B5833" w:rsidRDefault="000B5833" w:rsidP="000A5A2B">
      <w:pPr>
        <w:rPr>
          <w:rFonts w:eastAsiaTheme="majorEastAsia" w:cs="Arial"/>
          <w:b/>
          <w:bCs/>
          <w:color w:val="000000"/>
          <w:sz w:val="23"/>
          <w:szCs w:val="26"/>
        </w:rPr>
      </w:pPr>
      <w:r>
        <w:rPr>
          <w:rFonts w:eastAsiaTheme="majorEastAsia" w:cs="Arial"/>
          <w:b/>
          <w:bCs/>
          <w:noProof/>
          <w:color w:val="000000"/>
          <w:sz w:val="23"/>
          <w:szCs w:val="26"/>
          <w:lang w:val="es-PA" w:eastAsia="es-PA"/>
        </w:rPr>
        <w:drawing>
          <wp:inline distT="0" distB="0" distL="0" distR="0">
            <wp:extent cx="5400040" cy="3420110"/>
            <wp:effectExtent l="0" t="0" r="0" b="8890"/>
            <wp:docPr id="10" name="Picture 10" descr="fig10_canterbury_multi_site_validation"/>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3420110"/>
                    </a:xfrm>
                    <a:prstGeom prst="rect">
                      <a:avLst/>
                    </a:prstGeom>
                  </pic:spPr>
                </pic:pic>
              </a:graphicData>
            </a:graphic>
          </wp:inline>
        </w:drawing>
      </w:r>
    </w:p>
    <w:p w:rsidR="000042A0" w:rsidRDefault="00DB1D60" w:rsidP="000A5A2B">
      <w:pPr>
        <w:rPr>
          <w:rFonts w:eastAsiaTheme="majorEastAsia" w:cs="Arial"/>
          <w:b/>
          <w:bCs/>
          <w:color w:val="000000"/>
          <w:sz w:val="23"/>
          <w:szCs w:val="26"/>
        </w:rPr>
      </w:pPr>
      <w:r>
        <w:rPr>
          <w:rFonts w:eastAsiaTheme="majorEastAsia" w:cs="Arial"/>
          <w:b/>
          <w:bCs/>
          <w:color w:val="000000"/>
          <w:sz w:val="23"/>
          <w:szCs w:val="26"/>
        </w:rPr>
        <w:t>Fig. 10 Canterbury multi-site external-transfer gate. The figure summarizes Brier score and false-negative counts for 15,890 scored event states across 5,665 usable CPT records; manifestation code 10 is excluded as indeterminate.</w:t>
      </w:r>
    </w:p>
    <w:p w:rsidR="001E223A" w:rsidRDefault="001E223A" w:rsidP="000A5A2B">
      <w:pPr>
        <w:rPr>
          <w:rFonts w:eastAsiaTheme="majorEastAsia" w:cs="Arial"/>
          <w:b/>
          <w:bCs/>
          <w:color w:val="000000"/>
          <w:sz w:val="23"/>
          <w:szCs w:val="26"/>
        </w:rPr>
      </w:pPr>
    </w:p>
    <w:p w:rsidR="001E223A" w:rsidRDefault="001E223A" w:rsidP="000A5A2B">
      <w:pPr>
        <w:rPr>
          <w:rFonts w:eastAsiaTheme="majorEastAsia" w:cs="Arial"/>
          <w:b/>
          <w:bCs/>
          <w:color w:val="000000"/>
          <w:sz w:val="23"/>
          <w:szCs w:val="26"/>
        </w:rPr>
      </w:pPr>
      <w:r>
        <w:rPr>
          <w:rFonts w:eastAsiaTheme="majorEastAsia" w:cs="Arial"/>
          <w:b/>
          <w:bCs/>
          <w:noProof/>
          <w:color w:val="000000"/>
          <w:sz w:val="23"/>
          <w:szCs w:val="26"/>
          <w:lang w:val="es-PA" w:eastAsia="es-PA"/>
        </w:rPr>
        <w:drawing>
          <wp:inline distT="0" distB="0" distL="0" distR="0">
            <wp:extent cx="5400040" cy="3528060"/>
            <wp:effectExtent l="0" t="0" r="0" b="0"/>
            <wp:docPr id="11" name="Picture 11" descr="fig11_cost_sensitive_guardrail_frontier"/>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3528060"/>
                    </a:xfrm>
                    <a:prstGeom prst="rect">
                      <a:avLst/>
                    </a:prstGeom>
                  </pic:spPr>
                </pic:pic>
              </a:graphicData>
            </a:graphic>
          </wp:inline>
        </w:drawing>
      </w:r>
    </w:p>
    <w:p w:rsidR="003B066E" w:rsidRDefault="003B066E" w:rsidP="000A5A2B">
      <w:pPr>
        <w:rPr>
          <w:rFonts w:eastAsiaTheme="majorEastAsia" w:cs="Arial"/>
          <w:b/>
          <w:bCs/>
          <w:color w:val="000000"/>
          <w:sz w:val="23"/>
          <w:szCs w:val="26"/>
        </w:rPr>
      </w:pPr>
      <w:r>
        <w:rPr>
          <w:rFonts w:eastAsiaTheme="majorEastAsia" w:cs="Arial"/>
          <w:b/>
          <w:bCs/>
          <w:color w:val="000000"/>
          <w:sz w:val="23"/>
          <w:szCs w:val="26"/>
        </w:rPr>
        <w:t>Fig. 11 Cost-sensitive georisk decision frontier. The frontier distinguishes the calibration-favoured M0 baseline in the domain-retuned diagnostic/oracle threshold view from the fixed-threshold conservative max(M0..M3) screen when false negatives are assigned higher engineering cost than false positives.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interpretation of gradation-evolution scenarios</w:t>
      </w:r>
    </w:p>
    <w:p w:rsidR="000A5A2B" w:rsidRDefault="000A5A2B" w:rsidP="000A5A2B">
      <w:pPr>
        <w:pStyle w:val="Paragraph"/>
      </w:pPr>
      <w: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rsidR="00AD65CC" w:rsidRPr="00F436BC" w:rsidRDefault="000A5A2B" w:rsidP="00F436BC">
      <w:pPr>
        <w:pStyle w:val="Heading1"/>
        <w:rPr>
          <w:rFonts w:ascii="Arial" w:hAnsi="Arial"/>
        </w:rPr>
      </w:pPr>
      <w:r w:rsidRPr="00F436BC">
        <w:t>6. Discussion</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pPr>
      <w:r>
        <w:t>The benchmark supports three technical observations for the prescribed scenarios and selected triggering formulation. First, groundwater non-stationarity changes both the mean computed probability level and the timing of computed probability escalation. In the extreme scenario, a discrete groundwater shift produces a visible probability jump after year 30. Second, prescribed gradation evolution can alter the resistance side of the triggering calculation in a direction that depends on the adopted correction model. Third, the profile-average probability is not simply the shallowest-layer probability; it is a compact screening index that should be interpreted together with maximum-layer probability, layer-wise plots and depth-time maps, and not as a physical probability of system failure for the full profile.</w:t>
      </w:r>
    </w:p>
    <w:p w:rsidR="00497881" w:rsidRDefault="00B513B6">
      <w:pPr>
        <w:pStyle w:val="Paragraph"/>
      </w:pPr>
      <w:r>
        <w:t>For transparency, the supplementary profile comparison file also reports system-level diagnostic summaries derived from the same layer probabilities. If profile failure is defined as liquefaction in at least one layer, a system metric requires an explicit dependence model among layers. Under independent layer events, Psys_ind(t) = 1 - product_i[1 - Pf_i(t)]; under arbitrary dependence, Frechet bounds are max_i Pf_i(t) &lt;= Psys(t) &lt;= min(1, sum_i Pf_i(t)). For example, in the extreme/fines-accumulation case at year 50, the profile-average screening index is 0.549, the maximum layer Pf is 0.906, Psys_ind is 0.989, and the Frechet bounds are 0.906-1.000. These values are reported as diagnostics only, because the benchmark does not define a calibrated vertical correlation model. A Gaussian-copula vertical-dependence sensitivity was added to the supplement to bracket how system-level diagnostics change under equicorrelation values from 0.0 to 0.9; this remains a dependence diagnostic rather than a calibrated random-field model.</w:t>
      </w:r>
    </w:p>
    <w:p w:rsidR="00946BE6" w:rsidRDefault="00946BE6" w:rsidP="00946BE6">
      <w:r>
        <w:t>The results also clarify the limits of the proposed workflow. The benchmark does not claim that a specific site will experience the reported synthetic-profile probabilities. It does not calibrate a universal groundwater model, a gradation transport model or a site-specific liquefaction triggering curve. Instead, it provides an auditable scaffold into which site monitoring, hydrologic forecasts, laboratory gradation data or updated CPT/SPT data can be inserted. That distinction defines the scope of the contribution: the paper is a georisk reliability-updating and decision-support workflow with documented stress tests, not a disguised site case study.</w:t>
      </w:r>
    </w:p>
    <w:p w:rsidR="003B066E" w:rsidRDefault="003B066E">
      <w:pPr>
        <w:pStyle w:val="Paragraph"/>
      </w:pPr>
      <w:r>
        <w:t>The admissible claim is narrower but stronger: the paper does not claim universal liquefaction prediction, but demonstrates that prescribed non-stationary groundwater and gradation states can be audited against stationary baselines, removed through ablation, checked against independent case-history trends, and translated into risk-ranking and monitoring-escalation consequences. The added novelty is not that the most complex model wins every probabilistic score; it is that the workflow exposes the operating-policy choice between a calibration-favoured baseline and a fixed-threshold conservative guardrail when missed manifestations are treated as more costly than false alarms. This extends the Georisk conversation on risk-informed sampling, spatially variable liquefaction probability and geotechnical risk management [51-54] by making the false-negative cost tradeoff reproducible.</w:t>
      </w:r>
    </w:p>
    <w:p w:rsidR="00AD65CC" w:rsidRDefault="000A5A2B">
      <w:pPr>
        <w:pStyle w:val="Paragraph"/>
      </w:pPr>
      <w: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rsidRPr="00F436BC">
        <w:t>7. Conclusions</w:t>
      </w:r>
    </w:p>
    <w:p w:rsidR="00946BE6" w:rsidRDefault="00946BE6" w:rsidP="00946BE6">
      <w:r>
        <w:t>This paper frames liquefaction assessment within a non-stationary georisk reliability setting in which groundwater depth and gradation are time-dependent state variables. The proposed updating operator converts a conventional triggering check into Pf(z,t), allowing layers and horizons to be compared under stationary, rising, seasonal and extreme groundwater conditions. The key contribution is the ablation-tested reliability-updating workflow: every benchmark input, output table, figure and script is supplied, making the calculation auditable and usable for risk-ranking, monitoring-escalation and mitigation-priority decisions rather than dependent on narrative interpretation.</w:t>
      </w:r>
    </w:p>
    <w:p w:rsidR="00946BE6" w:rsidRDefault="00946BE6" w:rsidP="00946BE6">
      <w:r>
        <w:t>The synthetic benchmark shows that a stationary assessment can miss computed scenario-conditioned probability escalation when groundwater conditions evolve within the benchmark assumptions. For the tested profile, the extreme groundwater scenario generated the largest probabilities, with shallow layers reaching high Pf values after the imposed groundwater shift. Prescribed gradation change also influenced the resistance term and altered the relative severity of scenarios. These findings support considering non-stationary probability curves, threshold-crossing times and depth-time maps as georisk diagnostics for sites that may become more vulnerable during their service life, pending site-specific calibration before design or prioritisation decisions.</w:t>
      </w:r>
    </w:p>
    <w:p w:rsidR="003B066E" w:rsidRDefault="003B066E" w:rsidP="00F436BC">
      <w:pPr>
        <w:pStyle w:val="Heading1"/>
        <w:rPr>
          <w:rFonts w:cs="Times New Roman"/>
          <w:b w:val="0"/>
          <w:bCs w:val="0"/>
          <w:kern w:val="0"/>
          <w:szCs w:val="24"/>
        </w:rPr>
      </w:pPr>
      <w:r>
        <w:rPr>
          <w:rFonts w:cs="Times New Roman"/>
          <w:b w:val="0"/>
          <w:bCs w:val="0"/>
          <w:kern w:val="0"/>
          <w:szCs w:val="24"/>
        </w:rPr>
        <w:t>The updating operator should be used with caution. The strongest validation evidence is the combined Hu discrimination check, the Nisqually leave-one-site-family-out holdout, the SODO/UW adverse-holdout guardrail, the expanded Canterbury multi-site transfer and the cost-sensitive decision frontier. The numerical values reported for the synthetic profile are benchmark values, not calibrated site predictions. For this reason, the supplementary package separates the reproducible synthetic benchmark from the site-extension evidence: Nisqually PRJ-3758 supports the bounded M2 model-selection result under the primary spatial protocol, whereas Canterbury PRJ-2937 removes the small-n external-transfer limitation but selects M0 by Brier and shows the non-stationary forms mainly as false-negative-reducing screening rules. The decision frontier adds the operational interpretation: M0 should remain the preferred baseline in the domain-retuned diagnostic/oracle frontier, whereas conservative max(M0..M3) is defensible as a fixed-threshold safety screen when missed manifestations carry higher cost. The workflow therefore supports georisk ranking and monitoring escalation under disclosed tradeoffs, not universal liquefaction prediction.</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No specific funding was received for this work.</w:t>
      </w:r>
    </w:p>
    <w:p w:rsidR="004457B8" w:rsidRDefault="00554E27">
      <w:pPr>
        <w:pStyle w:val="Heading1"/>
      </w:pPr>
      <w:r>
        <w:t>Supplementary material</w:t>
      </w:r>
    </w:p>
    <w:p w:rsidR="00946BE6" w:rsidRDefault="00946BE6" w:rsidP="00946BE6">
      <w:r>
        <w:t>The supplementary files are supplied as Online Resource 1 and include CSV inputs, generated outputs, scripts, README, requirements and regenerated figures. The same supplementary material is also available in the public GitHub repository: https://github.com/gabrielmontufar/article-118-nonstationary-liquefaction-benchmark. Supplementary Tables S1-S4 provide additional diagnostics, including the standard model-form comparison in Table S2, the vertical-dependence sensitivity in Table S3 and the expanded external compatibility metrics in Table S4.</w:t>
      </w:r>
    </w:p>
    <w:p w:rsidR="006C2A15" w:rsidRDefault="00923608">
      <w:r>
        <w:t>Q1 reproducibility package closure: the Q1 branch now contains article118_nonstationary_liquefaction_reproducible_Q1. The synthetic benchmark reran locally, and the copied processed outputs report Nisqually leave-one-site-family-out diagnostics where M2 improves the pooled Brier score from 0.0722750320 for M0 to 0.0256802137. The same package also reports the adverse strict SODO/UW sensitivity holdout, where M0 has Brier 0.0603037560 while M2 and M3 increase to 0.0816532085 and 0.0894294181; this is a limitation, not a validation win. The Canterbury application remains a minimal temporal transfer stress test over three event states, where M3 reduces Brier from 0.3259891759 to 0.1463632454 relative to M0. Raw DesignSafe regeneration was not completed in this branch because the Nisqually and Canterbury raw source files were unavailable locally, so the claim is limited to copied processed case-history outputs plus the rerun synthetic benchmark.</w:t>
      </w:r>
    </w:p>
    <w:p w:rsidR="006C2A15" w:rsidRDefault="00923608">
      <w:r>
        <w:t>Raw DesignSafe regeneration gate: the Q1 branch now contains raw_designsafe_regeneration_gate.csv. The gate identifies the exact raw external inputs needed to convert the copied processed Nisqually and Canterbury outputs into fully raw-regenerated evidence: Nisqually Summary Table S1.xlsx and Canterbury CANTERBURYDATASET.mat. Closure requires successful reruns of run_119_site_calibrated_application.py, run_120_canterbury_temporal_site_application.py and explore_nisqually_out_of_sample_protocols.py from those raw files, with the adverse SODO/UW sensitivity still disclosed. Until this gate is closed, the admissible claim is a rerun synthetic benchmark plus copied processed external-case outputs, not fully raw-regenerated external case-history validation.</w:t>
      </w:r>
    </w:p>
    <w:p w:rsidR="006C2A15" w:rsidRDefault="00923608">
      <w:r>
        <w:t>DesignSafe raw regeneration closure: the Q1 supplement now includes a reproducible public DesignSafe downloader and a SHA256 manifest for the recovered raw Nisqually PRJ-3758 and Canterbury PRJ-2937 files. The synthetic benchmark, Nisqually site-calibrated application, Canterbury temporal application and Nisqually out-of-sample protocol sweep were rerun from the Q1 working supplement. The regenerated Nisqually pooled validation supports the non-stationary M2 model over M0 by Brier score (0.025680 versus 0.072275), and the Canterbury temporal transfer supports M3 over M0 by Brier score (0.146363 versus 0.325989). The strict SODO+UW holdout remains adverse for M2 (0.081653 versus M0 0.060304), so the claim is upgraded to raw-regenerable site-extension evidence with an explicit adverse-holdout boundary, not universal site validation.</w:t>
      </w:r>
    </w:p>
    <w:p w:rsidR="006C2A15" w:rsidRDefault="00923608">
      <w:r>
        <w:t>SODO/UW adverse-holdout guardrail: the rerun raw DesignSafe package now includes analyze_sodo_uw_adverse_holdout.py, which converts the adverse strict holdout into an explicit domain guardrail. For the strict SODO/UW split, M0 remains best by Brier score (0.060304), while M2 and M3 are worse (0.081653 and 0.089429) and each produces one false negative at SODO-03. The appropriate claim is therefore cluster-aware non-stationary reliability updating: M2/M3 improve pooled and several out-of-sample protocols, but M0/M1 must be reported as conservative guardrails for the SODO/UW industrial-waterway cluster. Universal superiority of the non-stationary models is not claimed.</w:t>
      </w:r>
    </w:p>
    <w:p w:rsidR="00AD65CC" w:rsidRPr="00F436BC" w:rsidRDefault="000A5A2B" w:rsidP="00F436BC">
      <w:pPr>
        <w:pStyle w:val="Heading1"/>
        <w:rPr>
          <w:rFonts w:ascii="Arial" w:hAnsi="Arial"/>
        </w:rPr>
      </w:pPr>
      <w:r>
        <w:t>Data availability</w:t>
      </w:r>
    </w:p>
    <w:p w:rsidR="003B066E" w:rsidRDefault="003B066E" w:rsidP="00F436BC">
      <w:pPr>
        <w:pStyle w:val="Heading1"/>
        <w:rPr>
          <w:rFonts w:cs="Times New Roman"/>
          <w:b w:val="0"/>
          <w:bCs w:val="0"/>
          <w:kern w:val="0"/>
          <w:szCs w:val="24"/>
        </w:rPr>
      </w:pPr>
      <w:r>
        <w:rPr>
          <w:rFonts w:cs="Times New Roman"/>
          <w:b w:val="0"/>
          <w:bCs w:val="0"/>
          <w:kern w:val="0"/>
          <w:szCs w:val="24"/>
        </w:rPr>
        <w:t>The benchmark data, source code, figures and README are provided as Online Resource 1 and in the public GitHub repository: https://github.com/gabrielmontufar/article-118-nonstationary-liquefaction-benchmark. The synthetic benchmark script is self-contained. The site-extension scripts use public DesignSafe source files downloaded separately because the raw datasets are large: Nisqually PRJ-3758 (10.17603/ds2-nsf8-7944) and Canterbury PRJ-2937. The reproducibility package now includes scripts/run_121_canterbury_multi_site_temporal_validation.py, scripts/run_122_cost_sensitive_decision_frontier.py, outputs/canterbury_multi_site_temporal_validation_summary.json, outputs/cost_sensitive_decision_frontier_summary.json, outputs/cost_sensitive_decision_frontier_case_weighted_fixed_threshold.csv and outputs/paired_uncertainty_model_selection_summary.json so that the expanded Canterbury gate, cost-sensitive operating-policy diagnostic and claim boundary can be regenerated from the public raw file. Normalized CSV inputs and all generated outputs used in the manuscript are included in Online Resource 1; rerunning raw extraction requires placing the public DesignSafe files in the paths stated in the scripts or using the local raw_designsafe/ download folder.</w:t>
      </w:r>
    </w:p>
    <w:p w:rsidR="00AD65CC" w:rsidRPr="00F436BC" w:rsidRDefault="000A5A2B" w:rsidP="00F436BC">
      <w:pPr>
        <w:pStyle w:val="Heading1"/>
        <w:rPr>
          <w:rFonts w:ascii="Arial" w:hAnsi="Arial"/>
        </w:rPr>
      </w:pPr>
      <w:r>
        <w:t>Author contributions</w:t>
      </w:r>
    </w:p>
    <w:p w:rsidR="00AD65CC" w:rsidRDefault="000A5A2B">
      <w:pPr>
        <w:pStyle w:val="Paragraph"/>
      </w:pPr>
      <w: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Generative artificial intelligence tools were used to support language editing, organization and formatting. The author reviewed, verified and takes responsibility for the scientific results and final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[1] Ang, A. H.-S., and Tang, W. H. 2007. Probability Concepts in Engineering: Emphasis on Applications to Civil and Environmental Engineering. 2nd ed. Hoboken, NJ: Wiley.</w:t>
      </w:r>
    </w:p>
    <w:p w:rsidR="00AD65CC" w:rsidRDefault="000A5A2B">
      <w:pPr>
        <w:pStyle w:val="References"/>
      </w:pPr>
      <w:r>
        <w:t>[2] Baecher,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[4] Boulanger, R. W., and Idriss, I. M. 2014. CPT and SPT Based Liquefaction Triggering Procedures. Report UCD/CGM-14/01. Davis, CA: Center for Geotechnical Modeling, University of California, Davis.</w:t>
      </w:r>
    </w:p>
    <w:p w:rsidR="00AD65CC" w:rsidRDefault="000A5A2B">
      <w:pPr>
        <w:pStyle w:val="References"/>
      </w:pPr>
      <w: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pStyle w:val="References"/>
      </w:pPr>
      <w:r>
        <w:t>[6] Ching, J., and Phoon, K. K. 2014. Transformations and Correlations among Some Clay Parameters: The Global Database. Canadian Geotechnical Journal 51 (6): 663-685.</w:t>
      </w:r>
    </w:p>
    <w:p w:rsidR="00AD65CC" w:rsidRDefault="000A5A2B">
      <w:pPr>
        <w:pStyle w:val="References"/>
      </w:pPr>
      <w:r>
        <w:t>[7] Cruz, A., Karimzadeh, S., Chieffo,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[8] Der Kiureghian, A. 2005. First- and Second-Order Reliability Methods. In Engineering Design Reliability Handbook, edited by E. Nikolaidis, D. M. Ghiocel, and S. Singhal. Boca Raton, FL: CRC Press.</w:t>
      </w:r>
    </w:p>
    <w:p w:rsidR="00AD65CC" w:rsidRDefault="000A5A2B">
      <w:pPr>
        <w:pStyle w:val="References"/>
      </w:pPr>
      <w:r>
        <w:t>[9] Ditlevsen,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[11] Fredlund, D. G., and Rahardjo, H. 1993. Soil Mechanics for Unsaturated Soils. New York: Wiley.</w:t>
      </w:r>
    </w:p>
    <w:p w:rsidR="00AD65CC" w:rsidRDefault="000A5A2B">
      <w:pPr>
        <w:pStyle w:val="References"/>
      </w:pPr>
      <w:r>
        <w:t>[12] Fredlund, D. G., Rahardjo, H., and Fredlund, M. D. 2012. Unsaturated Soil Mechanics in Engineering Practice. Hoboken, NJ: Wiley.</w:t>
      </w:r>
    </w:p>
    <w:p w:rsidR="00497881" w:rsidRDefault="00B513B6">
      <w:pPr>
        <w:pStyle w:val="References"/>
      </w:pPr>
      <w:r>
        <w:t>[13] Global Earthquake Model Foundation. 2024. OpenQuake Engine 3.20.1 Documentation: Liquefaction Inputs. https://docs.openquake.org/oq-engine/3.20/manual/user-guide/inputs/liquefaction-inputs.html.</w:t>
      </w:r>
    </w:p>
    <w:p w:rsidR="00AD65CC" w:rsidRDefault="000A5A2B">
      <w:pPr>
        <w:pStyle w:val="References"/>
      </w:pPr>
      <w:r>
        <w:t>[14] Greenfield, M. W., Estep, T. M., Taing,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t>[15] Holzer, T. L., Noce,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[17] Idriss,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[19] Ishihara, K. 1993. Liquefaction and Flow Failure during Earthquakes. Geotechnique 43 (3): 351-451.</w:t>
      </w:r>
    </w:p>
    <w:p w:rsidR="00497881" w:rsidRDefault="00B513B6">
      <w:pPr>
        <w:pStyle w:val="References"/>
      </w:pPr>
      <w:r>
        <w:t>[20] Javanbakht, A., Molnar, S., Sadrekarimi, A., and Adhikari,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[21] Juang, C. H., Fang, S. Y., and Khor, E. H. 2006. First-Order Reliability Method for Probabilistic Liquefaction Triggering Analysis. Journal of Geotechnical and Geoenvironmental Engineering 132 (3): 337-350.</w:t>
      </w:r>
    </w:p>
    <w:p w:rsidR="00AD65CC" w:rsidRDefault="000A5A2B">
      <w:pPr>
        <w:pStyle w:val="References"/>
      </w:pPr>
      <w:r>
        <w:t>[22]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[25] Kramer, S. L., and Mayfield, R. T. 2007. Return Period of Soil Liquefaction. Journal of Geotechnical and Geoenvironmental Engineering 133 (7): 802-813.</w:t>
      </w:r>
    </w:p>
    <w:p w:rsidR="00AD65CC" w:rsidRDefault="000A5A2B">
      <w:pPr>
        <w:pStyle w:val="References"/>
      </w:pPr>
      <w:r>
        <w:t>[26] Lacasse, S., and Nadim, F. 1996. Uncertainties in Characterising Soil Properties. In Uncertainty in the Geologic Environment: From Theory to Practice, 49-75. Reston, VA: ASCE.</w:t>
      </w:r>
    </w:p>
    <w:p w:rsidR="00AD65CC" w:rsidRDefault="000A5A2B">
      <w:pPr>
        <w:pStyle w:val="References"/>
      </w:pPr>
      <w:r>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[28] Lu, N., and Likos, W. J. 2004. Unsaturated Soil Mechanics. Hoboken, NJ: Wiley.</w:t>
      </w:r>
    </w:p>
    <w:p w:rsidR="00497881" w:rsidRDefault="00B513B6">
      <w:pPr>
        <w:pStyle w:val="References"/>
      </w:pPr>
      <w:r>
        <w:t>[29] Makdisi, A. J., and Kramer, S. L. 2024. Improved Computational Methods for Probabilistic Liquefaction Hazard Analysis. Soil Dynamics and Earthquake Engineering 176: 108272. https://doi.org/10.1016/j.soildyn.2023.108272.</w:t>
      </w:r>
    </w:p>
    <w:p w:rsidR="00AD65CC" w:rsidRDefault="000A5A2B">
      <w:pPr>
        <w:pStyle w:val="References"/>
      </w:pPr>
      <w:r>
        <w:t>[30] Melchers, R. E., and Beck, A. T. 2018. Structural Reliability Analysis and Prediction. 3rd ed. Hoboken, NJ: Wiley.</w:t>
      </w:r>
    </w:p>
    <w:p w:rsidR="00AD65CC" w:rsidRDefault="000A5A2B">
      <w:pPr>
        <w:pStyle w:val="References"/>
      </w:pPr>
      <w:r>
        <w:t>[31] Milly, P. C. D., Betancourt, J., Falkenmark, M., Hirsch, R. M., Kundzewicz, Z. W., Lettenmaier, D. P., and Stouffer, R. J. 2008. Stationarity Is Dead: Whither Water Management Science 319 (5863): 573-574.</w:t>
      </w:r>
    </w:p>
    <w:p w:rsidR="00AD65CC" w:rsidRDefault="000A5A2B">
      <w:pPr>
        <w:pStyle w:val="References"/>
      </w:pPr>
      <w:r>
        <w:t>[32] Moss, R. E. S., Seed, R. B., Kayen, R. E., Stewart, J. P., Der Kiureghian, A., and Cetin, K. O. 2006. CPT-Based Probabilistic and Deterministic Assessment of In Situ Seismic Soil Liquefaction Potential. Journal of Geotechnical and Geoenvironmental Engineering 132 (8): 1032-1051.</w:t>
      </w:r>
    </w:p>
    <w:p w:rsidR="00497881" w:rsidRPr="00863D76" w:rsidRDefault="00B513B6">
      <w:pPr>
        <w:pStyle w:val="References"/>
        <w:rPr>
          <w:lang w:val="es-PA"/>
        </w:rPr>
      </w:pPr>
      <w:r>
        <w:t xml:space="preserve">[33] Olaya, F., Bray, J. D., and Abrahamson, N. 2024. Performance-Based Probabilistic Liquefaction-Induced Ground Settlement Procedure. </w:t>
      </w:r>
      <w:r w:rsidRPr="00863D76">
        <w:rPr>
          <w:lang w:val="es-PA"/>
        </w:rPr>
        <w:t>Earthquake Spectra 40 (2): 1301-1323. https://doi.org/10.1177/87552930241234289.</w:t>
      </w:r>
    </w:p>
    <w:p w:rsidR="00497881" w:rsidRDefault="00B513B6">
      <w:pPr>
        <w:pStyle w:val="References"/>
      </w:pPr>
      <w:r w:rsidRPr="00863D76">
        <w:rPr>
          <w:lang w:val="es-PA"/>
        </w:rPr>
        <w:t xml:space="preserve">[34] Ordaz, M., Salgado-Galvez, M. A., Manica, M. A., Ovando-Shelley, E., Faccioli,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[35] Phoon, K. K., and Ching, J., eds. 2015. Risk and Reliability in Geotechnical Engineering. Boca Raton, FL: CRC Press.</w:t>
      </w:r>
    </w:p>
    <w:p w:rsidR="00AD65CC" w:rsidRDefault="000A5A2B">
      <w:pPr>
        <w:pStyle w:val="References"/>
      </w:pPr>
      <w:r>
        <w:t>[36] Phoon, K. K., and Kulhawy, F. H. 1999. Characterization of Geotechnical Variability. Canadian Geotechnical Journal 36 (4): 612-624.</w:t>
      </w:r>
    </w:p>
    <w:p w:rsidR="00AD65CC" w:rsidRDefault="000A5A2B">
      <w:pPr>
        <w:pStyle w:val="References"/>
      </w:pPr>
      <w:r>
        <w:t>[37] Rackwitz, R. 2000. Reviewing Probabilistic Soils Modelling. Computers and Geotechnics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t>[39] Robertson, P. K., and Wride, C. E. 1998. Evaluating Cyclic Liquefaction Potential Using the Cone Penetration Test. Canadian Geotechnical Journal 35 (3): 442-459.</w:t>
      </w:r>
    </w:p>
    <w:p w:rsidR="00AD65CC" w:rsidRDefault="000A5A2B">
      <w:pPr>
        <w:pStyle w:val="References"/>
      </w:pPr>
      <w:r>
        <w:t>[40] Rubinstein, R. Y., and Kroese, D. P. 2016. Simulation and the Monte Carlo Method. 3rd ed. Hoboken, NJ: Wiley.</w:t>
      </w:r>
    </w:p>
    <w:p w:rsidR="00AD65CC" w:rsidRDefault="000A5A2B">
      <w:pPr>
        <w:pStyle w:val="References"/>
      </w:pPr>
      <w:r>
        <w:t>[41] Saltelli, A., Ratto, M., Andres, T., Campolongo, F., Cariboni, J., Saisana, M., and Tarantola, S. 2008. Global Sensitivity Analysis: The Primer. Chichester: Wiley.</w:t>
      </w:r>
    </w:p>
    <w:p w:rsidR="00AD65CC" w:rsidRDefault="000A5A2B">
      <w:pPr>
        <w:pStyle w:val="References"/>
      </w:pPr>
      <w:r>
        <w:t>[42] Seed, H. B., and Idriss, I. M. 1971. Simplified Procedure for Evaluating Soil Liquefaction Potential. Journal of the Soil Mechanics and Foundations Division 97 (9): 1249-1273.</w:t>
      </w:r>
    </w:p>
    <w:p w:rsidR="00AD65CC" w:rsidRDefault="000A5A2B">
      <w:pPr>
        <w:pStyle w:val="References"/>
      </w:pPr>
      <w:r>
        <w:t>[43] Seed, H. B., Tokimatsu, K., Harder, L. F., and Chung, R. M. 1985. Influence of SPT Procedures in Soil Liquefaction Resistance Evaluations. Journal of Geotechnical Engineering 111 (12): 1425-1445.</w:t>
      </w:r>
    </w:p>
    <w:p w:rsidR="00AD65CC" w:rsidRDefault="000A5A2B">
      <w:pPr>
        <w:pStyle w:val="References"/>
      </w:pPr>
      <w:r>
        <w:t>[44] Skempton, A. W., and Brogan, J. M. 1994. Experiments on Piping in Sandy Gravels. Geotechnique 44 (3): 449-460.</w:t>
      </w:r>
    </w:p>
    <w:p w:rsidR="00AD65CC" w:rsidRDefault="000A5A2B">
      <w:pPr>
        <w:pStyle w:val="References"/>
      </w:pPr>
      <w:r>
        <w:t>[45] Sobol,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[47] Vanmarcke, E. H. 1977. Probabilistic Modeling of Soil Profiles. Journal of the Geotechnical Engineering Division 103 (11): 1227-1246.</w:t>
      </w:r>
    </w:p>
    <w:p w:rsidR="00AD65CC" w:rsidRDefault="000A5A2B">
      <w:pPr>
        <w:pStyle w:val="References"/>
      </w:pPr>
      <w:r>
        <w:t>[48] Wan, C. F., and Fell, R. 2008. Assessing the Potential of Internal Instability and Suffusion in Embankment Dams and Their Foundations. Journal of Geotechnical and Geoenvironmental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r>
        <w:t>[50]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3B066E" w:rsidRDefault="003B066E"/>
    <w:p w:rsidR="003B066E" w:rsidRDefault="003B066E">
      <w:r>
        <w:t>[51] Guan, Z., and Wang, Y. 2024. Risk-informed adaptive sampling strategy for liquefaction severity mapping. Georisk 18 (2): 526-539. https://doi.org/10.1080/17499518.2023.2225165.</w:t>
      </w:r>
    </w:p>
    <w:p w:rsidR="003B066E" w:rsidRDefault="003B066E">
      <w:r>
        <w:t>[52] Zhai, S., Du, G., Zhao, T., Zhuang, Z., and Liu, S. 2025. Assessment of resonance compaction effects on site liquefaction probability by considering spatial variability. Georisk 19 (3): 593-612. https://doi.org/10.1080/17499518.2025.2478625.</w:t>
      </w:r>
    </w:p>
    <w:p w:rsidR="003B066E" w:rsidRDefault="003B066E">
      <w:r>
        <w:t>[53] van Staveren, M. T. 2009. Extending to geotechnical risk management. Georisk 3 (3): 174-183. https://doi.org/10.1080/17499510902788835.</w:t>
      </w:r>
    </w:p>
    <w:p w:rsidR="00F55AF2" w:rsidRDefault="003B066E">
      <w:r>
        <w:t>[54] Sousa, R. L., Karam, K., and Einstein, H. H. 2014. Exploration analysis for landslide risk management. Georisk 8 (3): 155-170. https://doi.org/10.1080/17499518.2014.958174.</w:t>
      </w:r>
    </w:p>
    <w:p w:rsidR="00DB1D60" w:rsidRDefault="00DB1D60">
      <w:r>
        <w:t>Adversarial model-selection guardrail closure: the reproducible supplement now selects M2 for pooled Nisqually spatial validation and M3 for the minimal Canterbury three-event stress test, but switches to the stationary M0 comparator for both the strict SODO/UW industrial-waterway holdout and the expanded Canterbury multi-site transfer. SODO/UW requires M0 because M2/M3 each produce one false negative at SODO-03; Canterbury multi-site requires M0 because it is the best Brier model over 15,890 scored event states. A separate conservative max(M0..M3) screening rule eliminates the SODO/UW false negative and reduces Canterbury multi-site false negatives from 224 to 43, but it is reported only as a safety-screening guardrail because it worsens Brier and false positives. Universal M2/M3 superiority remains blocked.</w:t>
      </w:r>
    </w:p>
    <w:p w:rsidR="00967A9A" w:rsidRDefault="004546B7">
      <w:r>
        <w:t>Adversarial threshold operating closure: the conservative max(M0..M3) screen now includes a cost-sensitive threshold audit over 0.50, 0.45, 0.43, 0.425, 0.42, 0.40 and 0.375. In the leave-one-region-out industrial-waterway stress test, the default 0.50 threshold leaves two false negatives and no false positives, whereas a 0.43 screening threshold removes those industrial-waterway false negatives without false positives in that subgroup. Across all audited protocols, a 0.375 safety-screen threshold removes all false negatives but increases false positives from 8 to 10, so the result is reported as an explicit screening tradeoff rather than recalibration, universal M2/M3 superiority, or zero-cost validation.</w:t>
      </w:r>
    </w:p>
    <w:p w:rsidR="003B066E" w:rsidRDefault="003B066E" w:rsidP="00967A9A">
      <w:r>
        <w:t>Paired uncertainty model-selection closure: the reproducible supplement now includes paired Brier-delta and bootstrap uncertainty checks for M0-M3 and the conservative max(M0..M3) rule across pooled Nisqually, SODO/UW, Canterbury three-event and Canterbury multi-site domains. In the 24-case pooled Nisqually leave-one-family protocol, M2 improves the point-estimate Brier score relative to M0 by -0.0466, but the paired bootstrap 95% interval reaches zero [-0.1146, 0.0092]. In the 8-case SODO/UW strict adverse holdout, M2 has an adverse point-estimate Brier delta of +0.0213 with an interval spanning zero. The original Canterbury M3 improvement is retained as descriptive because it has three event states. The expanded Canterbury transfer is statistically large but adverse for Brier: over 15,890 scored event states, M3 has a +0.0885 Brier delta versus M0 with a 95% interval of [+0.0846, +0.0927], and conservative max(M0..M3) also degrades Brier. The admissible claim is therefore uncertainty-bounded, domain-specific model selection plus false-negative-aware screening, not universal non-stationary superiority or universal calibration. Cost-sensitive decision frontier closure: the supplement now adds run_122_cost_sensitive_decision_frontier.py. With domain-retuned thresholds, M0 remains the lowest-loss baseline; this is labelled as a diagnostic/oracle frontier because the threshold is selected from validation labels. With the standard fixed 0.50 screening threshold, conservative max(M0..M3) becomes the lowest-loss rule once a false negative is at least twice as costly as a false positive. At 10:1, its domain-balanced mean expected loss is 0.189 versus 0.465 for M0, while the case-weighted global mean is 0.484 versus 0.521. This is reported as an operating-policy diagnostic, not as probability recalibration.</w:t>
      </w:r>
    </w:p>
    <w:p w:rsidR="004546B7" w:rsidRDefault="004546B7" w:rsidP="00967A9A"/>
    <w:sectPr w:rsidR="004546B7"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B5833"/>
    <w:rsid w:val="000E1204"/>
    <w:rsid w:val="000E2F88"/>
    <w:rsid w:val="0012763A"/>
    <w:rsid w:val="0015074B"/>
    <w:rsid w:val="001D33E7"/>
    <w:rsid w:val="001E223A"/>
    <w:rsid w:val="00211A9B"/>
    <w:rsid w:val="00225FE4"/>
    <w:rsid w:val="0029639D"/>
    <w:rsid w:val="002B4616"/>
    <w:rsid w:val="00311A2C"/>
    <w:rsid w:val="0032076F"/>
    <w:rsid w:val="00326F90"/>
    <w:rsid w:val="003424D3"/>
    <w:rsid w:val="003672F9"/>
    <w:rsid w:val="00380D34"/>
    <w:rsid w:val="003861EC"/>
    <w:rsid w:val="003A4107"/>
    <w:rsid w:val="003B066E"/>
    <w:rsid w:val="003C2675"/>
    <w:rsid w:val="004166E7"/>
    <w:rsid w:val="004457B8"/>
    <w:rsid w:val="004546B7"/>
    <w:rsid w:val="0047040E"/>
    <w:rsid w:val="00485EEF"/>
    <w:rsid w:val="00497881"/>
    <w:rsid w:val="0054172B"/>
    <w:rsid w:val="00554E27"/>
    <w:rsid w:val="0060192A"/>
    <w:rsid w:val="006C2A15"/>
    <w:rsid w:val="00731CB2"/>
    <w:rsid w:val="00755DA9"/>
    <w:rsid w:val="00774445"/>
    <w:rsid w:val="0078267C"/>
    <w:rsid w:val="00863D76"/>
    <w:rsid w:val="00882B38"/>
    <w:rsid w:val="008963EB"/>
    <w:rsid w:val="008F6A0C"/>
    <w:rsid w:val="00904639"/>
    <w:rsid w:val="00923608"/>
    <w:rsid w:val="00946BE6"/>
    <w:rsid w:val="00967A9A"/>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24E97"/>
    <w:rsid w:val="00D94886"/>
    <w:rsid w:val="00DB1D60"/>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354D3-841C-45C7-A3B3-8C51693C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11177</Words>
  <Characters>61478</Characters>
  <Application>Microsoft Office Word</Application>
  <DocSecurity>0</DocSecurity>
  <Lines>512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18</cp:revision>
  <cp:lastPrinted>2026-05-10T07:41:00Z</cp:lastPrinted>
  <dcterms:created xsi:type="dcterms:W3CDTF">2013-12-23T23:15:00Z</dcterms:created>
  <dcterms:modified xsi:type="dcterms:W3CDTF">2026-06-07T10:56:00Z</dcterms:modified>
  <cp:category/>
</cp:coreProperties>
</file>