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EFB" w:rsidRDefault="00663EFB" w:rsidP="00663EFB">
      <w:pPr>
        <w:pStyle w:val="Heading1"/>
        <w:spacing w:after="80" w:line="240" w:lineRule="auto"/>
        <w:jc w:val="center"/>
        <w:rPr>
          <w:rFonts w:ascii="Times New Roman" w:eastAsia="Times New Roman" w:hAnsi="Times New Roman"/>
        </w:rPr>
      </w:pPr>
      <w:bookmarkStart w:id="0" w:name="_GoBack"/>
      <w:bookmarkEnd w:id="0"/>
      <w:r>
        <w:rPr>
          <w:rFonts w:ascii="Times New Roman" w:eastAsia="Times New Roman" w:hAnsi="Times New Roman"/>
        </w:rPr>
        <w:t>Supplementary Material</w:t>
      </w:r>
    </w:p>
    <w:p w:rsidR="00DA1FB7" w:rsidRDefault="00663EFB">
      <w:pPr>
        <w:pStyle w:val="Heading1"/>
        <w:spacing w:after="80" w:line="240" w:lineRule="auto"/>
      </w:pPr>
      <w:r>
        <w:rPr>
          <w:rFonts w:ascii="Times New Roman" w:eastAsia="Times New Roman" w:hAnsi="Times New Roman"/>
        </w:rPr>
        <w:t>Purpose and scope</w:t>
      </w:r>
    </w:p>
    <w:p w:rsidR="00DA1FB7" w:rsidRDefault="00663EFB">
      <w:pPr>
        <w:spacing w:after="80" w:line="240" w:lineRule="auto"/>
      </w:pPr>
      <w:r>
        <w:t>This revised supplementary file reorganizes the diagnostic tables by evidentiary role. The main manuscript keeps the core narrative tables, while this supplement provides the supporting audit trail for external compatibility, model-form dependence, vertical-dependence sensitivity and expanded Hu/Wenchuan case-history checks.</w:t>
      </w:r>
    </w:p>
    <w:p w:rsidR="00DA1FB7" w:rsidRDefault="00663EFB">
      <w:pPr>
        <w:spacing w:after="80" w:line="240" w:lineRule="auto"/>
      </w:pPr>
      <w:r>
        <w:t>The Hu/Wenchuan tables remain external compatibility checks, not calibrated field validation. The site-calibrated Nisqually and Canterbury extensions are documented separately in the supplementary CSV files and scripts.</w:t>
      </w:r>
    </w:p>
    <w:p w:rsidR="00DA1FB7" w:rsidRDefault="00663EFB">
      <w:pPr>
        <w:pStyle w:val="Heading1"/>
        <w:spacing w:after="80" w:line="240" w:lineRule="auto"/>
      </w:pPr>
      <w:r>
        <w:rPr>
          <w:rFonts w:ascii="Times New Roman" w:eastAsia="Times New Roman" w:hAnsi="Times New Roman"/>
        </w:rPr>
        <w:t>Table roadmap</w:t>
      </w:r>
    </w:p>
    <w:p w:rsidR="00DA1FB7" w:rsidRDefault="00663EFB">
      <w:pPr>
        <w:spacing w:after="80" w:line="240" w:lineRule="auto"/>
      </w:pPr>
      <w:r>
        <w:t>Table S1 is used for external discrimination and calibration checks; Table S2 is used for standard SPT model-form comparison; Table S3 is used for vertical-dependence sensitivity; and Table S4 is used for expanded Hu full-set and Wenchuan documented-earthquake compatibility metrics. Each table is introduced in the text immediately before it appears.</w:t>
      </w:r>
    </w:p>
    <w:p w:rsidR="00DA1FB7" w:rsidRDefault="00663EFB">
      <w:pPr>
        <w:pStyle w:val="Heading1"/>
        <w:spacing w:after="80" w:line="240" w:lineRule="auto"/>
      </w:pPr>
      <w:r>
        <w:rPr>
          <w:rFonts w:ascii="Times New Roman" w:eastAsia="Times New Roman" w:hAnsi="Times New Roman"/>
        </w:rPr>
        <w:t>S1. External compatibility and calibration diagnostics</w:t>
      </w:r>
    </w:p>
    <w:p w:rsidR="00DA1FB7" w:rsidRDefault="00663EFB">
      <w:pPr>
        <w:keepNext/>
        <w:spacing w:after="80" w:line="240" w:lineRule="auto"/>
      </w:pPr>
      <w:r>
        <w:t>The first supplementary diagnostic is Table S1. It reports the external case-history discrimination, calibration and static compatibility checks used to verify whether demand, resistance and groundwater indicators rank liquefied cases above non-liquefied cases in the expected direction.</w:t>
      </w:r>
    </w:p>
    <w:p w:rsidR="00DA1FB7" w:rsidRDefault="00663EFB">
      <w:pPr>
        <w:pStyle w:val="TableCaptionAbove"/>
        <w:spacing w:line="240" w:lineRule="auto"/>
      </w:pPr>
      <w:r>
        <w:t>Table S1. External case-history discrimination, calibration and static compatibility checks.</w:t>
      </w:r>
    </w:p>
    <w:tbl>
      <w:tblPr>
        <w:tblStyle w:val="PlainTable2"/>
        <w:tblW w:w="0" w:type="auto"/>
        <w:jc w:val="center"/>
        <w:tblLayout w:type="fixed"/>
        <w:tblLook w:val="04A0" w:firstRow="1" w:lastRow="0" w:firstColumn="1" w:lastColumn="0" w:noHBand="0" w:noVBand="1"/>
      </w:tblPr>
      <w:tblGrid>
        <w:gridCol w:w="2448"/>
        <w:gridCol w:w="648"/>
        <w:gridCol w:w="864"/>
        <w:gridCol w:w="936"/>
        <w:gridCol w:w="1584"/>
        <w:gridCol w:w="1152"/>
        <w:gridCol w:w="1152"/>
        <w:gridCol w:w="1800"/>
      </w:tblGrid>
      <w:tr w:rsidR="00DA1FB7" w:rsidRPr="00663EFB" w:rsidTr="00663E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DA1FB7" w:rsidRPr="00663EFB" w:rsidRDefault="00663EFB">
            <w:pPr>
              <w:jc w:val="center"/>
              <w:rPr>
                <w:sz w:val="20"/>
                <w:szCs w:val="20"/>
              </w:rPr>
            </w:pPr>
            <w:r w:rsidRPr="00663EFB">
              <w:rPr>
                <w:sz w:val="20"/>
                <w:szCs w:val="20"/>
              </w:rPr>
              <w:t>Check</w:t>
            </w:r>
          </w:p>
        </w:tc>
        <w:tc>
          <w:tcPr>
            <w:tcW w:w="648" w:type="dxa"/>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N</w:t>
            </w:r>
          </w:p>
        </w:tc>
        <w:tc>
          <w:tcPr>
            <w:tcW w:w="864" w:type="dxa"/>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AUC</w:t>
            </w:r>
          </w:p>
        </w:tc>
        <w:tc>
          <w:tcPr>
            <w:tcW w:w="936" w:type="dxa"/>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Brier</w:t>
            </w:r>
          </w:p>
        </w:tc>
        <w:tc>
          <w:tcPr>
            <w:tcW w:w="1584" w:type="dxa"/>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TP/TN/FP/FN</w:t>
            </w:r>
          </w:p>
        </w:tc>
        <w:tc>
          <w:tcPr>
            <w:tcW w:w="1152" w:type="dxa"/>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Sensitivity</w:t>
            </w:r>
          </w:p>
        </w:tc>
        <w:tc>
          <w:tcPr>
            <w:tcW w:w="1152" w:type="dxa"/>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Specificity</w:t>
            </w:r>
          </w:p>
        </w:tc>
        <w:tc>
          <w:tcPr>
            <w:tcW w:w="1800" w:type="dxa"/>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Status</w:t>
            </w:r>
          </w:p>
        </w:tc>
      </w:tr>
      <w:tr w:rsidR="00DA1FB7" w:rsidRPr="00663EFB" w:rsidTr="00663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DA1FB7" w:rsidRPr="00663EFB" w:rsidRDefault="00663EFB">
            <w:pPr>
              <w:rPr>
                <w:b w:val="0"/>
                <w:sz w:val="20"/>
                <w:szCs w:val="20"/>
              </w:rPr>
            </w:pPr>
            <w:r w:rsidRPr="00663EFB">
              <w:rPr>
                <w:b w:val="0"/>
                <w:sz w:val="20"/>
                <w:szCs w:val="20"/>
              </w:rPr>
              <w:t>combined external score</w:t>
            </w:r>
          </w:p>
        </w:tc>
        <w:tc>
          <w:tcPr>
            <w:tcW w:w="648"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234</w:t>
            </w:r>
          </w:p>
        </w:tc>
        <w:tc>
          <w:tcPr>
            <w:tcW w:w="864"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0.811</w:t>
            </w:r>
          </w:p>
        </w:tc>
        <w:tc>
          <w:tcPr>
            <w:tcW w:w="936"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0.172</w:t>
            </w:r>
          </w:p>
        </w:tc>
        <w:tc>
          <w:tcPr>
            <w:tcW w:w="1584"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115/63/35/21</w:t>
            </w:r>
          </w:p>
        </w:tc>
        <w:tc>
          <w:tcPr>
            <w:tcW w:w="1152"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0.846</w:t>
            </w:r>
          </w:p>
        </w:tc>
        <w:tc>
          <w:tcPr>
            <w:tcW w:w="1152"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0.643</w:t>
            </w:r>
          </w:p>
        </w:tc>
        <w:tc>
          <w:tcPr>
            <w:tcW w:w="1800"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5-fold score</w:t>
            </w:r>
          </w:p>
        </w:tc>
      </w:tr>
      <w:tr w:rsidR="00DA1FB7" w:rsidRPr="00663EFB" w:rsidTr="00663EFB">
        <w:trPr>
          <w:jc w:val="center"/>
        </w:trPr>
        <w:tc>
          <w:tcPr>
            <w:cnfStyle w:val="001000000000" w:firstRow="0" w:lastRow="0" w:firstColumn="1" w:lastColumn="0" w:oddVBand="0" w:evenVBand="0" w:oddHBand="0" w:evenHBand="0" w:firstRowFirstColumn="0" w:firstRowLastColumn="0" w:lastRowFirstColumn="0" w:lastRowLastColumn="0"/>
            <w:tcW w:w="2448" w:type="dxa"/>
          </w:tcPr>
          <w:p w:rsidR="00DA1FB7" w:rsidRPr="00663EFB" w:rsidRDefault="00663EFB">
            <w:pPr>
              <w:rPr>
                <w:b w:val="0"/>
                <w:sz w:val="20"/>
                <w:szCs w:val="20"/>
              </w:rPr>
            </w:pPr>
            <w:r w:rsidRPr="00663EFB">
              <w:rPr>
                <w:b w:val="0"/>
                <w:sz w:val="20"/>
                <w:szCs w:val="20"/>
              </w:rPr>
              <w:t>DPT score</w:t>
            </w:r>
          </w:p>
        </w:tc>
        <w:tc>
          <w:tcPr>
            <w:tcW w:w="648" w:type="dxa"/>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234</w:t>
            </w:r>
          </w:p>
        </w:tc>
        <w:tc>
          <w:tcPr>
            <w:tcW w:w="864" w:type="dxa"/>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0.778</w:t>
            </w:r>
          </w:p>
        </w:tc>
        <w:tc>
          <w:tcPr>
            <w:tcW w:w="936" w:type="dxa"/>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0.189</w:t>
            </w:r>
          </w:p>
        </w:tc>
        <w:tc>
          <w:tcPr>
            <w:tcW w:w="1584" w:type="dxa"/>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116/60/38/20</w:t>
            </w:r>
          </w:p>
        </w:tc>
        <w:tc>
          <w:tcPr>
            <w:tcW w:w="1152" w:type="dxa"/>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0.853</w:t>
            </w:r>
          </w:p>
        </w:tc>
        <w:tc>
          <w:tcPr>
            <w:tcW w:w="1152" w:type="dxa"/>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0.612</w:t>
            </w:r>
          </w:p>
        </w:tc>
        <w:tc>
          <w:tcPr>
            <w:tcW w:w="1800" w:type="dxa"/>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5-fold score</w:t>
            </w:r>
          </w:p>
        </w:tc>
      </w:tr>
      <w:tr w:rsidR="00DA1FB7" w:rsidRPr="00663EFB" w:rsidTr="00663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DA1FB7" w:rsidRPr="00663EFB" w:rsidRDefault="00663EFB">
            <w:pPr>
              <w:rPr>
                <w:b w:val="0"/>
                <w:sz w:val="20"/>
                <w:szCs w:val="20"/>
              </w:rPr>
            </w:pPr>
            <w:r w:rsidRPr="00663EFB">
              <w:rPr>
                <w:b w:val="0"/>
                <w:sz w:val="20"/>
                <w:szCs w:val="20"/>
              </w:rPr>
              <w:t>Vs score</w:t>
            </w:r>
          </w:p>
        </w:tc>
        <w:tc>
          <w:tcPr>
            <w:tcW w:w="648"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234</w:t>
            </w:r>
          </w:p>
        </w:tc>
        <w:tc>
          <w:tcPr>
            <w:tcW w:w="864"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0.796</w:t>
            </w:r>
          </w:p>
        </w:tc>
        <w:tc>
          <w:tcPr>
            <w:tcW w:w="936"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0.183</w:t>
            </w:r>
          </w:p>
        </w:tc>
        <w:tc>
          <w:tcPr>
            <w:tcW w:w="1584"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116/62/36/20</w:t>
            </w:r>
          </w:p>
        </w:tc>
        <w:tc>
          <w:tcPr>
            <w:tcW w:w="1152"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0.853</w:t>
            </w:r>
          </w:p>
        </w:tc>
        <w:tc>
          <w:tcPr>
            <w:tcW w:w="1152"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0.633</w:t>
            </w:r>
          </w:p>
        </w:tc>
        <w:tc>
          <w:tcPr>
            <w:tcW w:w="1800"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5-fold score</w:t>
            </w:r>
          </w:p>
        </w:tc>
      </w:tr>
      <w:tr w:rsidR="00DA1FB7" w:rsidRPr="00663EFB" w:rsidTr="00663EFB">
        <w:trPr>
          <w:jc w:val="center"/>
        </w:trPr>
        <w:tc>
          <w:tcPr>
            <w:cnfStyle w:val="001000000000" w:firstRow="0" w:lastRow="0" w:firstColumn="1" w:lastColumn="0" w:oddVBand="0" w:evenVBand="0" w:oddHBand="0" w:evenHBand="0" w:firstRowFirstColumn="0" w:firstRowLastColumn="0" w:lastRowFirstColumn="0" w:lastRowLastColumn="0"/>
            <w:tcW w:w="2448" w:type="dxa"/>
          </w:tcPr>
          <w:p w:rsidR="00DA1FB7" w:rsidRPr="00663EFB" w:rsidRDefault="00663EFB">
            <w:pPr>
              <w:rPr>
                <w:b w:val="0"/>
                <w:sz w:val="20"/>
                <w:szCs w:val="20"/>
              </w:rPr>
            </w:pPr>
            <w:r w:rsidRPr="00663EFB">
              <w:rPr>
                <w:b w:val="0"/>
                <w:sz w:val="20"/>
                <w:szCs w:val="20"/>
              </w:rPr>
              <w:t>static limit-state margin</w:t>
            </w:r>
          </w:p>
        </w:tc>
        <w:tc>
          <w:tcPr>
            <w:tcW w:w="648" w:type="dxa"/>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195</w:t>
            </w:r>
          </w:p>
        </w:tc>
        <w:tc>
          <w:tcPr>
            <w:tcW w:w="864" w:type="dxa"/>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0.760</w:t>
            </w:r>
          </w:p>
        </w:tc>
        <w:tc>
          <w:tcPr>
            <w:tcW w:w="936" w:type="dxa"/>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0.199</w:t>
            </w:r>
          </w:p>
        </w:tc>
        <w:tc>
          <w:tcPr>
            <w:tcW w:w="1584" w:type="dxa"/>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91/42/50/12</w:t>
            </w:r>
          </w:p>
        </w:tc>
        <w:tc>
          <w:tcPr>
            <w:tcW w:w="1152" w:type="dxa"/>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0.883</w:t>
            </w:r>
          </w:p>
        </w:tc>
        <w:tc>
          <w:tcPr>
            <w:tcW w:w="1152" w:type="dxa"/>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0.457</w:t>
            </w:r>
          </w:p>
        </w:tc>
        <w:tc>
          <w:tcPr>
            <w:tcW w:w="1800" w:type="dxa"/>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static compatibility</w:t>
            </w:r>
          </w:p>
        </w:tc>
      </w:tr>
      <w:tr w:rsidR="00DA1FB7" w:rsidRPr="00663EFB" w:rsidTr="00663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DA1FB7" w:rsidRPr="00663EFB" w:rsidRDefault="00663EFB">
            <w:pPr>
              <w:rPr>
                <w:b w:val="0"/>
                <w:sz w:val="20"/>
                <w:szCs w:val="20"/>
              </w:rPr>
            </w:pPr>
            <w:r w:rsidRPr="00663EFB">
              <w:rPr>
                <w:b w:val="0"/>
                <w:sz w:val="20"/>
                <w:szCs w:val="20"/>
              </w:rPr>
              <w:t>static Pf proxy</w:t>
            </w:r>
          </w:p>
        </w:tc>
        <w:tc>
          <w:tcPr>
            <w:tcW w:w="648"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195</w:t>
            </w:r>
          </w:p>
        </w:tc>
        <w:tc>
          <w:tcPr>
            <w:tcW w:w="864"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0.760</w:t>
            </w:r>
          </w:p>
        </w:tc>
        <w:tc>
          <w:tcPr>
            <w:tcW w:w="936"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0.200</w:t>
            </w:r>
          </w:p>
        </w:tc>
        <w:tc>
          <w:tcPr>
            <w:tcW w:w="1584"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91/42/50/12</w:t>
            </w:r>
          </w:p>
        </w:tc>
        <w:tc>
          <w:tcPr>
            <w:tcW w:w="1152"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0.883</w:t>
            </w:r>
          </w:p>
        </w:tc>
        <w:tc>
          <w:tcPr>
            <w:tcW w:w="1152"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0.457</w:t>
            </w:r>
          </w:p>
        </w:tc>
        <w:tc>
          <w:tcPr>
            <w:tcW w:w="1800" w:type="dxa"/>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static compatibility</w:t>
            </w:r>
          </w:p>
        </w:tc>
      </w:tr>
    </w:tbl>
    <w:p w:rsidR="00DA1FB7" w:rsidRDefault="00DA1FB7">
      <w:pPr>
        <w:spacing w:after="20" w:line="240" w:lineRule="auto"/>
      </w:pPr>
    </w:p>
    <w:p w:rsidR="00DA1FB7" w:rsidRDefault="00663EFB">
      <w:pPr>
        <w:spacing w:after="80" w:line="240" w:lineRule="auto"/>
      </w:pPr>
      <w:r>
        <w:t>Interpretation note. Table S1 should be read as compatibility evidence, not as calibrated field validation of the non-stationary benchmark. AUC measures ranking discrimination, while Brier scores and the confusion matrix summarize probability-quality and classification behaviour for the external static checks.</w:t>
      </w:r>
    </w:p>
    <w:p w:rsidR="00DA1FB7" w:rsidRDefault="00663EFB">
      <w:pPr>
        <w:pStyle w:val="Heading1"/>
        <w:spacing w:after="80" w:line="240" w:lineRule="auto"/>
      </w:pPr>
      <w:r>
        <w:rPr>
          <w:rFonts w:ascii="Times New Roman" w:eastAsia="Times New Roman" w:hAnsi="Times New Roman"/>
        </w:rPr>
        <w:t>S2. Standard SPT model-form robustness check</w:t>
      </w:r>
    </w:p>
    <w:p w:rsidR="00663EFB" w:rsidRDefault="00663EFB">
      <w:pPr>
        <w:keepNext/>
        <w:spacing w:after="80" w:line="240" w:lineRule="auto"/>
      </w:pPr>
      <w:r>
        <w:t>The second supplementary diagnostic is Table S2. It compares the benchmark probability ordering against a standard SPT-based model-form alternative while keeping the same synthetic states, groundwater trajectories and seismic demand.</w:t>
      </w:r>
    </w:p>
    <w:p w:rsidR="00DA1FB7" w:rsidRDefault="00663EFB">
      <w:pPr>
        <w:pStyle w:val="TableCaptionAbove"/>
        <w:spacing w:line="240" w:lineRule="auto"/>
      </w:pPr>
      <w:r>
        <w:t>Table S2. Standard SPT model-form comparison.</w:t>
      </w:r>
    </w:p>
    <w:tbl>
      <w:tblPr>
        <w:tblStyle w:val="PlainTable2"/>
        <w:tblW w:w="0" w:type="auto"/>
        <w:jc w:val="center"/>
        <w:tblLook w:val="04A0" w:firstRow="1" w:lastRow="0" w:firstColumn="1" w:lastColumn="0" w:noHBand="0" w:noVBand="1"/>
      </w:tblPr>
      <w:tblGrid>
        <w:gridCol w:w="1039"/>
        <w:gridCol w:w="1783"/>
        <w:gridCol w:w="516"/>
        <w:gridCol w:w="1951"/>
        <w:gridCol w:w="1641"/>
        <w:gridCol w:w="1382"/>
        <w:gridCol w:w="2229"/>
      </w:tblGrid>
      <w:tr w:rsidR="00DA1FB7" w:rsidRPr="00663EFB" w:rsidTr="00663E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jc w:val="center"/>
              <w:rPr>
                <w:sz w:val="20"/>
                <w:szCs w:val="20"/>
              </w:rPr>
            </w:pPr>
            <w:r w:rsidRPr="00663EFB">
              <w:rPr>
                <w:sz w:val="20"/>
                <w:szCs w:val="20"/>
              </w:rPr>
              <w:t>Scenario</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Gradation</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N</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Spearman Pf vs BI14</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Median |Delta Pf|</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Max |Delta Pf|</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Same highest layer share</w:t>
            </w:r>
          </w:p>
        </w:tc>
      </w:tr>
      <w:tr w:rsidR="00DA1FB7" w:rsidRPr="00663EFB" w:rsidTr="00663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Stationary</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constant</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104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0.968</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0.316</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0.430</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1.000</w:t>
            </w:r>
          </w:p>
        </w:tc>
      </w:tr>
      <w:tr w:rsidR="00DA1FB7" w:rsidRPr="00663EFB" w:rsidTr="00663EFB">
        <w:trPr>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Stationary</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fines_accumulation</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104</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0.996</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0.326</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0.461</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1.000</w:t>
            </w:r>
          </w:p>
        </w:tc>
      </w:tr>
      <w:tr w:rsidR="00DA1FB7" w:rsidRPr="00663EFB" w:rsidTr="00663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Stationary</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fines_washout</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104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0.997</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0.285</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0.471</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1.000</w:t>
            </w:r>
          </w:p>
        </w:tc>
      </w:tr>
      <w:tr w:rsidR="00DA1FB7" w:rsidRPr="00663EFB" w:rsidTr="00663EFB">
        <w:trPr>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Rising</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constant</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104</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0.966</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0.228</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0.475</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0.654</w:t>
            </w:r>
          </w:p>
        </w:tc>
      </w:tr>
      <w:tr w:rsidR="00DA1FB7" w:rsidRPr="00663EFB" w:rsidTr="00663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Rising</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fines_accumulation</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104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0.931</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0.287</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0.444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0.577</w:t>
            </w:r>
          </w:p>
        </w:tc>
      </w:tr>
      <w:tr w:rsidR="00DA1FB7" w:rsidRPr="00663EFB" w:rsidTr="00663EFB">
        <w:trPr>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Rising</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fines_washout</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104</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0.977</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0.211</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0.482</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0.462</w:t>
            </w:r>
          </w:p>
        </w:tc>
      </w:tr>
      <w:tr w:rsidR="00DA1FB7" w:rsidRPr="00663EFB" w:rsidTr="00663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Seasonal</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constant</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104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0.991</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0.281</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0.462</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1.000</w:t>
            </w:r>
          </w:p>
        </w:tc>
      </w:tr>
      <w:tr w:rsidR="00DA1FB7" w:rsidRPr="00663EFB" w:rsidTr="00663EFB">
        <w:trPr>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seasonal</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fines_accumulation</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104</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0.985</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0.333</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0.460</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0.962</w:t>
            </w:r>
          </w:p>
        </w:tc>
      </w:tr>
      <w:tr w:rsidR="00DA1FB7" w:rsidRPr="00663EFB" w:rsidTr="00663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seasonal</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fines_washout</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104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0.984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0.238</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0.481</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0.885</w:t>
            </w:r>
          </w:p>
        </w:tc>
      </w:tr>
      <w:tr w:rsidR="00DA1FB7" w:rsidRPr="00663EFB" w:rsidTr="00663EFB">
        <w:trPr>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extreme</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constant</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104</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0.995</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0.218</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0.468</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0.962</w:t>
            </w:r>
          </w:p>
        </w:tc>
      </w:tr>
      <w:tr w:rsidR="00DA1FB7" w:rsidRPr="00663EFB" w:rsidTr="00663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extreme</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fines_accumulation</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104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0.990</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0.245</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0.453</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0.962</w:t>
            </w:r>
          </w:p>
        </w:tc>
      </w:tr>
      <w:tr w:rsidR="00DA1FB7" w:rsidRPr="00663EFB" w:rsidTr="00663EFB">
        <w:trPr>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extreme</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fines_washout</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104</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0.994</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0.202</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0.477</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0.885</w:t>
            </w:r>
          </w:p>
        </w:tc>
      </w:tr>
    </w:tbl>
    <w:p w:rsidR="00DA1FB7" w:rsidRDefault="00DA1FB7">
      <w:pPr>
        <w:spacing w:after="20" w:line="240" w:lineRule="auto"/>
      </w:pPr>
    </w:p>
    <w:p w:rsidR="00DA1FB7" w:rsidRDefault="00663EFB">
      <w:pPr>
        <w:spacing w:after="80" w:line="240" w:lineRule="auto"/>
      </w:pPr>
      <w:r>
        <w:lastRenderedPageBreak/>
        <w:t>Interpretation note. Table S2 is intended to check model-form robustness. High Spearman values indicate that the scenario ranking remains broadly stable, whereas median and maximum absolute probability differences show the sensitivity of the probability scale to the selected triggering formulation.</w:t>
      </w:r>
    </w:p>
    <w:p w:rsidR="00DA1FB7" w:rsidRDefault="00663EFB">
      <w:pPr>
        <w:pStyle w:val="Heading1"/>
        <w:spacing w:after="80" w:line="240" w:lineRule="auto"/>
      </w:pPr>
      <w:r>
        <w:rPr>
          <w:rFonts w:ascii="Times New Roman" w:eastAsia="Times New Roman" w:hAnsi="Times New Roman"/>
        </w:rPr>
        <w:t>S3. Vertical-dependence and profile-level probability interpretation</w:t>
      </w:r>
    </w:p>
    <w:p w:rsidR="00DA1FB7" w:rsidRDefault="00663EFB">
      <w:pPr>
        <w:keepNext/>
        <w:spacing w:after="80" w:line="240" w:lineRule="auto"/>
      </w:pPr>
      <w:r>
        <w:t>The third supplementary diagnostic is Table S3. It evaluates how profile-level system probability changes when layer events are treated with different vertical-dependence assumptions for the extreme/fines-accumulation final state.</w:t>
      </w:r>
    </w:p>
    <w:p w:rsidR="00DA1FB7" w:rsidRDefault="00663EFB">
      <w:pPr>
        <w:pStyle w:val="TableCaptionAbove"/>
        <w:spacing w:line="240" w:lineRule="auto"/>
      </w:pPr>
      <w:r>
        <w:t>Table S3. Vertical-dependence sensitivity for the extreme/fines-accumulation final state.</w:t>
      </w:r>
    </w:p>
    <w:tbl>
      <w:tblPr>
        <w:tblStyle w:val="PlainTable2"/>
        <w:tblW w:w="0" w:type="auto"/>
        <w:jc w:val="center"/>
        <w:tblLook w:val="04A0" w:firstRow="1" w:lastRow="0" w:firstColumn="1" w:lastColumn="0" w:noHBand="0" w:noVBand="1"/>
      </w:tblPr>
      <w:tblGrid>
        <w:gridCol w:w="516"/>
        <w:gridCol w:w="1211"/>
        <w:gridCol w:w="1700"/>
        <w:gridCol w:w="1399"/>
        <w:gridCol w:w="1433"/>
        <w:gridCol w:w="716"/>
        <w:gridCol w:w="2032"/>
      </w:tblGrid>
      <w:tr w:rsidR="00DA1FB7" w:rsidRPr="00663EFB" w:rsidTr="00663E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jc w:val="center"/>
              <w:rPr>
                <w:sz w:val="20"/>
                <w:szCs w:val="20"/>
              </w:rPr>
            </w:pPr>
            <w:r w:rsidRPr="00663EFB">
              <w:rPr>
                <w:sz w:val="20"/>
                <w:szCs w:val="20"/>
              </w:rPr>
              <w:t>rho</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Psys copula</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Psys independent</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Frechet lower</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Frechet upper</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n sim</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Status</w:t>
            </w:r>
          </w:p>
        </w:tc>
      </w:tr>
      <w:tr w:rsidR="00DA1FB7" w:rsidRPr="00663EFB" w:rsidTr="00663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0.0</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0.989</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0.989</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0.906</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1.000</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50000</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dependence diagnostic</w:t>
            </w:r>
          </w:p>
        </w:tc>
      </w:tr>
      <w:tr w:rsidR="00DA1FB7" w:rsidRPr="00663EFB" w:rsidTr="00663EFB">
        <w:trPr>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0.3</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0.968</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0.989</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0.906</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1.000</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50000</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dependence diagnostic</w:t>
            </w:r>
          </w:p>
        </w:tc>
      </w:tr>
      <w:tr w:rsidR="00DA1FB7" w:rsidRPr="00663EFB" w:rsidTr="00663E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0.6</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0.944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0.989</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0.906</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1.000</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50000</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dependence diagnostic</w:t>
            </w:r>
          </w:p>
        </w:tc>
      </w:tr>
      <w:tr w:rsidR="00DA1FB7" w:rsidRPr="00663EFB" w:rsidTr="00663EFB">
        <w:trPr>
          <w:jc w:val="center"/>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0.9</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0.915</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0.989</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0.906</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1.000</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50000</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dependence diagnostic</w:t>
            </w:r>
          </w:p>
        </w:tc>
      </w:tr>
    </w:tbl>
    <w:p w:rsidR="00DA1FB7" w:rsidRDefault="00DA1FB7">
      <w:pPr>
        <w:spacing w:after="20" w:line="240" w:lineRule="auto"/>
      </w:pPr>
    </w:p>
    <w:p w:rsidR="00DA1FB7" w:rsidRDefault="00663EFB">
      <w:pPr>
        <w:spacing w:after="80" w:line="240" w:lineRule="auto"/>
      </w:pPr>
      <w:r>
        <w:t>Interpretation note. Table S3 explains why the manuscript avoids calling the profile-average Pf a physical system-failure probability. The Gaussian-copula values, independent-layer result and Frechet bounds show that system-level interpretation requires an explicit dependence model.</w:t>
      </w:r>
    </w:p>
    <w:p w:rsidR="00DA1FB7" w:rsidRDefault="00663EFB">
      <w:pPr>
        <w:pStyle w:val="Heading1"/>
        <w:spacing w:after="80" w:line="240" w:lineRule="auto"/>
      </w:pPr>
      <w:r>
        <w:rPr>
          <w:rFonts w:ascii="Times New Roman" w:eastAsia="Times New Roman" w:hAnsi="Times New Roman"/>
        </w:rPr>
        <w:t>S4. Expanded Hu/Wenchuan external compatibility metrics</w:t>
      </w:r>
    </w:p>
    <w:p w:rsidR="00DA1FB7" w:rsidRDefault="00663EFB">
      <w:pPr>
        <w:keepNext/>
        <w:spacing w:after="80" w:line="240" w:lineRule="auto"/>
      </w:pPr>
      <w:r>
        <w:t>The fourth supplementary diagnostic is Table S4. It expands the Hu full-set and Wenchuan documented-earthquake subset metrics by predictor group, including AUC, Brier score, threshold counts, sensitivity and specificity.</w:t>
      </w:r>
    </w:p>
    <w:p w:rsidR="00DA1FB7" w:rsidRDefault="00663EFB">
      <w:pPr>
        <w:pStyle w:val="TableCaptionAbove"/>
        <w:spacing w:line="240" w:lineRule="auto"/>
      </w:pPr>
      <w:r>
        <w:t>Table S4. External case-history compatibility metrics for the Hu full set and Wenchuan documented-earthquake subset.</w:t>
      </w:r>
    </w:p>
    <w:tbl>
      <w:tblPr>
        <w:tblStyle w:val="PlainTable2"/>
        <w:tblW w:w="0" w:type="auto"/>
        <w:tblLook w:val="04A0" w:firstRow="1" w:lastRow="0" w:firstColumn="1" w:lastColumn="0" w:noHBand="0" w:noVBand="1"/>
      </w:tblPr>
      <w:tblGrid>
        <w:gridCol w:w="1072"/>
        <w:gridCol w:w="2483"/>
        <w:gridCol w:w="516"/>
        <w:gridCol w:w="911"/>
        <w:gridCol w:w="666"/>
        <w:gridCol w:w="672"/>
        <w:gridCol w:w="1095"/>
        <w:gridCol w:w="516"/>
        <w:gridCol w:w="461"/>
        <w:gridCol w:w="494"/>
        <w:gridCol w:w="483"/>
        <w:gridCol w:w="1172"/>
      </w:tblGrid>
      <w:tr w:rsidR="00DA1FB7" w:rsidRPr="00663EFB" w:rsidTr="00663E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jc w:val="center"/>
              <w:rPr>
                <w:sz w:val="20"/>
                <w:szCs w:val="20"/>
              </w:rPr>
            </w:pPr>
            <w:r w:rsidRPr="00663EFB">
              <w:rPr>
                <w:sz w:val="20"/>
                <w:szCs w:val="20"/>
              </w:rPr>
              <w:t>Group</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Predictor</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n</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L/Non-L</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AUC</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Brier</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Threshold</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TP</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FP</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TN</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FN</w:t>
            </w:r>
          </w:p>
        </w:tc>
        <w:tc>
          <w:tcPr>
            <w:tcW w:w="0" w:type="auto"/>
          </w:tcPr>
          <w:p w:rsidR="00DA1FB7" w:rsidRPr="00663EFB" w:rsidRDefault="00663EFB">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3EFB">
              <w:rPr>
                <w:sz w:val="20"/>
                <w:szCs w:val="20"/>
              </w:rPr>
              <w:t>Sens./Spec.</w:t>
            </w:r>
          </w:p>
        </w:tc>
      </w:tr>
      <w:tr w:rsidR="00DA1FB7" w:rsidRPr="00663EFB" w:rsidTr="00663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Hu full</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Combined GW+CSR+N120+Vs</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234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136/98</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0.811</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0.172</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-0.095</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111</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29</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69</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25</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0.816/0.704</w:t>
            </w:r>
          </w:p>
        </w:tc>
      </w:tr>
      <w:tr w:rsidR="00DA1FB7" w:rsidRPr="00663EFB" w:rsidTr="00663EFB">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Hu full</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DPT/N120</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234</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136/98</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0.778</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0.189</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-0.206</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116</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35</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63</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20</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0.853/0.643</w:t>
            </w:r>
          </w:p>
        </w:tc>
      </w:tr>
      <w:tr w:rsidR="00DA1FB7" w:rsidRPr="00663EFB" w:rsidTr="00663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Hu full</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Vs</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234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136/98</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0.796</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0.183</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0.002</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98</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20</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78</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38</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0.721/0.796</w:t>
            </w:r>
          </w:p>
        </w:tc>
      </w:tr>
      <w:tr w:rsidR="00DA1FB7" w:rsidRPr="00663EFB" w:rsidTr="00663EFB">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Hu full</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Static limit-state</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195</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103/92</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0.760</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0.199</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0.196</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85</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34</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58</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18</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0.825/0.630</w:t>
            </w:r>
          </w:p>
        </w:tc>
      </w:tr>
      <w:tr w:rsidR="00DA1FB7" w:rsidRPr="00663EFB" w:rsidTr="00663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Wenchuan</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Combined GW+CSR+N120+Vs</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81</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47/34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0.909</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0.124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-0.329</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41</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30</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6</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0.872/0.882</w:t>
            </w:r>
          </w:p>
        </w:tc>
      </w:tr>
      <w:tr w:rsidR="00DA1FB7" w:rsidRPr="00663EFB" w:rsidTr="00663EFB">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Wenchuan</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DPT/N120</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81</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47/34</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0.884</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0.140</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-0.333</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43</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7</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27</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4</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0.915/0.794</w:t>
            </w:r>
          </w:p>
        </w:tc>
      </w:tr>
      <w:tr w:rsidR="00DA1FB7" w:rsidRPr="00663EFB" w:rsidTr="00663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Wenchuan</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Vs</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81</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47/34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0.864</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0.145</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-0.370</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39</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6</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28</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8</w:t>
            </w:r>
          </w:p>
        </w:tc>
        <w:tc>
          <w:tcPr>
            <w:tcW w:w="0" w:type="auto"/>
          </w:tcPr>
          <w:p w:rsidR="00DA1FB7" w:rsidRPr="00663EFB" w:rsidRDefault="00663EFB">
            <w:pPr>
              <w:cnfStyle w:val="000000100000" w:firstRow="0" w:lastRow="0" w:firstColumn="0" w:lastColumn="0" w:oddVBand="0" w:evenVBand="0" w:oddHBand="1" w:evenHBand="0" w:firstRowFirstColumn="0" w:firstRowLastColumn="0" w:lastRowFirstColumn="0" w:lastRowLastColumn="0"/>
              <w:rPr>
                <w:sz w:val="20"/>
                <w:szCs w:val="20"/>
              </w:rPr>
            </w:pPr>
            <w:r w:rsidRPr="00663EFB">
              <w:rPr>
                <w:sz w:val="20"/>
                <w:szCs w:val="20"/>
              </w:rPr>
              <w:t>0.830/0.824</w:t>
            </w:r>
          </w:p>
        </w:tc>
      </w:tr>
      <w:tr w:rsidR="00DA1FB7" w:rsidRPr="00663EFB" w:rsidTr="00663EFB">
        <w:tc>
          <w:tcPr>
            <w:cnfStyle w:val="001000000000" w:firstRow="0" w:lastRow="0" w:firstColumn="1" w:lastColumn="0" w:oddVBand="0" w:evenVBand="0" w:oddHBand="0" w:evenHBand="0" w:firstRowFirstColumn="0" w:firstRowLastColumn="0" w:lastRowFirstColumn="0" w:lastRowLastColumn="0"/>
            <w:tcW w:w="0" w:type="auto"/>
          </w:tcPr>
          <w:p w:rsidR="00DA1FB7" w:rsidRPr="00663EFB" w:rsidRDefault="00663EFB">
            <w:pPr>
              <w:rPr>
                <w:b w:val="0"/>
                <w:sz w:val="20"/>
                <w:szCs w:val="20"/>
              </w:rPr>
            </w:pPr>
            <w:r w:rsidRPr="00663EFB">
              <w:rPr>
                <w:b w:val="0"/>
                <w:sz w:val="20"/>
                <w:szCs w:val="20"/>
              </w:rPr>
              <w:t>Wenchuan</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Static limit-state</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60</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28/32</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0.824</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0.182</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0.143</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22</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7</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25</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6</w:t>
            </w:r>
          </w:p>
        </w:tc>
        <w:tc>
          <w:tcPr>
            <w:tcW w:w="0" w:type="auto"/>
          </w:tcPr>
          <w:p w:rsidR="00DA1FB7" w:rsidRPr="00663EFB" w:rsidRDefault="00663EFB">
            <w:pPr>
              <w:cnfStyle w:val="000000000000" w:firstRow="0" w:lastRow="0" w:firstColumn="0" w:lastColumn="0" w:oddVBand="0" w:evenVBand="0" w:oddHBand="0" w:evenHBand="0" w:firstRowFirstColumn="0" w:firstRowLastColumn="0" w:lastRowFirstColumn="0" w:lastRowLastColumn="0"/>
              <w:rPr>
                <w:sz w:val="20"/>
                <w:szCs w:val="20"/>
              </w:rPr>
            </w:pPr>
            <w:r w:rsidRPr="00663EFB">
              <w:rPr>
                <w:sz w:val="20"/>
                <w:szCs w:val="20"/>
              </w:rPr>
              <w:t>0.786/0.781</w:t>
            </w:r>
          </w:p>
        </w:tc>
      </w:tr>
    </w:tbl>
    <w:p w:rsidR="00DA1FB7" w:rsidRDefault="00DA1FB7">
      <w:pPr>
        <w:spacing w:after="20" w:line="240" w:lineRule="auto"/>
      </w:pPr>
    </w:p>
    <w:p w:rsidR="00DA1FB7" w:rsidRDefault="00663EFB">
      <w:pPr>
        <w:spacing w:after="80" w:line="240" w:lineRule="auto"/>
      </w:pPr>
      <w:r>
        <w:t>Interpretation note. Table S4 should be cited as expanded external compatibility evidence. The Wenchuan subset is useful as an event-specific discrimination check, but its small sample size means that sensitivity and specificity should be treated as informative rather than definitive.</w:t>
      </w:r>
    </w:p>
    <w:p w:rsidR="00DA1FB7" w:rsidRDefault="00663EFB">
      <w:pPr>
        <w:pStyle w:val="Heading1"/>
        <w:spacing w:after="80" w:line="240" w:lineRule="auto"/>
      </w:pPr>
      <w:r>
        <w:rPr>
          <w:rFonts w:ascii="Times New Roman" w:eastAsia="Times New Roman" w:hAnsi="Times New Roman"/>
        </w:rPr>
        <w:t>S5. Relationship to the main manuscript and site-extension files</w:t>
      </w:r>
    </w:p>
    <w:p w:rsidR="00DA1FB7" w:rsidRDefault="00663EFB">
      <w:pPr>
        <w:spacing w:after="80" w:line="240" w:lineRule="auto"/>
      </w:pPr>
      <w:r>
        <w:t>Together, Table S1 through Table S4 support the manuscript statement that the benchmark is auditable, internally consistent and externally compatible within its stated scope. They also preserve the distinction between synthetic benchmark evidence, static external compatibility checks and calibrated site prediction.</w:t>
      </w:r>
    </w:p>
    <w:p w:rsidR="00DA1FB7" w:rsidRDefault="00663EFB">
      <w:pPr>
        <w:spacing w:after="80" w:line="240" w:lineRule="auto"/>
      </w:pPr>
      <w:r>
        <w:t>The Nisqually and Canterbury site-extension outputs are provided in the supplementary CSV files and scripts. Those files are the appropriate source for site-calibrated validation metrics, groundwater trajectory calibration and temporal Pf(t) behavior.</w:t>
      </w:r>
    </w:p>
    <w:p w:rsidR="006C2C98" w:rsidRDefault="006C2C98">
      <w:pPr>
        <w:spacing w:after="80" w:line="240" w:lineRule="auto"/>
      </w:pPr>
      <w:r>
        <w:t>Supplementary addendum: Canterbury multi-site and cost-sensitive frontier</w:t>
      </w:r>
    </w:p>
    <w:p w:rsidR="006C2C98" w:rsidRDefault="006C2C98">
      <w:pPr>
        <w:spacing w:after="80" w:line="240" w:lineRule="auto"/>
      </w:pPr>
      <w:r>
        <w:t>This addendum documents the additional evidence generated after the original supplementary tables. Script run_121_canterbury_multi_site_temporal_validation.py expands Canterbury PRJ-2937 from the three-event 100 Osbourne stress test to 15,890 scored event states across 5,665 usable CPT records, excluding 1,114 manifestation-code-10 states as indeterminate. The large transfer confirms that M0 is the best Brier model in Canterbury, while M3 and conservative max(M0..M3) reduce false negatives at substantial false-positive and calibration cost.</w:t>
      </w:r>
    </w:p>
    <w:p w:rsidR="006C2C98" w:rsidRDefault="006C2C98">
      <w:pPr>
        <w:spacing w:after="80" w:line="240" w:lineRule="auto"/>
      </w:pPr>
      <w:r>
        <w:t>Script run_122_cost_sensitive_decision_frontier.py reports a cost-sensitive decision diagnostic. The domain-retuned threshold curve is an oracle diagnostic, not an operationally validated rule. The fixed-threshold 0.50 curve is the screening-policy comparison: when FN:FP cost is 10:1, conservative max(M0..M3) reduces domain-balanced mean expected loss from 0.465 to 0.189 and case-weighted global mean loss from 0.521 to 0.484 relative to M0. These outputs are reported in cost_sensitive_decision_frontier_summary.json and related CSV files.</w:t>
      </w:r>
    </w:p>
    <w:p w:rsidR="006C2C98" w:rsidRDefault="006C2C98">
      <w:pPr>
        <w:spacing w:after="80" w:line="240" w:lineRule="auto"/>
      </w:pPr>
      <w:r>
        <w:t>This addendum supports the manuscript claim that the contribution is a Georisk operating-policy diagnostic under explicit false-negative cost, not probability recalibration or universal M2/M3 superiority.</w:t>
      </w:r>
    </w:p>
    <w:p w:rsidR="006C2C98" w:rsidRDefault="006C2C98">
      <w:pPr>
        <w:spacing w:after="80" w:line="240" w:lineRule="auto"/>
      </w:pPr>
    </w:p>
    <w:sectPr w:rsidR="006C2C98" w:rsidSect="00663EFB">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63EFB"/>
    <w:rsid w:val="006C2C98"/>
    <w:rsid w:val="00AA1D8D"/>
    <w:rsid w:val="00B47730"/>
    <w:rsid w:val="00CB0664"/>
    <w:rsid w:val="00DA1F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8650B6A-1D95-432C-96FA-E243D7D3F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Above">
    <w:name w:val="Table Caption Above"/>
    <w:pPr>
      <w:keepNext/>
      <w:spacing w:before="120" w:after="60"/>
    </w:pPr>
    <w:rPr>
      <w:rFonts w:ascii="Times New Roman" w:eastAsia="Times New Roman" w:hAnsi="Times New Roman"/>
      <w:b/>
      <w:color w:val="000000"/>
      <w:sz w:val="20"/>
    </w:rPr>
  </w:style>
  <w:style w:type="table" w:styleId="PlainTable2">
    <w:name w:val="Plain Table 2"/>
    <w:basedOn w:val="TableNormal"/>
    <w:uiPriority w:val="99"/>
    <w:rsid w:val="00663EF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85EBFD-3944-46B5-95FC-1C9A73B73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1203</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 yo</cp:lastModifiedBy>
  <cp:revision>3</cp:revision>
  <dcterms:created xsi:type="dcterms:W3CDTF">2013-12-23T23:15:00Z</dcterms:created>
  <dcterms:modified xsi:type="dcterms:W3CDTF">2026-06-07T10:56:00Z</dcterms:modified>
  <cp:category/>
</cp:coreProperties>
</file>