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4104" w:rsidRPr="00510E57" w:rsidRDefault="00DF474B">
      <w:pPr>
        <w:pStyle w:val="Paragraph"/>
        <w:spacing w:before="0" w:after="120" w:line="276" w:lineRule="auto"/>
        <w:jc w:val="center"/>
        <w:rPr>
          <w:b/>
        </w:rPr>
      </w:pPr>
      <w:r w:rsidRPr="00510E57">
        <w:rPr>
          <w:b/>
          <w:sz w:val="28"/>
        </w:rPr>
        <w:t>Supplementary Diagnostic Tables</w:t>
      </w:r>
    </w:p>
    <w:p w:rsidR="004E4104" w:rsidRPr="00DF474B" w:rsidRDefault="00DF474B">
      <w:pPr>
        <w:pStyle w:val="Paragraph"/>
        <w:spacing w:before="0" w:after="120" w:line="276" w:lineRule="auto"/>
      </w:pPr>
      <w:r w:rsidRPr="00DF474B">
        <w:rPr>
          <w:sz w:val="21"/>
        </w:rPr>
        <w:t>Manuscript: A reproducible reliability benchmark for non-stationary liquefaction probability under groundwater and gradation-change scenarios</w:t>
      </w:r>
    </w:p>
    <w:p w:rsidR="004E4104" w:rsidRPr="00DF474B" w:rsidRDefault="00DF474B">
      <w:pPr>
        <w:pStyle w:val="Paragraph"/>
        <w:spacing w:before="0" w:after="120" w:line="276" w:lineRule="auto"/>
      </w:pPr>
      <w:r>
        <w:rPr>
          <w:sz w:val="21"/>
        </w:rPr>
        <w:t>Purpose. This file moves the diagnostic supplementary tables out of the main manuscript and provides expanded interpretation notes. The main manuscript keeps only the core tables required for the article narrative; the supplementary tables below provide auditability, compatibility checks, dependence diagnostics and model-form diagnostics for reviewers who want to inspect the supporting evidence in more detail.</w:t>
      </w:r>
    </w:p>
    <w:p w:rsidR="004E4104" w:rsidRPr="00DF474B" w:rsidRDefault="00DF474B">
      <w:pPr>
        <w:pStyle w:val="Paragraph"/>
        <w:spacing w:before="0" w:after="120" w:line="276" w:lineRule="auto"/>
      </w:pPr>
      <w:r w:rsidRPr="00DF474B">
        <w:rPr>
          <w:sz w:val="21"/>
        </w:rPr>
        <w:t>Important scope note. The Hu/</w:t>
      </w:r>
      <w:proofErr w:type="spellStart"/>
      <w:r w:rsidRPr="00DF474B">
        <w:rPr>
          <w:sz w:val="21"/>
        </w:rPr>
        <w:t>Wenchuan</w:t>
      </w:r>
      <w:proofErr w:type="spellEnd"/>
      <w:r w:rsidRPr="00DF474B">
        <w:rPr>
          <w:sz w:val="21"/>
        </w:rPr>
        <w:t xml:space="preserve"> tables are external compatibility checks, not calibrated field validation. The site-calibrated and temporal extensions </w:t>
      </w:r>
      <w:proofErr w:type="gramStart"/>
      <w:r w:rsidRPr="00DF474B">
        <w:rPr>
          <w:sz w:val="21"/>
        </w:rPr>
        <w:t>are documented</w:t>
      </w:r>
      <w:proofErr w:type="gramEnd"/>
      <w:r w:rsidRPr="00DF474B">
        <w:rPr>
          <w:sz w:val="21"/>
        </w:rPr>
        <w:t xml:space="preserve"> separately in the supplementary CSV files and scripts.</w:t>
      </w:r>
    </w:p>
    <w:p w:rsidR="00A86F2C" w:rsidRDefault="0021403D">
      <w:pPr>
        <w:pStyle w:val="Paragraph"/>
        <w:spacing w:before="0" w:after="120" w:line="276" w:lineRule="auto"/>
      </w:pPr>
      <w:r>
        <w:rPr>
          <w:sz w:val="21"/>
        </w:rPr>
        <w:t>Supplementary table roadmap. Table S1 reports the external case-history discrimination, calibration and static compatibility checks. Table S2 reports the standard SPT model-form comparison. Table S3 repor</w:t>
      </w:r>
      <w:r>
        <w:rPr>
          <w:sz w:val="21"/>
        </w:rPr>
        <w:t>ts the vertical-dependence sensitivity for the extreme/fines-accumulation final state. Table S4 reports the expanded external case-history compatibility metrics for the Hu full set and Wenchuan documented-earthquake subset. These in-text references clarify</w:t>
      </w:r>
      <w:r>
        <w:rPr>
          <w:sz w:val="21"/>
        </w:rPr>
        <w:t xml:space="preserve"> the role of each supplementary table within the supporting evidence.</w:t>
      </w:r>
    </w:p>
    <w:p w:rsidR="004E4104" w:rsidRPr="00DF474B" w:rsidRDefault="00DF474B">
      <w:pPr>
        <w:pStyle w:val="Tabletitle"/>
        <w:spacing w:before="0" w:after="120" w:line="276" w:lineRule="auto"/>
      </w:pPr>
      <w:r w:rsidRPr="00DF474B">
        <w:rPr>
          <w:sz w:val="20"/>
        </w:rPr>
        <w:t>Table S1. External case-history discrimination, calibration and static compatibility checks.</w:t>
      </w:r>
    </w:p>
    <w:p w:rsidR="004E4104" w:rsidRPr="00DF474B" w:rsidRDefault="00DF474B">
      <w:pPr>
        <w:pStyle w:val="Paragraph"/>
        <w:spacing w:before="0" w:after="120" w:line="276" w:lineRule="auto"/>
      </w:pPr>
      <w:r w:rsidRPr="00DF474B">
        <w:rPr>
          <w:sz w:val="21"/>
        </w:rPr>
        <w:t>Detailed interpretation. This table documents the external case-history compatibility checks. It reports discrimination and calibration diagnostics for the Hu et al. dataset and related static proxy checks. The purpose is not to validate the non-stationary benchmark as a site-calibrated model; it is to show whether demand, resistance and groundwater indicators rank documented liquefied cases above non-liquefied cases in the expected direction. The status column separates compatibility evidence from field validation.</w:t>
      </w:r>
    </w:p>
    <w:p w:rsidR="004E4104" w:rsidRPr="00DF474B" w:rsidRDefault="00DF474B">
      <w:pPr>
        <w:pStyle w:val="Paragraph"/>
        <w:spacing w:before="0" w:after="120" w:line="276" w:lineRule="auto"/>
      </w:pPr>
      <w:r w:rsidRPr="00DF474B">
        <w:rPr>
          <w:sz w:val="21"/>
        </w:rPr>
        <w:t xml:space="preserve">How to use it. Use AUC for ranking discrimination and Brier/log-loss style values for probability quality. Do not interpret these checks as proof that the non-stationary </w:t>
      </w:r>
      <w:proofErr w:type="gramStart"/>
      <w:r w:rsidRPr="00DF474B">
        <w:rPr>
          <w:sz w:val="21"/>
        </w:rPr>
        <w:t>Pf(</w:t>
      </w:r>
      <w:proofErr w:type="gramEnd"/>
      <w:r w:rsidRPr="00DF474B">
        <w:rPr>
          <w:sz w:val="21"/>
        </w:rPr>
        <w:t>t) model is calibrated to a field site.</w:t>
      </w:r>
    </w:p>
    <w:tbl>
      <w:tblPr>
        <w:tblStyle w:val="PlainTable2"/>
        <w:tblW w:w="0" w:type="auto"/>
        <w:jc w:val="center"/>
        <w:tblCellMar>
          <w:top w:w="40" w:type="dxa"/>
          <w:left w:w="60" w:type="dxa"/>
          <w:bottom w:w="40" w:type="dxa"/>
          <w:right w:w="60" w:type="dxa"/>
        </w:tblCellMar>
        <w:tblLook w:val="0420" w:firstRow="1" w:lastRow="0" w:firstColumn="0" w:lastColumn="0" w:noHBand="0" w:noVBand="1"/>
      </w:tblPr>
      <w:tblGrid>
        <w:gridCol w:w="2075"/>
        <w:gridCol w:w="420"/>
        <w:gridCol w:w="570"/>
        <w:gridCol w:w="576"/>
        <w:gridCol w:w="1332"/>
        <w:gridCol w:w="1009"/>
        <w:gridCol w:w="1009"/>
        <w:gridCol w:w="1659"/>
      </w:tblGrid>
      <w:tr w:rsidR="00DF474B" w:rsidRPr="00304CB0" w:rsidTr="00304CB0">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Check</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n</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AUC</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Brier</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TP/TN/FP/FN</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Sensitivity</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Specificity</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Status</w:t>
            </w:r>
          </w:p>
        </w:tc>
      </w:tr>
      <w:tr w:rsidR="00DF474B" w:rsidRPr="00304CB0" w:rsidTr="00304CB0">
        <w:trPr>
          <w:cnfStyle w:val="000000100000" w:firstRow="0" w:lastRow="0" w:firstColumn="0" w:lastColumn="0" w:oddVBand="0" w:evenVBand="0" w:oddHBand="1" w:evenHBand="0" w:firstRowFirstColumn="0" w:firstRowLastColumn="0" w:lastRowFirstColumn="0" w:lastRowLastColumn="0"/>
          <w:jc w:val="center"/>
        </w:trPr>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combined external score</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234</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0.811</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0.172</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115/63/35/21</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0.846</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0.643</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5-fold score</w:t>
            </w:r>
          </w:p>
        </w:tc>
      </w:tr>
      <w:tr w:rsidR="00DF474B" w:rsidRPr="00304CB0" w:rsidTr="00304CB0">
        <w:trPr>
          <w:jc w:val="center"/>
        </w:trPr>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DPT score</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234</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0.778</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0.189</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116/60/38/20</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0.853</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0.612</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5-fold score</w:t>
            </w:r>
          </w:p>
        </w:tc>
      </w:tr>
      <w:tr w:rsidR="00DF474B" w:rsidRPr="00304CB0" w:rsidTr="00304CB0">
        <w:trPr>
          <w:cnfStyle w:val="000000100000" w:firstRow="0" w:lastRow="0" w:firstColumn="0" w:lastColumn="0" w:oddVBand="0" w:evenVBand="0" w:oddHBand="1" w:evenHBand="0" w:firstRowFirstColumn="0" w:firstRowLastColumn="0" w:lastRowFirstColumn="0" w:lastRowLastColumn="0"/>
          <w:jc w:val="center"/>
        </w:trPr>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Vs score</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234</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0.796</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0.183</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116/62/36/20</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0.853</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0.633</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5-fold score</w:t>
            </w:r>
          </w:p>
        </w:tc>
      </w:tr>
      <w:tr w:rsidR="00DF474B" w:rsidRPr="00304CB0" w:rsidTr="00304CB0">
        <w:trPr>
          <w:jc w:val="center"/>
        </w:trPr>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static limit-state margin</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195</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0.760</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0.199</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91/42/50/12</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0.883</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0.457</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static compatibility</w:t>
            </w:r>
          </w:p>
        </w:tc>
      </w:tr>
      <w:tr w:rsidR="004E4104" w:rsidRPr="00304CB0" w:rsidTr="00304CB0">
        <w:trPr>
          <w:cnfStyle w:val="000000100000" w:firstRow="0" w:lastRow="0" w:firstColumn="0" w:lastColumn="0" w:oddVBand="0" w:evenVBand="0" w:oddHBand="1" w:evenHBand="0" w:firstRowFirstColumn="0" w:firstRowLastColumn="0" w:lastRowFirstColumn="0" w:lastRowLastColumn="0"/>
          <w:jc w:val="center"/>
        </w:trPr>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static Pf proxy</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195</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0.760</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0.200</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91/42/50/12</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0.883</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0.457</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static compatibility</w:t>
            </w:r>
          </w:p>
        </w:tc>
      </w:tr>
    </w:tbl>
    <w:p w:rsidR="004E4104" w:rsidRPr="00DF474B" w:rsidRDefault="004E4104">
      <w:pPr>
        <w:spacing w:after="120" w:line="276" w:lineRule="auto"/>
      </w:pPr>
    </w:p>
    <w:p w:rsidR="004E4104" w:rsidRPr="00DF474B" w:rsidRDefault="00DF474B">
      <w:pPr>
        <w:pStyle w:val="Tabletitle"/>
        <w:spacing w:before="0" w:after="120" w:line="276" w:lineRule="auto"/>
      </w:pPr>
      <w:r w:rsidRPr="00DF474B">
        <w:rPr>
          <w:sz w:val="20"/>
        </w:rPr>
        <w:t>Table S2. Standard SPT model-form comparison.</w:t>
      </w:r>
    </w:p>
    <w:p w:rsidR="004E4104" w:rsidRPr="00DF474B" w:rsidRDefault="00DF474B">
      <w:pPr>
        <w:pStyle w:val="Paragraph"/>
        <w:spacing w:before="0" w:after="120" w:line="276" w:lineRule="auto"/>
      </w:pPr>
      <w:r w:rsidRPr="00DF474B">
        <w:rPr>
          <w:sz w:val="21"/>
        </w:rPr>
        <w:t>Detailed interpretation. This table summarizes the model-form comparison against a standard SPT triggering formulation. The comparison keeps the same synthetic layer states, groundwater depths and seismic demand while replacing the benchmark resistance component. The main use is to check whether scenario ranking and critical-layer ordering remain directionally stable under a recognized triggering model; it is not an independent site validation because the underlying profile is synthetic.</w:t>
      </w:r>
    </w:p>
    <w:p w:rsidR="004E4104" w:rsidRPr="00DF474B" w:rsidRDefault="00DF474B">
      <w:pPr>
        <w:pStyle w:val="Paragraph"/>
        <w:spacing w:before="0" w:after="120" w:line="276" w:lineRule="auto"/>
      </w:pPr>
      <w:r w:rsidRPr="00DF474B">
        <w:rPr>
          <w:sz w:val="21"/>
        </w:rPr>
        <w:t xml:space="preserve">How to use it. Focus on </w:t>
      </w:r>
      <w:proofErr w:type="gramStart"/>
      <w:r w:rsidRPr="00DF474B">
        <w:rPr>
          <w:sz w:val="21"/>
        </w:rPr>
        <w:t>rank agreement, median absolute probability difference and whether the highest-risk layer remains consistent</w:t>
      </w:r>
      <w:proofErr w:type="gramEnd"/>
      <w:r w:rsidRPr="00DF474B">
        <w:rPr>
          <w:sz w:val="21"/>
        </w:rPr>
        <w:t xml:space="preserve">. </w:t>
      </w:r>
      <w:proofErr w:type="gramStart"/>
      <w:r w:rsidRPr="00DF474B">
        <w:rPr>
          <w:sz w:val="21"/>
        </w:rPr>
        <w:t>Large scale</w:t>
      </w:r>
      <w:proofErr w:type="gramEnd"/>
      <w:r w:rsidRPr="00DF474B">
        <w:rPr>
          <w:sz w:val="21"/>
        </w:rPr>
        <w:t xml:space="preserve"> differences indicate model-form sensitivity, not necessarily an error in the benchmark.</w:t>
      </w:r>
    </w:p>
    <w:tbl>
      <w:tblPr>
        <w:tblStyle w:val="PlainTable2"/>
        <w:tblW w:w="0" w:type="auto"/>
        <w:jc w:val="center"/>
        <w:tblCellMar>
          <w:top w:w="40" w:type="dxa"/>
          <w:left w:w="60" w:type="dxa"/>
          <w:bottom w:w="40" w:type="dxa"/>
          <w:right w:w="60" w:type="dxa"/>
        </w:tblCellMar>
        <w:tblLook w:val="0420" w:firstRow="1" w:lastRow="0" w:firstColumn="0" w:lastColumn="0" w:noHBand="0" w:noVBand="1"/>
      </w:tblPr>
      <w:tblGrid>
        <w:gridCol w:w="909"/>
        <w:gridCol w:w="1687"/>
        <w:gridCol w:w="420"/>
        <w:gridCol w:w="1926"/>
        <w:gridCol w:w="1608"/>
        <w:gridCol w:w="1341"/>
        <w:gridCol w:w="2248"/>
      </w:tblGrid>
      <w:tr w:rsidR="00DF474B" w:rsidRPr="00304CB0" w:rsidTr="00304CB0">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Scenario</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Gradation</w:t>
            </w:r>
          </w:p>
        </w:tc>
        <w:tc>
          <w:tcPr>
            <w:tcW w:w="0" w:type="auto"/>
            <w:tcMar>
              <w:top w:w="60" w:type="dxa"/>
              <w:left w:w="60" w:type="dxa"/>
              <w:bottom w:w="60" w:type="dxa"/>
              <w:right w:w="60" w:type="dxa"/>
            </w:tcMar>
            <w:vAlign w:val="center"/>
          </w:tcPr>
          <w:p w:rsidR="004E4104" w:rsidRPr="00304CB0" w:rsidRDefault="00304CB0" w:rsidP="0097327D">
            <w:pPr>
              <w:spacing w:line="240" w:lineRule="auto"/>
              <w:rPr>
                <w:sz w:val="20"/>
                <w:szCs w:val="20"/>
              </w:rPr>
            </w:pPr>
            <w:r w:rsidRPr="00304CB0">
              <w:rPr>
                <w:sz w:val="20"/>
                <w:szCs w:val="20"/>
              </w:rPr>
              <w:t>N</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Spearman Pf vs BI14</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Median |Delta Pf|</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Max |Delta Pf|</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Same highest layer share</w:t>
            </w:r>
          </w:p>
        </w:tc>
      </w:tr>
      <w:tr w:rsidR="00DF474B" w:rsidRPr="00304CB0" w:rsidTr="00304CB0">
        <w:trPr>
          <w:cnfStyle w:val="000000100000" w:firstRow="0" w:lastRow="0" w:firstColumn="0" w:lastColumn="0" w:oddVBand="0" w:evenVBand="0" w:oddHBand="1" w:evenHBand="0" w:firstRowFirstColumn="0" w:firstRowLastColumn="0" w:lastRowFirstColumn="0" w:lastRowLastColumn="0"/>
          <w:jc w:val="center"/>
        </w:trPr>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stationary</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constant</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104</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0.968</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0.316</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0.430</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1.000</w:t>
            </w:r>
          </w:p>
        </w:tc>
      </w:tr>
      <w:tr w:rsidR="00DF474B" w:rsidRPr="00304CB0" w:rsidTr="00304CB0">
        <w:trPr>
          <w:jc w:val="center"/>
        </w:trPr>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stationary</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proofErr w:type="spellStart"/>
            <w:r w:rsidRPr="00304CB0">
              <w:rPr>
                <w:sz w:val="20"/>
                <w:szCs w:val="20"/>
              </w:rPr>
              <w:t>fines_accumulation</w:t>
            </w:r>
            <w:proofErr w:type="spellEnd"/>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104</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0.996</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0.326</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0.461</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1.000</w:t>
            </w:r>
          </w:p>
        </w:tc>
      </w:tr>
      <w:tr w:rsidR="00DF474B" w:rsidRPr="00304CB0" w:rsidTr="00304CB0">
        <w:trPr>
          <w:cnfStyle w:val="000000100000" w:firstRow="0" w:lastRow="0" w:firstColumn="0" w:lastColumn="0" w:oddVBand="0" w:evenVBand="0" w:oddHBand="1" w:evenHBand="0" w:firstRowFirstColumn="0" w:firstRowLastColumn="0" w:lastRowFirstColumn="0" w:lastRowLastColumn="0"/>
          <w:jc w:val="center"/>
        </w:trPr>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stationary</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proofErr w:type="spellStart"/>
            <w:r w:rsidRPr="00304CB0">
              <w:rPr>
                <w:sz w:val="20"/>
                <w:szCs w:val="20"/>
              </w:rPr>
              <w:t>fines_washout</w:t>
            </w:r>
            <w:proofErr w:type="spellEnd"/>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104</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0.997</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0.285</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0.471</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1.000</w:t>
            </w:r>
          </w:p>
        </w:tc>
      </w:tr>
      <w:tr w:rsidR="00DF474B" w:rsidRPr="00304CB0" w:rsidTr="00304CB0">
        <w:trPr>
          <w:jc w:val="center"/>
        </w:trPr>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rising</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constant</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104</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0.966</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0.228</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0.475</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0.654</w:t>
            </w:r>
          </w:p>
        </w:tc>
      </w:tr>
      <w:tr w:rsidR="00DF474B" w:rsidRPr="00304CB0" w:rsidTr="00304CB0">
        <w:trPr>
          <w:cnfStyle w:val="000000100000" w:firstRow="0" w:lastRow="0" w:firstColumn="0" w:lastColumn="0" w:oddVBand="0" w:evenVBand="0" w:oddHBand="1" w:evenHBand="0" w:firstRowFirstColumn="0" w:firstRowLastColumn="0" w:lastRowFirstColumn="0" w:lastRowLastColumn="0"/>
          <w:jc w:val="center"/>
        </w:trPr>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lastRenderedPageBreak/>
              <w:t>rising</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proofErr w:type="spellStart"/>
            <w:r w:rsidRPr="00304CB0">
              <w:rPr>
                <w:sz w:val="20"/>
                <w:szCs w:val="20"/>
              </w:rPr>
              <w:t>fines_accumulation</w:t>
            </w:r>
            <w:proofErr w:type="spellEnd"/>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104</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0.931</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0.287</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0.444</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0.577</w:t>
            </w:r>
          </w:p>
        </w:tc>
      </w:tr>
      <w:tr w:rsidR="00DF474B" w:rsidRPr="00304CB0" w:rsidTr="00304CB0">
        <w:trPr>
          <w:jc w:val="center"/>
        </w:trPr>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rising</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proofErr w:type="spellStart"/>
            <w:r w:rsidRPr="00304CB0">
              <w:rPr>
                <w:sz w:val="20"/>
                <w:szCs w:val="20"/>
              </w:rPr>
              <w:t>fines_washout</w:t>
            </w:r>
            <w:proofErr w:type="spellEnd"/>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104</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0.977</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0.211</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0.482</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0.462</w:t>
            </w:r>
          </w:p>
        </w:tc>
      </w:tr>
      <w:tr w:rsidR="00DF474B" w:rsidRPr="00304CB0" w:rsidTr="00304CB0">
        <w:trPr>
          <w:cnfStyle w:val="000000100000" w:firstRow="0" w:lastRow="0" w:firstColumn="0" w:lastColumn="0" w:oddVBand="0" w:evenVBand="0" w:oddHBand="1" w:evenHBand="0" w:firstRowFirstColumn="0" w:firstRowLastColumn="0" w:lastRowFirstColumn="0" w:lastRowLastColumn="0"/>
          <w:jc w:val="center"/>
        </w:trPr>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seasonal</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constant</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104</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0.991</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0.281</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0.462</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1.000</w:t>
            </w:r>
          </w:p>
        </w:tc>
      </w:tr>
      <w:tr w:rsidR="00DF474B" w:rsidRPr="00304CB0" w:rsidTr="00304CB0">
        <w:trPr>
          <w:jc w:val="center"/>
        </w:trPr>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seasonal</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proofErr w:type="spellStart"/>
            <w:r w:rsidRPr="00304CB0">
              <w:rPr>
                <w:sz w:val="20"/>
                <w:szCs w:val="20"/>
              </w:rPr>
              <w:t>fines_accumulation</w:t>
            </w:r>
            <w:proofErr w:type="spellEnd"/>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104</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0.985</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0.333</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0.460</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0.962</w:t>
            </w:r>
          </w:p>
        </w:tc>
      </w:tr>
      <w:tr w:rsidR="00DF474B" w:rsidRPr="00304CB0" w:rsidTr="00304CB0">
        <w:trPr>
          <w:cnfStyle w:val="000000100000" w:firstRow="0" w:lastRow="0" w:firstColumn="0" w:lastColumn="0" w:oddVBand="0" w:evenVBand="0" w:oddHBand="1" w:evenHBand="0" w:firstRowFirstColumn="0" w:firstRowLastColumn="0" w:lastRowFirstColumn="0" w:lastRowLastColumn="0"/>
          <w:jc w:val="center"/>
        </w:trPr>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seasonal</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proofErr w:type="spellStart"/>
            <w:r w:rsidRPr="00304CB0">
              <w:rPr>
                <w:sz w:val="20"/>
                <w:szCs w:val="20"/>
              </w:rPr>
              <w:t>fines_washout</w:t>
            </w:r>
            <w:proofErr w:type="spellEnd"/>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104</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0.984</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0.238</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0.481</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0.885</w:t>
            </w:r>
          </w:p>
        </w:tc>
      </w:tr>
      <w:tr w:rsidR="00DF474B" w:rsidRPr="00304CB0" w:rsidTr="00304CB0">
        <w:trPr>
          <w:jc w:val="center"/>
        </w:trPr>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extreme</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constant</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104</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0.995</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0.218</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0.468</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0.962</w:t>
            </w:r>
          </w:p>
        </w:tc>
      </w:tr>
      <w:tr w:rsidR="00DF474B" w:rsidRPr="00304CB0" w:rsidTr="00304CB0">
        <w:trPr>
          <w:cnfStyle w:val="000000100000" w:firstRow="0" w:lastRow="0" w:firstColumn="0" w:lastColumn="0" w:oddVBand="0" w:evenVBand="0" w:oddHBand="1" w:evenHBand="0" w:firstRowFirstColumn="0" w:firstRowLastColumn="0" w:lastRowFirstColumn="0" w:lastRowLastColumn="0"/>
          <w:jc w:val="center"/>
        </w:trPr>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extreme</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proofErr w:type="spellStart"/>
            <w:r w:rsidRPr="00304CB0">
              <w:rPr>
                <w:sz w:val="20"/>
                <w:szCs w:val="20"/>
              </w:rPr>
              <w:t>fines_accumulation</w:t>
            </w:r>
            <w:proofErr w:type="spellEnd"/>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104</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0.990</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0.245</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0.453</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0.962</w:t>
            </w:r>
          </w:p>
        </w:tc>
      </w:tr>
      <w:tr w:rsidR="00DF474B" w:rsidRPr="00304CB0" w:rsidTr="00304CB0">
        <w:trPr>
          <w:jc w:val="center"/>
        </w:trPr>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extreme</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proofErr w:type="spellStart"/>
            <w:r w:rsidRPr="00304CB0">
              <w:rPr>
                <w:sz w:val="20"/>
                <w:szCs w:val="20"/>
              </w:rPr>
              <w:t>fines_washout</w:t>
            </w:r>
            <w:proofErr w:type="spellEnd"/>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104</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0.994</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0.202</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0.477</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0.885</w:t>
            </w:r>
          </w:p>
        </w:tc>
      </w:tr>
    </w:tbl>
    <w:p w:rsidR="004E4104" w:rsidRPr="00DF474B" w:rsidRDefault="004E4104">
      <w:pPr>
        <w:spacing w:after="120" w:line="276" w:lineRule="auto"/>
      </w:pPr>
    </w:p>
    <w:p w:rsidR="004E4104" w:rsidRPr="00DF474B" w:rsidRDefault="00DF474B">
      <w:pPr>
        <w:pStyle w:val="Tabletitle"/>
        <w:spacing w:before="0" w:after="120" w:line="276" w:lineRule="auto"/>
      </w:pPr>
      <w:r w:rsidRPr="00DF474B">
        <w:rPr>
          <w:sz w:val="20"/>
        </w:rPr>
        <w:t>Table S3. Vertical-dependence sensitivity for the extreme/fines-accumulation final state.</w:t>
      </w:r>
    </w:p>
    <w:p w:rsidR="004E4104" w:rsidRPr="00DF474B" w:rsidRDefault="00DF474B">
      <w:pPr>
        <w:pStyle w:val="Paragraph"/>
        <w:spacing w:before="0" w:after="120" w:line="276" w:lineRule="auto"/>
      </w:pPr>
      <w:r w:rsidRPr="00DF474B">
        <w:rPr>
          <w:sz w:val="21"/>
        </w:rPr>
        <w:t xml:space="preserve">Detailed interpretation. This table gives a dependence-sensitivity diagnostic for the extreme/fines-accumulation final state. The independent-layer system probability and </w:t>
      </w:r>
      <w:proofErr w:type="spellStart"/>
      <w:r w:rsidRPr="00DF474B">
        <w:rPr>
          <w:sz w:val="21"/>
        </w:rPr>
        <w:t>Frechet</w:t>
      </w:r>
      <w:proofErr w:type="spellEnd"/>
      <w:r w:rsidRPr="00DF474B">
        <w:rPr>
          <w:sz w:val="21"/>
        </w:rPr>
        <w:t xml:space="preserve"> bounds show how profile-level probability can change when layer failures </w:t>
      </w:r>
      <w:proofErr w:type="gramStart"/>
      <w:r w:rsidRPr="00DF474B">
        <w:rPr>
          <w:sz w:val="21"/>
        </w:rPr>
        <w:t>are not treated</w:t>
      </w:r>
      <w:proofErr w:type="gramEnd"/>
      <w:r w:rsidRPr="00DF474B">
        <w:rPr>
          <w:sz w:val="21"/>
        </w:rPr>
        <w:t xml:space="preserve"> as independent. The Gaussian-copula results </w:t>
      </w:r>
      <w:proofErr w:type="gramStart"/>
      <w:r w:rsidRPr="00DF474B">
        <w:rPr>
          <w:sz w:val="21"/>
        </w:rPr>
        <w:t>are retained</w:t>
      </w:r>
      <w:proofErr w:type="gramEnd"/>
      <w:r w:rsidRPr="00DF474B">
        <w:rPr>
          <w:sz w:val="21"/>
        </w:rPr>
        <w:t xml:space="preserve"> as sensitivity evidence only; the site-calibrated random-field diagnostics are reported separately in the supplement.</w:t>
      </w:r>
    </w:p>
    <w:p w:rsidR="004E4104" w:rsidRPr="00DF474B" w:rsidRDefault="00DF474B">
      <w:pPr>
        <w:pStyle w:val="Paragraph"/>
        <w:spacing w:before="0" w:after="120" w:line="276" w:lineRule="auto"/>
      </w:pPr>
      <w:r w:rsidRPr="00DF474B">
        <w:rPr>
          <w:sz w:val="21"/>
        </w:rPr>
        <w:t xml:space="preserve">How to use it. Compare the copula system probability against the independent-layer result and </w:t>
      </w:r>
      <w:proofErr w:type="spellStart"/>
      <w:r w:rsidRPr="00DF474B">
        <w:rPr>
          <w:sz w:val="21"/>
        </w:rPr>
        <w:t>Frechet</w:t>
      </w:r>
      <w:proofErr w:type="spellEnd"/>
      <w:r w:rsidRPr="00DF474B">
        <w:rPr>
          <w:sz w:val="21"/>
        </w:rPr>
        <w:t xml:space="preserve"> bounds. This shows why the manuscript avoids calling profile-average Pf a physical system-failure probability.</w:t>
      </w:r>
    </w:p>
    <w:tbl>
      <w:tblPr>
        <w:tblStyle w:val="PlainTable2"/>
        <w:tblW w:w="0" w:type="auto"/>
        <w:jc w:val="center"/>
        <w:tblCellMar>
          <w:top w:w="40" w:type="dxa"/>
          <w:left w:w="60" w:type="dxa"/>
          <w:bottom w:w="40" w:type="dxa"/>
          <w:right w:w="60" w:type="dxa"/>
        </w:tblCellMar>
        <w:tblLook w:val="0420" w:firstRow="1" w:lastRow="0" w:firstColumn="0" w:lastColumn="0" w:noHBand="0" w:noVBand="1"/>
      </w:tblPr>
      <w:tblGrid>
        <w:gridCol w:w="420"/>
        <w:gridCol w:w="1115"/>
        <w:gridCol w:w="1604"/>
        <w:gridCol w:w="1303"/>
        <w:gridCol w:w="1337"/>
        <w:gridCol w:w="620"/>
        <w:gridCol w:w="1936"/>
      </w:tblGrid>
      <w:tr w:rsidR="00DF474B" w:rsidRPr="00304CB0" w:rsidTr="00304CB0">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rho</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proofErr w:type="spellStart"/>
            <w:r w:rsidRPr="00304CB0">
              <w:rPr>
                <w:sz w:val="20"/>
                <w:szCs w:val="20"/>
              </w:rPr>
              <w:t>Psys</w:t>
            </w:r>
            <w:proofErr w:type="spellEnd"/>
            <w:r w:rsidRPr="00304CB0">
              <w:rPr>
                <w:sz w:val="20"/>
                <w:szCs w:val="20"/>
              </w:rPr>
              <w:t xml:space="preserve"> copula</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proofErr w:type="spellStart"/>
            <w:r w:rsidRPr="00304CB0">
              <w:rPr>
                <w:sz w:val="20"/>
                <w:szCs w:val="20"/>
              </w:rPr>
              <w:t>Psys</w:t>
            </w:r>
            <w:proofErr w:type="spellEnd"/>
            <w:r w:rsidRPr="00304CB0">
              <w:rPr>
                <w:sz w:val="20"/>
                <w:szCs w:val="20"/>
              </w:rPr>
              <w:t xml:space="preserve"> independent</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proofErr w:type="spellStart"/>
            <w:r w:rsidRPr="00304CB0">
              <w:rPr>
                <w:sz w:val="20"/>
                <w:szCs w:val="20"/>
              </w:rPr>
              <w:t>Frechet</w:t>
            </w:r>
            <w:proofErr w:type="spellEnd"/>
            <w:r w:rsidRPr="00304CB0">
              <w:rPr>
                <w:sz w:val="20"/>
                <w:szCs w:val="20"/>
              </w:rPr>
              <w:t xml:space="preserve"> lower</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proofErr w:type="spellStart"/>
            <w:r w:rsidRPr="00304CB0">
              <w:rPr>
                <w:sz w:val="20"/>
                <w:szCs w:val="20"/>
              </w:rPr>
              <w:t>Frechet</w:t>
            </w:r>
            <w:proofErr w:type="spellEnd"/>
            <w:r w:rsidRPr="00304CB0">
              <w:rPr>
                <w:sz w:val="20"/>
                <w:szCs w:val="20"/>
              </w:rPr>
              <w:t xml:space="preserve"> upper</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n sim</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Status</w:t>
            </w:r>
          </w:p>
        </w:tc>
      </w:tr>
      <w:tr w:rsidR="00DF474B" w:rsidRPr="00304CB0" w:rsidTr="00304CB0">
        <w:trPr>
          <w:cnfStyle w:val="000000100000" w:firstRow="0" w:lastRow="0" w:firstColumn="0" w:lastColumn="0" w:oddVBand="0" w:evenVBand="0" w:oddHBand="1" w:evenHBand="0" w:firstRowFirstColumn="0" w:firstRowLastColumn="0" w:lastRowFirstColumn="0" w:lastRowLastColumn="0"/>
          <w:jc w:val="center"/>
        </w:trPr>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0.0</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0.989</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0.989</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0.906</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1.000</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50000</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dependence diagnostic</w:t>
            </w:r>
          </w:p>
        </w:tc>
      </w:tr>
      <w:tr w:rsidR="00DF474B" w:rsidRPr="00304CB0" w:rsidTr="00304CB0">
        <w:trPr>
          <w:jc w:val="center"/>
        </w:trPr>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0.3</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0.968</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0.989</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0.906</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1.000</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50000</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dependence diagnostic</w:t>
            </w:r>
          </w:p>
        </w:tc>
      </w:tr>
      <w:tr w:rsidR="00DF474B" w:rsidRPr="00304CB0" w:rsidTr="00304CB0">
        <w:trPr>
          <w:cnfStyle w:val="000000100000" w:firstRow="0" w:lastRow="0" w:firstColumn="0" w:lastColumn="0" w:oddVBand="0" w:evenVBand="0" w:oddHBand="1" w:evenHBand="0" w:firstRowFirstColumn="0" w:firstRowLastColumn="0" w:lastRowFirstColumn="0" w:lastRowLastColumn="0"/>
          <w:jc w:val="center"/>
        </w:trPr>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0.6</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0.944</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0.989</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0.906</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1.000</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50000</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dependence diagnostic</w:t>
            </w:r>
          </w:p>
        </w:tc>
      </w:tr>
      <w:tr w:rsidR="004E4104" w:rsidRPr="00304CB0" w:rsidTr="00304CB0">
        <w:trPr>
          <w:jc w:val="center"/>
        </w:trPr>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0.9</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0.915</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0.989</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0.906</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1.000</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50000</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dependence diagnostic</w:t>
            </w:r>
          </w:p>
        </w:tc>
      </w:tr>
    </w:tbl>
    <w:p w:rsidR="004E4104" w:rsidRPr="00DF474B" w:rsidRDefault="004E4104">
      <w:pPr>
        <w:spacing w:after="120" w:line="276" w:lineRule="auto"/>
      </w:pPr>
    </w:p>
    <w:p w:rsidR="004E4104" w:rsidRPr="00DF474B" w:rsidRDefault="00DF474B">
      <w:pPr>
        <w:pStyle w:val="Tabletitle"/>
        <w:spacing w:before="0" w:after="120" w:line="276" w:lineRule="auto"/>
      </w:pPr>
      <w:r w:rsidRPr="00DF474B">
        <w:rPr>
          <w:sz w:val="20"/>
        </w:rPr>
        <w:t xml:space="preserve">Table S4. External case-history compatibility metrics for the Hu full set and </w:t>
      </w:r>
      <w:proofErr w:type="spellStart"/>
      <w:r w:rsidRPr="00DF474B">
        <w:rPr>
          <w:sz w:val="20"/>
        </w:rPr>
        <w:t>Wenchuan</w:t>
      </w:r>
      <w:proofErr w:type="spellEnd"/>
      <w:r w:rsidRPr="00DF474B">
        <w:rPr>
          <w:sz w:val="20"/>
        </w:rPr>
        <w:t xml:space="preserve"> documented-earthquake subset.</w:t>
      </w:r>
    </w:p>
    <w:p w:rsidR="004E4104" w:rsidRPr="00DF474B" w:rsidRDefault="00DF474B">
      <w:pPr>
        <w:pStyle w:val="Paragraph"/>
        <w:spacing w:before="0" w:after="120" w:line="276" w:lineRule="auto"/>
      </w:pPr>
      <w:r w:rsidRPr="00DF474B">
        <w:rPr>
          <w:sz w:val="21"/>
        </w:rPr>
        <w:t xml:space="preserve">Detailed interpretation. This table expands the Hu full-set and </w:t>
      </w:r>
      <w:proofErr w:type="spellStart"/>
      <w:r w:rsidRPr="00DF474B">
        <w:rPr>
          <w:sz w:val="21"/>
        </w:rPr>
        <w:t>Wenchuan</w:t>
      </w:r>
      <w:proofErr w:type="spellEnd"/>
      <w:r w:rsidRPr="00DF474B">
        <w:rPr>
          <w:sz w:val="21"/>
        </w:rPr>
        <w:t xml:space="preserve"> subset compatibility metrics by predictor group. It reports AUC, Brier score, threshold classification counts, sensitivity and specificity. These values support directional plausibility of the variables used in the benchmark, but they </w:t>
      </w:r>
      <w:proofErr w:type="gramStart"/>
      <w:r w:rsidRPr="00DF474B">
        <w:rPr>
          <w:sz w:val="21"/>
        </w:rPr>
        <w:t>should not be cited</w:t>
      </w:r>
      <w:proofErr w:type="gramEnd"/>
      <w:r w:rsidRPr="00DF474B">
        <w:rPr>
          <w:sz w:val="21"/>
        </w:rPr>
        <w:t xml:space="preserve"> as calibrated non-stationary field validation.</w:t>
      </w:r>
    </w:p>
    <w:p w:rsidR="004E4104" w:rsidRPr="00DF474B" w:rsidRDefault="00DF474B">
      <w:pPr>
        <w:pStyle w:val="Paragraph"/>
        <w:spacing w:before="0" w:after="120" w:line="276" w:lineRule="auto"/>
      </w:pPr>
      <w:r w:rsidRPr="00DF474B">
        <w:rPr>
          <w:sz w:val="21"/>
        </w:rPr>
        <w:t xml:space="preserve">How to use it. Treat the </w:t>
      </w:r>
      <w:proofErr w:type="spellStart"/>
      <w:r w:rsidRPr="00DF474B">
        <w:rPr>
          <w:sz w:val="21"/>
        </w:rPr>
        <w:t>Wenchuan</w:t>
      </w:r>
      <w:proofErr w:type="spellEnd"/>
      <w:r w:rsidRPr="00DF474B">
        <w:rPr>
          <w:sz w:val="21"/>
        </w:rPr>
        <w:t xml:space="preserve"> subset as an event-specific discrimination check and the full Hu dataset as broader compatibility evidence. The small subset sizes make sensitivity and specificity informative but not definitive.</w:t>
      </w:r>
    </w:p>
    <w:tbl>
      <w:tblPr>
        <w:tblStyle w:val="PlainTable2"/>
        <w:tblW w:w="0" w:type="auto"/>
        <w:jc w:val="center"/>
        <w:tblCellMar>
          <w:top w:w="40" w:type="dxa"/>
          <w:left w:w="60" w:type="dxa"/>
          <w:bottom w:w="40" w:type="dxa"/>
          <w:right w:w="60" w:type="dxa"/>
        </w:tblCellMar>
        <w:tblLook w:val="0420" w:firstRow="1" w:lastRow="0" w:firstColumn="0" w:lastColumn="0" w:noHBand="0" w:noVBand="1"/>
      </w:tblPr>
      <w:tblGrid>
        <w:gridCol w:w="976"/>
        <w:gridCol w:w="2720"/>
        <w:gridCol w:w="420"/>
        <w:gridCol w:w="865"/>
        <w:gridCol w:w="570"/>
        <w:gridCol w:w="576"/>
        <w:gridCol w:w="999"/>
        <w:gridCol w:w="420"/>
        <w:gridCol w:w="365"/>
        <w:gridCol w:w="398"/>
        <w:gridCol w:w="387"/>
        <w:gridCol w:w="1076"/>
      </w:tblGrid>
      <w:tr w:rsidR="00DF474B" w:rsidRPr="00304CB0" w:rsidTr="00304CB0">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Group</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Predictor</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n</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L/Non-L</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AUC</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Brier</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Threshold</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TP</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FP</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TN</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FN</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Sens./Spec.</w:t>
            </w:r>
          </w:p>
        </w:tc>
      </w:tr>
      <w:tr w:rsidR="00DF474B" w:rsidRPr="00304CB0" w:rsidTr="00304CB0">
        <w:trPr>
          <w:cnfStyle w:val="000000100000" w:firstRow="0" w:lastRow="0" w:firstColumn="0" w:lastColumn="0" w:oddVBand="0" w:evenVBand="0" w:oddHBand="1" w:evenHBand="0" w:firstRowFirstColumn="0" w:firstRowLastColumn="0" w:lastRowFirstColumn="0" w:lastRowLastColumn="0"/>
          <w:jc w:val="center"/>
        </w:trPr>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Hu full</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Combined GW+CSR+N120+Vs</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234</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136/98</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0.811</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0.172</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-0.095</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111</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29</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69</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25</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0.816/0.704</w:t>
            </w:r>
          </w:p>
        </w:tc>
      </w:tr>
      <w:tr w:rsidR="00DF474B" w:rsidRPr="00304CB0" w:rsidTr="00304CB0">
        <w:trPr>
          <w:jc w:val="center"/>
        </w:trPr>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Hu full</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DPT/N120</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234</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136/98</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0.778</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0.189</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-0.206</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116</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35</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63</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20</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0.853/0.643</w:t>
            </w:r>
          </w:p>
        </w:tc>
      </w:tr>
      <w:tr w:rsidR="00DF474B" w:rsidRPr="00304CB0" w:rsidTr="00304CB0">
        <w:trPr>
          <w:cnfStyle w:val="000000100000" w:firstRow="0" w:lastRow="0" w:firstColumn="0" w:lastColumn="0" w:oddVBand="0" w:evenVBand="0" w:oddHBand="1" w:evenHBand="0" w:firstRowFirstColumn="0" w:firstRowLastColumn="0" w:lastRowFirstColumn="0" w:lastRowLastColumn="0"/>
          <w:jc w:val="center"/>
        </w:trPr>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Hu full</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Vs</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234</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136/98</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0.796</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0.183</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0.002</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98</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20</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78</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38</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0.721/0.796</w:t>
            </w:r>
          </w:p>
        </w:tc>
      </w:tr>
      <w:tr w:rsidR="00DF474B" w:rsidRPr="00304CB0" w:rsidTr="00304CB0">
        <w:trPr>
          <w:jc w:val="center"/>
        </w:trPr>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Hu full</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Static limit-state</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195</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103/92</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0.760</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0.199</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0.196</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85</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34</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58</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18</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0.825/0.630</w:t>
            </w:r>
          </w:p>
        </w:tc>
      </w:tr>
      <w:tr w:rsidR="00DF474B" w:rsidRPr="00304CB0" w:rsidTr="00304CB0">
        <w:trPr>
          <w:cnfStyle w:val="000000100000" w:firstRow="0" w:lastRow="0" w:firstColumn="0" w:lastColumn="0" w:oddVBand="0" w:evenVBand="0" w:oddHBand="1" w:evenHBand="0" w:firstRowFirstColumn="0" w:firstRowLastColumn="0" w:lastRowFirstColumn="0" w:lastRowLastColumn="0"/>
          <w:jc w:val="center"/>
        </w:trPr>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proofErr w:type="spellStart"/>
            <w:r w:rsidRPr="00304CB0">
              <w:rPr>
                <w:sz w:val="20"/>
                <w:szCs w:val="20"/>
              </w:rPr>
              <w:t>Wenchuan</w:t>
            </w:r>
            <w:proofErr w:type="spellEnd"/>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Combined GW+CSR+N120+Vs</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81</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47/34</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0.909</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0.124</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-0.329</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41</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4</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30</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6</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0.872/0.882</w:t>
            </w:r>
          </w:p>
        </w:tc>
      </w:tr>
      <w:tr w:rsidR="00DF474B" w:rsidRPr="00304CB0" w:rsidTr="00304CB0">
        <w:trPr>
          <w:jc w:val="center"/>
        </w:trPr>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proofErr w:type="spellStart"/>
            <w:r w:rsidRPr="00304CB0">
              <w:rPr>
                <w:sz w:val="20"/>
                <w:szCs w:val="20"/>
              </w:rPr>
              <w:t>Wenchuan</w:t>
            </w:r>
            <w:proofErr w:type="spellEnd"/>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DPT/N120</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81</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47/34</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0.884</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0.140</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-0.333</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43</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7</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27</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4</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0.915/0.794</w:t>
            </w:r>
          </w:p>
        </w:tc>
      </w:tr>
      <w:tr w:rsidR="00DF474B" w:rsidRPr="00304CB0" w:rsidTr="00304CB0">
        <w:trPr>
          <w:cnfStyle w:val="000000100000" w:firstRow="0" w:lastRow="0" w:firstColumn="0" w:lastColumn="0" w:oddVBand="0" w:evenVBand="0" w:oddHBand="1" w:evenHBand="0" w:firstRowFirstColumn="0" w:firstRowLastColumn="0" w:lastRowFirstColumn="0" w:lastRowLastColumn="0"/>
          <w:jc w:val="center"/>
        </w:trPr>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proofErr w:type="spellStart"/>
            <w:r w:rsidRPr="00304CB0">
              <w:rPr>
                <w:sz w:val="20"/>
                <w:szCs w:val="20"/>
              </w:rPr>
              <w:t>Wenchuan</w:t>
            </w:r>
            <w:proofErr w:type="spellEnd"/>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Vs</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81</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47/34</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0.864</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0.145</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-0.370</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39</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6</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28</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8</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0.830/0.824</w:t>
            </w:r>
          </w:p>
        </w:tc>
      </w:tr>
      <w:tr w:rsidR="00DF474B" w:rsidRPr="00304CB0" w:rsidTr="00304CB0">
        <w:trPr>
          <w:jc w:val="center"/>
        </w:trPr>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proofErr w:type="spellStart"/>
            <w:r w:rsidRPr="00304CB0">
              <w:rPr>
                <w:sz w:val="20"/>
                <w:szCs w:val="20"/>
              </w:rPr>
              <w:t>Wenchuan</w:t>
            </w:r>
            <w:proofErr w:type="spellEnd"/>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Static limit-state</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60</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28/32</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0.824</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0.182</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0.143</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22</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7</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25</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6</w:t>
            </w:r>
          </w:p>
        </w:tc>
        <w:tc>
          <w:tcPr>
            <w:tcW w:w="0" w:type="auto"/>
            <w:tcMar>
              <w:top w:w="60" w:type="dxa"/>
              <w:left w:w="60" w:type="dxa"/>
              <w:bottom w:w="60" w:type="dxa"/>
              <w:right w:w="60" w:type="dxa"/>
            </w:tcMar>
            <w:vAlign w:val="center"/>
          </w:tcPr>
          <w:p w:rsidR="004E4104" w:rsidRPr="00304CB0" w:rsidRDefault="00DF474B" w:rsidP="0097327D">
            <w:pPr>
              <w:spacing w:line="240" w:lineRule="auto"/>
              <w:rPr>
                <w:sz w:val="20"/>
                <w:szCs w:val="20"/>
              </w:rPr>
            </w:pPr>
            <w:r w:rsidRPr="00304CB0">
              <w:rPr>
                <w:sz w:val="20"/>
                <w:szCs w:val="20"/>
              </w:rPr>
              <w:t>0.786/0.781</w:t>
            </w:r>
          </w:p>
        </w:tc>
      </w:tr>
    </w:tbl>
    <w:p w:rsidR="004E4104" w:rsidRPr="00DF474B" w:rsidRDefault="004E4104">
      <w:pPr>
        <w:spacing w:after="120" w:line="276" w:lineRule="auto"/>
      </w:pPr>
    </w:p>
    <w:p w:rsidR="004E4104" w:rsidRPr="00DF474B" w:rsidRDefault="00DF474B">
      <w:pPr>
        <w:pStyle w:val="Heading1"/>
        <w:spacing w:before="0" w:after="120" w:line="276" w:lineRule="auto"/>
      </w:pPr>
      <w:r w:rsidRPr="00DF474B">
        <w:lastRenderedPageBreak/>
        <w:t>Additional Relevance to the Main Manuscript</w:t>
      </w:r>
    </w:p>
    <w:p w:rsidR="004E4104" w:rsidRPr="00DF474B" w:rsidRDefault="00DF474B">
      <w:pPr>
        <w:pStyle w:val="Paragraph"/>
        <w:spacing w:before="0" w:after="120" w:line="276" w:lineRule="auto"/>
      </w:pPr>
      <w:r>
        <w:rPr>
          <w:sz w:val="21"/>
        </w:rPr>
        <w:t>Relationship to the benchmark. Table S1 documents external discrimination and calibration checks, Table S2 documents model-form dependence, Table S3 documents vertical-dependence sensitivity and Table S4 documents expanded external compatibility. Together, these tables support the manuscript claim that the benchmark is auditable and internally consistent, while preserving the distinction between benchmark evidence and calibrated site prediction.</w:t>
      </w:r>
    </w:p>
    <w:p w:rsidR="004E4104" w:rsidRPr="00DF474B" w:rsidRDefault="00DF474B">
      <w:pPr>
        <w:pStyle w:val="Paragraph"/>
        <w:spacing w:before="0" w:after="120" w:line="276" w:lineRule="auto"/>
      </w:pPr>
      <w:r w:rsidRPr="00DF474B">
        <w:rPr>
          <w:sz w:val="21"/>
        </w:rPr>
        <w:t xml:space="preserve">Relationship to the site extensions. The newer Nisqually and Canterbury site-extension outputs </w:t>
      </w:r>
      <w:proofErr w:type="gramStart"/>
      <w:r w:rsidRPr="00DF474B">
        <w:rPr>
          <w:sz w:val="21"/>
        </w:rPr>
        <w:t>are provided</w:t>
      </w:r>
      <w:proofErr w:type="gramEnd"/>
      <w:r w:rsidRPr="00DF474B">
        <w:rPr>
          <w:sz w:val="21"/>
        </w:rPr>
        <w:t xml:space="preserve"> as CSV files and scripts in the supplementary package. Those files are the appropriate source for site-calibrated validation metrics, groundwater t</w:t>
      </w:r>
      <w:bookmarkStart w:id="0" w:name="_GoBack"/>
      <w:bookmarkEnd w:id="0"/>
      <w:r w:rsidRPr="00DF474B">
        <w:rPr>
          <w:sz w:val="21"/>
        </w:rPr>
        <w:t xml:space="preserve">rajectory calibration and temporal </w:t>
      </w:r>
      <w:proofErr w:type="gramStart"/>
      <w:r w:rsidRPr="00DF474B">
        <w:rPr>
          <w:sz w:val="21"/>
        </w:rPr>
        <w:t>Pf(</w:t>
      </w:r>
      <w:proofErr w:type="gramEnd"/>
      <w:r w:rsidRPr="00DF474B">
        <w:rPr>
          <w:sz w:val="21"/>
        </w:rPr>
        <w:t xml:space="preserve">t) </w:t>
      </w:r>
      <w:proofErr w:type="spellStart"/>
      <w:r w:rsidRPr="00DF474B">
        <w:rPr>
          <w:sz w:val="21"/>
        </w:rPr>
        <w:t>behavior</w:t>
      </w:r>
      <w:proofErr w:type="spellEnd"/>
      <w:r w:rsidRPr="00DF474B">
        <w:rPr>
          <w:sz w:val="21"/>
        </w:rPr>
        <w:t>.</w:t>
      </w:r>
    </w:p>
    <w:sectPr w:rsidR="004E4104" w:rsidRPr="00DF474B" w:rsidSect="0021403D">
      <w:pgSz w:w="12240" w:h="15840"/>
      <w:pgMar w:top="864" w:right="864" w:bottom="864"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5"/>
  </w:num>
  <w:num w:numId="2">
    <w:abstractNumId w:val="19"/>
  </w:num>
  <w:num w:numId="3">
    <w:abstractNumId w:val="1"/>
  </w:num>
  <w:num w:numId="4">
    <w:abstractNumId w:val="2"/>
  </w:num>
  <w:num w:numId="5">
    <w:abstractNumId w:val="3"/>
  </w:num>
  <w:num w:numId="6">
    <w:abstractNumId w:val="4"/>
  </w:num>
  <w:num w:numId="7">
    <w:abstractNumId w:val="9"/>
  </w:num>
  <w:num w:numId="8">
    <w:abstractNumId w:val="5"/>
  </w:num>
  <w:num w:numId="9">
    <w:abstractNumId w:val="7"/>
  </w:num>
  <w:num w:numId="10">
    <w:abstractNumId w:val="6"/>
  </w:num>
  <w:num w:numId="11">
    <w:abstractNumId w:val="10"/>
  </w:num>
  <w:num w:numId="12">
    <w:abstractNumId w:val="8"/>
  </w:num>
  <w:num w:numId="13">
    <w:abstractNumId w:val="17"/>
  </w:num>
  <w:num w:numId="14">
    <w:abstractNumId w:val="20"/>
  </w:num>
  <w:num w:numId="15">
    <w:abstractNumId w:val="14"/>
  </w:num>
  <w:num w:numId="16">
    <w:abstractNumId w:val="16"/>
  </w:num>
  <w:num w:numId="17">
    <w:abstractNumId w:val="11"/>
  </w:num>
  <w:num w:numId="18">
    <w:abstractNumId w:val="0"/>
  </w:num>
  <w:num w:numId="19">
    <w:abstractNumId w:val="12"/>
  </w:num>
  <w:num w:numId="20">
    <w:abstractNumId w:val="20"/>
  </w:num>
  <w:num w:numId="21">
    <w:abstractNumId w:val="20"/>
  </w:num>
  <w:num w:numId="22">
    <w:abstractNumId w:val="20"/>
  </w:num>
  <w:num w:numId="23">
    <w:abstractNumId w:val="20"/>
  </w:num>
  <w:num w:numId="24">
    <w:abstractNumId w:val="17"/>
  </w:num>
  <w:num w:numId="25">
    <w:abstractNumId w:val="18"/>
  </w:num>
  <w:num w:numId="26">
    <w:abstractNumId w:val="21"/>
  </w:num>
  <w:num w:numId="27">
    <w:abstractNumId w:val="22"/>
  </w:num>
  <w:num w:numId="28">
    <w:abstractNumId w:val="20"/>
  </w:num>
  <w:num w:numId="29">
    <w:abstractNumId w:val="13"/>
  </w:num>
  <w:num w:numId="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1403D"/>
    <w:rsid w:val="0029639D"/>
    <w:rsid w:val="00304CB0"/>
    <w:rsid w:val="00326F90"/>
    <w:rsid w:val="004E4104"/>
    <w:rsid w:val="00510E57"/>
    <w:rsid w:val="0097327D"/>
    <w:rsid w:val="00A86F2C"/>
    <w:rsid w:val="00AA1D8D"/>
    <w:rsid w:val="00B47730"/>
    <w:rsid w:val="00CB0664"/>
    <w:rsid w:val="00DF47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558E355-62B1-46D6-856C-69187848C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096F"/>
    <w:pPr>
      <w:spacing w:line="480" w:lineRule="auto"/>
    </w:pPr>
    <w:rPr>
      <w:sz w:val="24"/>
      <w:szCs w:val="24"/>
    </w:rPr>
  </w:style>
  <w:style w:type="paragraph" w:styleId="Heading1">
    <w:name w:val="heading 1"/>
    <w:basedOn w:val="Normal"/>
    <w:next w:val="Paragraph"/>
    <w:link w:val="Heading1Char"/>
    <w:qFormat/>
    <w:rsid w:val="00AE1ED4"/>
    <w:pPr>
      <w:keepNext/>
      <w:spacing w:before="360" w:after="60" w:line="360" w:lineRule="auto"/>
      <w:ind w:right="567"/>
      <w:contextualSpacing/>
      <w:outlineLvl w:val="0"/>
    </w:pPr>
    <w:rPr>
      <w:rFonts w:cs="Arial"/>
      <w:b/>
      <w:bCs/>
      <w:kern w:val="32"/>
      <w:szCs w:val="32"/>
    </w:rPr>
  </w:style>
  <w:style w:type="paragraph" w:styleId="Heading2">
    <w:name w:val="heading 2"/>
    <w:basedOn w:val="Normal"/>
    <w:next w:val="Paragraph"/>
    <w:link w:val="Heading2Char"/>
    <w:qFormat/>
    <w:rsid w:val="008D07FB"/>
    <w:pPr>
      <w:keepNext/>
      <w:spacing w:before="360" w:after="60" w:line="360" w:lineRule="auto"/>
      <w:ind w:right="567"/>
      <w:contextualSpacing/>
      <w:outlineLvl w:val="1"/>
    </w:pPr>
    <w:rPr>
      <w:rFonts w:cs="Arial"/>
      <w:b/>
      <w:bCs/>
      <w:i/>
      <w:iCs/>
      <w:szCs w:val="28"/>
    </w:rPr>
  </w:style>
  <w:style w:type="paragraph" w:styleId="Heading3">
    <w:name w:val="heading 3"/>
    <w:basedOn w:val="Normal"/>
    <w:next w:val="Paragraph"/>
    <w:link w:val="Heading3Char"/>
    <w:qFormat/>
    <w:rsid w:val="00DF7EE2"/>
    <w:pPr>
      <w:keepNext/>
      <w:spacing w:before="360" w:after="60" w:line="360" w:lineRule="auto"/>
      <w:ind w:right="567"/>
      <w:contextualSpacing/>
      <w:outlineLvl w:val="2"/>
    </w:pPr>
    <w:rPr>
      <w:rFonts w:cs="Arial"/>
      <w:bCs/>
      <w:i/>
      <w:szCs w:val="26"/>
    </w:rPr>
  </w:style>
  <w:style w:type="paragraph" w:styleId="Heading4">
    <w:name w:val="heading 4"/>
    <w:basedOn w:val="Paragraph"/>
    <w:next w:val="Newparagraph"/>
    <w:link w:val="Heading4Char"/>
    <w:rsid w:val="00F43B9D"/>
    <w:pPr>
      <w:spacing w:before="360"/>
      <w:outlineLvl w:val="3"/>
    </w:pPr>
    <w:rPr>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title">
    <w:name w:val="Article title"/>
    <w:basedOn w:val="Normal"/>
    <w:next w:val="Normal"/>
    <w:qFormat/>
    <w:rsid w:val="0024692A"/>
    <w:pPr>
      <w:spacing w:after="120" w:line="360" w:lineRule="auto"/>
    </w:pPr>
    <w:rPr>
      <w:b/>
      <w:sz w:val="28"/>
    </w:rPr>
  </w:style>
  <w:style w:type="paragraph" w:customStyle="1" w:styleId="Authornames">
    <w:name w:val="Author names"/>
    <w:basedOn w:val="Normal"/>
    <w:next w:val="Normal"/>
    <w:qFormat/>
    <w:rsid w:val="00F04900"/>
    <w:pPr>
      <w:spacing w:before="240" w:line="360" w:lineRule="auto"/>
    </w:pPr>
    <w:rPr>
      <w:sz w:val="28"/>
    </w:rPr>
  </w:style>
  <w:style w:type="paragraph" w:customStyle="1" w:styleId="Affiliation">
    <w:name w:val="Affiliation"/>
    <w:basedOn w:val="Normal"/>
    <w:qFormat/>
    <w:rsid w:val="00F04900"/>
    <w:pPr>
      <w:spacing w:before="240" w:line="360" w:lineRule="auto"/>
    </w:pPr>
    <w:rPr>
      <w:i/>
    </w:rPr>
  </w:style>
  <w:style w:type="paragraph" w:customStyle="1" w:styleId="Receiveddates">
    <w:name w:val="Received dates"/>
    <w:basedOn w:val="Affiliation"/>
    <w:next w:val="Normal"/>
    <w:qFormat/>
    <w:rsid w:val="00CC474B"/>
  </w:style>
  <w:style w:type="paragraph" w:customStyle="1" w:styleId="Abstract">
    <w:name w:val="Abstract"/>
    <w:basedOn w:val="Normal"/>
    <w:next w:val="Keywords"/>
    <w:qFormat/>
    <w:rsid w:val="00310E13"/>
    <w:pPr>
      <w:spacing w:before="360" w:after="300" w:line="360" w:lineRule="auto"/>
      <w:ind w:left="720" w:right="567"/>
    </w:pPr>
    <w:rPr>
      <w:sz w:val="22"/>
    </w:rPr>
  </w:style>
  <w:style w:type="paragraph" w:customStyle="1" w:styleId="Keywords">
    <w:name w:val="Keywords"/>
    <w:basedOn w:val="Normal"/>
    <w:next w:val="Paragraph"/>
    <w:qFormat/>
    <w:rsid w:val="00BB1270"/>
    <w:pPr>
      <w:spacing w:before="240" w:after="240" w:line="360" w:lineRule="auto"/>
      <w:ind w:left="720" w:right="567"/>
    </w:pPr>
    <w:rPr>
      <w:sz w:val="22"/>
    </w:rPr>
  </w:style>
  <w:style w:type="paragraph" w:customStyle="1" w:styleId="Correspondencedetails">
    <w:name w:val="Correspondence details"/>
    <w:basedOn w:val="Normal"/>
    <w:qFormat/>
    <w:rsid w:val="00F04900"/>
    <w:pPr>
      <w:spacing w:before="240" w:line="360" w:lineRule="auto"/>
    </w:pPr>
  </w:style>
  <w:style w:type="paragraph" w:customStyle="1" w:styleId="Displayedquotation">
    <w:name w:val="Displayed quotation"/>
    <w:basedOn w:val="Normal"/>
    <w:qFormat/>
    <w:rsid w:val="00731835"/>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D80284"/>
    <w:pPr>
      <w:widowControl/>
      <w:numPr>
        <w:numId w:val="24"/>
      </w:numPr>
      <w:spacing w:after="240"/>
      <w:contextualSpacing/>
    </w:pPr>
  </w:style>
  <w:style w:type="paragraph" w:customStyle="1" w:styleId="Displayedequation">
    <w:name w:val="Displayed equation"/>
    <w:basedOn w:val="Normal"/>
    <w:next w:val="Paragraph"/>
    <w:qFormat/>
    <w:rsid w:val="00EF0F45"/>
    <w:pPr>
      <w:tabs>
        <w:tab w:val="center" w:pos="4253"/>
        <w:tab w:val="right" w:pos="8222"/>
      </w:tabs>
      <w:spacing w:before="240" w:after="240"/>
      <w:jc w:val="center"/>
    </w:pPr>
  </w:style>
  <w:style w:type="paragraph" w:customStyle="1" w:styleId="Acknowledgements">
    <w:name w:val="Acknowledgements"/>
    <w:basedOn w:val="Normal"/>
    <w:next w:val="Normal"/>
    <w:qFormat/>
    <w:rsid w:val="00D379A3"/>
    <w:pPr>
      <w:spacing w:before="120" w:line="360" w:lineRule="auto"/>
    </w:pPr>
    <w:rPr>
      <w:sz w:val="22"/>
    </w:rPr>
  </w:style>
  <w:style w:type="paragraph" w:customStyle="1" w:styleId="Tabletitle">
    <w:name w:val="Table title"/>
    <w:basedOn w:val="Normal"/>
    <w:next w:val="Normal"/>
    <w:qFormat/>
    <w:rsid w:val="0031686C"/>
    <w:pPr>
      <w:spacing w:before="240" w:line="360" w:lineRule="auto"/>
    </w:pPr>
  </w:style>
  <w:style w:type="paragraph" w:customStyle="1" w:styleId="Figurecaption">
    <w:name w:val="Figure caption"/>
    <w:basedOn w:val="Normal"/>
    <w:next w:val="Normal"/>
    <w:qFormat/>
    <w:rsid w:val="0031686C"/>
    <w:pPr>
      <w:spacing w:before="240" w:line="360" w:lineRule="auto"/>
    </w:pPr>
  </w:style>
  <w:style w:type="paragraph" w:customStyle="1" w:styleId="Footnotes">
    <w:name w:val="Footnotes"/>
    <w:basedOn w:val="Normal"/>
    <w:qFormat/>
    <w:rsid w:val="006C6936"/>
    <w:pPr>
      <w:spacing w:before="120" w:line="360" w:lineRule="auto"/>
      <w:ind w:left="482" w:hanging="482"/>
      <w:contextualSpacing/>
    </w:pPr>
    <w:rPr>
      <w:sz w:val="22"/>
    </w:rPr>
  </w:style>
  <w:style w:type="paragraph" w:customStyle="1" w:styleId="Notesoncontributors">
    <w:name w:val="Notes on contributors"/>
    <w:basedOn w:val="Normal"/>
    <w:qFormat/>
    <w:rsid w:val="00F04900"/>
    <w:pPr>
      <w:spacing w:before="240" w:line="360" w:lineRule="auto"/>
    </w:pPr>
    <w:rPr>
      <w:sz w:val="22"/>
    </w:rPr>
  </w:style>
  <w:style w:type="paragraph" w:customStyle="1" w:styleId="Normalparagraphstyle">
    <w:name w:val="Normal paragraph style"/>
    <w:basedOn w:val="Normal"/>
    <w:next w:val="Normal"/>
    <w:rsid w:val="00562DEF"/>
  </w:style>
  <w:style w:type="paragraph" w:customStyle="1" w:styleId="Paragraph">
    <w:name w:val="Paragraph"/>
    <w:basedOn w:val="Normal"/>
    <w:next w:val="Newparagraph"/>
    <w:qFormat/>
    <w:rsid w:val="001B7681"/>
    <w:pPr>
      <w:widowControl w:val="0"/>
      <w:spacing w:before="240"/>
    </w:pPr>
  </w:style>
  <w:style w:type="paragraph" w:customStyle="1" w:styleId="Newparagraph">
    <w:name w:val="New paragraph"/>
    <w:basedOn w:val="Normal"/>
    <w:qFormat/>
    <w:rsid w:val="00AE2F8D"/>
    <w:pPr>
      <w:ind w:firstLine="720"/>
    </w:pPr>
  </w:style>
  <w:style w:type="paragraph" w:styleId="NormalIndent">
    <w:name w:val="Normal Indent"/>
    <w:basedOn w:val="Normal"/>
    <w:rsid w:val="00526454"/>
    <w:pPr>
      <w:ind w:left="720"/>
    </w:pPr>
  </w:style>
  <w:style w:type="paragraph" w:customStyle="1" w:styleId="References">
    <w:name w:val="References"/>
    <w:basedOn w:val="Normal"/>
    <w:qFormat/>
    <w:rsid w:val="002C53EE"/>
    <w:pPr>
      <w:spacing w:before="120" w:line="360" w:lineRule="auto"/>
      <w:ind w:left="720" w:hanging="720"/>
      <w:contextualSpacing/>
    </w:pPr>
  </w:style>
  <w:style w:type="paragraph" w:customStyle="1" w:styleId="Subjectcodes">
    <w:name w:val="Subject codes"/>
    <w:basedOn w:val="Keywords"/>
    <w:next w:val="Paragraph"/>
    <w:qFormat/>
    <w:rsid w:val="0000681B"/>
  </w:style>
  <w:style w:type="character" w:customStyle="1" w:styleId="Heading2Char">
    <w:name w:val="Heading 2 Char"/>
    <w:basedOn w:val="DefaultParagraphFont"/>
    <w:link w:val="Heading2"/>
    <w:rsid w:val="008D07FB"/>
    <w:rPr>
      <w:rFonts w:cs="Arial"/>
      <w:b/>
      <w:bCs/>
      <w:i/>
      <w:iCs/>
      <w:sz w:val="24"/>
      <w:szCs w:val="28"/>
    </w:rPr>
  </w:style>
  <w:style w:type="character" w:customStyle="1" w:styleId="Heading1Char">
    <w:name w:val="Heading 1 Char"/>
    <w:basedOn w:val="DefaultParagraphFont"/>
    <w:link w:val="Heading1"/>
    <w:rsid w:val="00AE1ED4"/>
    <w:rPr>
      <w:rFonts w:cs="Arial"/>
      <w:b/>
      <w:bCs/>
      <w:kern w:val="32"/>
      <w:sz w:val="24"/>
      <w:szCs w:val="32"/>
    </w:rPr>
  </w:style>
  <w:style w:type="character" w:customStyle="1" w:styleId="Heading3Char">
    <w:name w:val="Heading 3 Char"/>
    <w:basedOn w:val="DefaultParagraphFont"/>
    <w:link w:val="Heading3"/>
    <w:rsid w:val="00DF7EE2"/>
    <w:rPr>
      <w:rFonts w:eastAsia="Times New Roman" w:cs="Arial"/>
      <w:bCs/>
      <w:i/>
      <w:sz w:val="24"/>
      <w:szCs w:val="26"/>
      <w:lang w:eastAsia="en-GB"/>
    </w:rPr>
  </w:style>
  <w:style w:type="paragraph" w:customStyle="1" w:styleId="Bulletedlist">
    <w:name w:val="Bulleted list"/>
    <w:basedOn w:val="Paragraph"/>
    <w:next w:val="Paragraph"/>
    <w:qFormat/>
    <w:rsid w:val="004E0338"/>
    <w:pPr>
      <w:widowControl/>
      <w:numPr>
        <w:numId w:val="28"/>
      </w:numPr>
      <w:spacing w:after="240"/>
      <w:contextualSpacing/>
    </w:pPr>
  </w:style>
  <w:style w:type="paragraph" w:styleId="FootnoteText">
    <w:name w:val="footnote text"/>
    <w:basedOn w:val="Normal"/>
    <w:link w:val="FootnoteTextChar"/>
    <w:autoRedefine/>
    <w:rsid w:val="006C19B2"/>
    <w:pPr>
      <w:ind w:left="284" w:hanging="284"/>
    </w:pPr>
    <w:rPr>
      <w:sz w:val="22"/>
      <w:szCs w:val="20"/>
    </w:rPr>
  </w:style>
  <w:style w:type="character" w:customStyle="1" w:styleId="FootnoteTextChar">
    <w:name w:val="Footnote Text Char"/>
    <w:basedOn w:val="DefaultParagraphFont"/>
    <w:link w:val="FootnoteText"/>
    <w:rsid w:val="006C19B2"/>
    <w:rPr>
      <w:sz w:val="22"/>
    </w:rPr>
  </w:style>
  <w:style w:type="character" w:styleId="FootnoteReference">
    <w:name w:val="footnote reference"/>
    <w:basedOn w:val="DefaultParagraphFont"/>
    <w:rsid w:val="00AF2C92"/>
    <w:rPr>
      <w:vertAlign w:val="superscript"/>
    </w:rPr>
  </w:style>
  <w:style w:type="paragraph" w:styleId="EndnoteText">
    <w:name w:val="endnote text"/>
    <w:basedOn w:val="Normal"/>
    <w:link w:val="EndnoteTextChar"/>
    <w:autoRedefine/>
    <w:rsid w:val="006C19B2"/>
    <w:pPr>
      <w:ind w:left="284" w:hanging="284"/>
    </w:pPr>
    <w:rPr>
      <w:sz w:val="22"/>
      <w:szCs w:val="20"/>
    </w:rPr>
  </w:style>
  <w:style w:type="character" w:customStyle="1" w:styleId="EndnoteTextChar">
    <w:name w:val="Endnote Text Char"/>
    <w:basedOn w:val="DefaultParagraphFont"/>
    <w:link w:val="EndnoteText"/>
    <w:rsid w:val="006C19B2"/>
    <w:rPr>
      <w:sz w:val="22"/>
    </w:rPr>
  </w:style>
  <w:style w:type="character" w:styleId="EndnoteReference">
    <w:name w:val="endnote reference"/>
    <w:basedOn w:val="DefaultParagraphFont"/>
    <w:rsid w:val="00EC571B"/>
    <w:rPr>
      <w:vertAlign w:val="superscript"/>
    </w:rPr>
  </w:style>
  <w:style w:type="character" w:customStyle="1" w:styleId="Heading4Char">
    <w:name w:val="Heading 4 Char"/>
    <w:basedOn w:val="DefaultParagraphFont"/>
    <w:link w:val="Heading4"/>
    <w:rsid w:val="00F43B9D"/>
    <w:rPr>
      <w:bCs/>
      <w:sz w:val="24"/>
      <w:szCs w:val="28"/>
    </w:rPr>
  </w:style>
  <w:style w:type="paragraph" w:styleId="Header">
    <w:name w:val="header"/>
    <w:basedOn w:val="Normal"/>
    <w:link w:val="HeaderChar"/>
    <w:rsid w:val="003F193A"/>
    <w:pPr>
      <w:tabs>
        <w:tab w:val="center" w:pos="4320"/>
        <w:tab w:val="right" w:pos="8640"/>
      </w:tabs>
      <w:spacing w:after="120" w:line="240" w:lineRule="auto"/>
      <w:contextualSpacing/>
    </w:pPr>
  </w:style>
  <w:style w:type="character" w:customStyle="1" w:styleId="HeaderChar">
    <w:name w:val="Header Char"/>
    <w:basedOn w:val="DefaultParagraphFont"/>
    <w:link w:val="Header"/>
    <w:rsid w:val="003F193A"/>
    <w:rPr>
      <w:rFonts w:eastAsia="Times New Roman"/>
      <w:sz w:val="24"/>
      <w:szCs w:val="24"/>
      <w:lang w:eastAsia="en-GB"/>
    </w:rPr>
  </w:style>
  <w:style w:type="paragraph" w:styleId="Footer">
    <w:name w:val="footer"/>
    <w:basedOn w:val="Normal"/>
    <w:link w:val="FooterChar"/>
    <w:rsid w:val="00AE6A21"/>
    <w:pPr>
      <w:tabs>
        <w:tab w:val="center" w:pos="4320"/>
        <w:tab w:val="right" w:pos="8640"/>
      </w:tabs>
      <w:spacing w:before="240" w:line="240" w:lineRule="auto"/>
      <w:contextualSpacing/>
    </w:pPr>
  </w:style>
  <w:style w:type="character" w:customStyle="1" w:styleId="FooterChar">
    <w:name w:val="Footer Char"/>
    <w:basedOn w:val="DefaultParagraphFont"/>
    <w:link w:val="Footer"/>
    <w:rsid w:val="00AE6A21"/>
    <w:rPr>
      <w:sz w:val="24"/>
      <w:szCs w:val="24"/>
    </w:rPr>
  </w:style>
  <w:style w:type="paragraph" w:customStyle="1" w:styleId="Heading4Paragraph">
    <w:name w:val="Heading 4 + Paragraph"/>
    <w:basedOn w:val="Paragraph"/>
    <w:next w:val="Newparagraph"/>
    <w:qFormat/>
    <w:rsid w:val="00AE1ED4"/>
    <w:pPr>
      <w:widowControl/>
      <w:spacing w:before="360"/>
    </w:pPr>
  </w:style>
  <w:style w:type="character" w:customStyle="1" w:styleId="Hyperlink1">
    <w:name w:val="Hyperlink1"/>
    <w:rPr>
      <w:u w:val="single"/>
    </w:rPr>
  </w:style>
  <w:style w:type="table" w:styleId="PlainTable2">
    <w:name w:val="Plain Table 2"/>
    <w:basedOn w:val="TableNormal"/>
    <w:uiPriority w:val="42"/>
    <w:rsid w:val="0097327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050F4D-A3C1-4809-A1A3-7557AD3FF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1130</Words>
  <Characters>6220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Diagnostic Tables - Reviewer Fixed</dc:title>
  <dc:subject>Supplementary diagnostic tables with explicit in-text references to Tables S1-S4</dc:subject>
  <dc:creator>python-docx</dc:creator>
  <cp:keywords/>
  <dc:description>generated by python-docx</dc:description>
  <cp:lastModifiedBy>yo yo</cp:lastModifiedBy>
  <cp:revision>3</cp:revision>
  <dcterms:created xsi:type="dcterms:W3CDTF">2013-12-23T23:15:00Z</dcterms:created>
  <dcterms:modified xsi:type="dcterms:W3CDTF">2026-05-21T15:52:00Z</dcterms:modified>
  <cp:category/>
</cp:coreProperties>
</file>