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5CC" w:rsidRPr="00225FE4" w:rsidRDefault="000A5A2B" w:rsidP="00554E27">
      <w:pPr>
        <w:pStyle w:val="Paragraph"/>
        <w:jc w:val="center"/>
        <w:rPr>
          <w:rFonts w:ascii="Arial" w:hAnsi="Arial" w:cs="Arial"/>
          <w:b/>
        </w:rPr>
      </w:pPr>
      <w:r>
        <w:t>Critical Water-Table Crossing as a Physical Switch for False-Negative-Aware Liquefaction Screening</w:t>
      </w:r>
    </w:p>
    <w:p w:rsidR="00AD65CC" w:rsidRPr="00554E27" w:rsidRDefault="000A5A2B">
      <w:pPr>
        <w:pStyle w:val="Paragraph"/>
        <w:jc w:val="center"/>
        <w:rPr>
          <w:lang w:val="es-PA"/>
        </w:rPr>
      </w:pPr>
      <w:r w:rsidRPr="00554E27">
        <w:rPr>
          <w:lang w:val="es-PA"/>
        </w:rPr>
        <w:t>Gabriel J. Montufar Chiriboga</w:t>
      </w:r>
    </w:p>
    <w:p w:rsidR="00AD65CC" w:rsidRDefault="000A5A2B">
      <w:pPr>
        <w:pStyle w:val="Paragraph"/>
        <w:jc w:val="center"/>
      </w:pPr>
      <w:r w:rsidRPr="00554E27">
        <w:rPr>
          <w:lang w:val="es-PA"/>
        </w:rPr>
        <w:t xml:space="preserve">Universidad de Panama, Panama. </w:t>
      </w:r>
      <w:r>
        <w:t>Corresponding author: gabriel.montufar@up.ac.pa</w:t>
      </w:r>
    </w:p>
    <w:p w:rsidR="00AD65CC" w:rsidRPr="00F436BC" w:rsidRDefault="000A5A2B" w:rsidP="00F436BC">
      <w:pPr>
        <w:pStyle w:val="Heading1"/>
        <w:rPr>
          <w:rFonts w:ascii="Arial" w:hAnsi="Arial"/>
        </w:rPr>
      </w:pPr>
      <w:r w:rsidRPr="00F436BC">
        <w:t>Abstract</w:t>
      </w:r>
    </w:p>
    <w:p w:rsidR="001E223A" w:rsidRDefault="001E223A" w:rsidP="00F436BC">
      <w:pPr>
        <w:jc w:val="both"/>
        <w:rPr>
          <w:rFonts w:cs="Times New Roman"/>
          <w:b w:val="0"/>
          <w:bCs w:val="0"/>
          <w:kern w:val="0"/>
          <w:szCs w:val="24"/>
        </w:rPr>
      </w:pPr>
      <w:r>
        <w:t>Liquefaction is commonly checked as if the water table and soil state were frozen. This paper shows why that assumption can fail in a physically sharp way. The novelty is a critical water-table crossing mechanism: when a rising non-stationary water table crosses a shallow liquefiable layer, effective stress drops, CSR rises, deterministic FS falls and the computed probability of liquefaction can jump rather than drift. In the benchmark, the largest L1 crossing raises CSR by 25.3%, lowers FS by 19.7% and increases Pf by 0.149 between two adjacent time states. The mechanism is embedded in a reproducible Monte Carlo benchmark, then stress-tested against Hu case histories, Nisqually, SODO/UW and 15,890 Canterbury CPT-event states. The evidence supports a bounded claim: non-stationary groundwater can create a physical switching regime that matters for false-negative-aware screening.  Public Canterbury/EQC residential cost evidence further supports the decision scale: published regional loss ratios rise from 0.013 at MMI6 to 0.171 at MMI8, a 13.2x multiplier, so FN:FP cost ratios of 5-10 are economically plausible rather than arbitrary. It does not establish a new universal constitutive law or property-level repair-cost model.</w:t>
      </w:r>
    </w:p>
    <w:p w:rsidR="00AD65CC" w:rsidRPr="00F436BC" w:rsidRDefault="000A5A2B" w:rsidP="00F436BC">
      <w:pPr>
        <w:pStyle w:val="Heading1"/>
        <w:rPr>
          <w:rFonts w:ascii="Arial" w:hAnsi="Arial"/>
        </w:rPr>
      </w:pPr>
      <w:r w:rsidRPr="00F436BC">
        <w:t>Keywords</w:t>
      </w:r>
    </w:p>
    <w:p w:rsidR="00AD65CC" w:rsidRDefault="000A5A2B">
      <w:pPr>
        <w:pStyle w:val="Keywords"/>
      </w:pPr>
      <w:r>
        <w:t>liquefaction; geotechnical reliability; geohazard risk; groundwater; gradation; non-stationary modelling; false-negative screening; decision support; novelty</w:t>
      </w:r>
    </w:p>
    <w:p/>
    <w:p>
      <w:pPr>
        <w:jc w:val="both"/>
      </w:pPr>
      <w:r>
        <w:t>The paper is organized as a short argument: first the physical problem, then the moving-state method, then the benchmark result, then the external tests that say how far the claim can go.</w:t>
      </w:r>
    </w:p>
    <w:p w:rsidR="00AD65CC" w:rsidRPr="00F436BC" w:rsidRDefault="000A5A2B" w:rsidP="00F436BC">
      <w:pPr>
        <w:pStyle w:val="Heading1"/>
        <w:rPr>
          <w:rFonts w:ascii="Arial" w:hAnsi="Arial"/>
        </w:rPr>
      </w:pPr>
      <w:r>
        <w:t>1. Introduction</w:t>
      </w:r>
    </w:p>
    <w:p w:rsidR="00AD65CC" w:rsidRDefault="000A5A2B">
      <w:pPr>
        <w:pStyle w:val="Paragraph"/>
        <w:jc w:val="both"/>
      </w:pPr>
      <w:r>
        <w:t>A liquefaction check usually takes a snapshot: a soil profile, a water table, a shaking level and a triggering equation. That snapshot is useful, but it hides a basic physical fact. Water moves, soil fabric can change, and an engineering asset is exposed for years rather than for a single calculation. If the inputs move, the probability and the decision threshold can move with them.</w:t>
      </w:r>
    </w:p>
    <w:p w:rsidR="003B066E" w:rsidRDefault="003B066E">
      <w:pPr>
        <w:pStyle w:val="Tabletitle"/>
        <w:jc w:val="both"/>
      </w:pPr>
      <w:r>
        <w:t>Much of the recent literature already handles important pieces of this problem: probabilistic triggering, PLHA, regional mapping, groundwater uncertainty and risk-informed geotechnical decisions [7, 13, 14, 29, 33, 34, 51-54]. This paper does not replace those tools. It asks a narrower question that is easy to inspect: when groundwater and gradation are treated as changing state variables, do they change the ranking, timing and operating decision enough to matter for georisk screening?</w:t>
      </w:r>
    </w:p>
    <w:p w:rsidR="00AD65CC" w:rsidRDefault="000A5A2B">
      <w:pPr>
        <w:pStyle w:val="Paragraph"/>
      </w:pPr>
      <w:r>
        <w:t>This assumption is restrictive for geohazard risk management. Groundwater levels are influenced by climate, pumping, drainage, land-use change, coastal conditions and extreme events; therefore, hydrologic stationarity cannot be assumed without examination [18, 31]. Gradation may also change in susceptible fills, hydraulic deposits, erodible layers or zones affected by internal erosion and suffusion [23, 44, 48]. These changes do not merely alter a descriptive parameter. They modify effective stress, cyclic stress ratio, clean-sand equivalent resistance and the probability that a layer will reach a liquefaction limit state.</w:t>
      </w:r>
    </w:p>
    <w:p w:rsidR="00946BE6" w:rsidRDefault="00946BE6" w:rsidP="00946BE6">
      <w:r>
        <w:t>Geotechnical reliability provides a natural language for this problem because it connects soil variability, model uncertainty and performance probability [1, 3, 9, 30]. The approach also aligns directly with georisk assessment and management because it treats uncertainty in geomaterials, geologic processes, groundwater state and engineered-system decisions as the central object of analysis. The gap addressed here is not another fixed-condition liquefaction calculation, but the absence of an auditable reliability-updating workflow that compares stationary and non-stationary liquefaction risk under explicit groundwater and gradation scenarios.</w:t>
      </w:r>
    </w:p>
    <w:p w:rsidR="003B066E" w:rsidRDefault="003B066E" w:rsidP="00F436BC">
      <w:pPr>
        <w:jc w:val="both"/>
        <w:rPr>
          <w:rFonts w:cs="Times New Roman"/>
          <w:b w:val="0"/>
          <w:bCs w:val="0"/>
          <w:kern w:val="0"/>
          <w:szCs w:val="24"/>
        </w:rPr>
      </w:pPr>
      <w:r>
        <w:t>The paper makes four contributions. First, it identifies and quantifies a critical water-table crossing mechanism: when groundwater crosses a shallow liquefiable layer, effective-stress loss amplifies CSR and can produce an abrupt Pf jump. Second, it treats groundwater depth and gradation as auditable state variables, not background constants. Third, it supplies a runnable Monte Carlo benchmark with stationary and non-stationary ablations. Fourth, it tests the resulting screening logic with external case histories, temporal Canterbury holdouts, severity triage and repair-cost-ratio plausibility checks.</w:t>
      </w:r>
    </w:p>
    <w:p>
      <w:pPr>
        <w:jc w:val="both"/>
      </w:pPr>
      <w:r>
        <w:t>The claim is intentionally bounded. The manuscript does not claim a new constitutive law, measured gradation evolution or universal superiority of the most complex model. It claims a narrower physical result: non-stationary groundwater can behave as a switch when it crosses a shallow liquefiable layer, and that switch changes the false-negative risk that stationary screening may hide.</w:t>
      </w:r>
    </w:p>
    <w:p>
      <w:pPr>
        <w:jc w:val="center"/>
      </w:pPr>
      <w:r>
        <w:drawing>
          <wp:inline xmlns:a="http://schemas.openxmlformats.org/drawingml/2006/main" xmlns:pic="http://schemas.openxmlformats.org/drawingml/2006/picture">
            <wp:extent cx="4892040" cy="3433267"/>
            <wp:docPr id="12" name="Picture 12"/>
            <wp:cNvGraphicFramePr>
              <a:graphicFrameLocks noChangeAspect="1"/>
            </wp:cNvGraphicFramePr>
            <a:graphic>
              <a:graphicData uri="http://schemas.openxmlformats.org/drawingml/2006/picture">
                <pic:pic>
                  <pic:nvPicPr>
                    <pic:cNvPr id="0" name="fig14_evidence_claim_boundary.png"/>
                    <pic:cNvPicPr/>
                  </pic:nvPicPr>
                  <pic:blipFill>
                    <a:blip r:embed="rId19"/>
                    <a:stretch>
                      <a:fillRect/>
                    </a:stretch>
                  </pic:blipFill>
                  <pic:spPr>
                    <a:xfrm>
                      <a:off x="0" y="0"/>
                      <a:ext cx="4892040" cy="3433267"/>
                    </a:xfrm>
                    <a:prstGeom prst="rect"/>
                  </pic:spPr>
                </pic:pic>
              </a:graphicData>
            </a:graphic>
          </wp:inline>
        </w:drawing>
      </w:r>
    </w:p>
    <w:p>
      <w:pPr>
        <w:spacing w:after="0" w:before="0"/>
        <w:jc w:val="center"/>
      </w:pPr>
      <w:r>
        <w:rPr>
          <w:b/>
          <w:sz w:val="16"/>
        </w:rPr>
        <w:t>Figure 12. Reader-facing evidence boundary: what is verified, what is validated, what is decision-ready and what remains blocked.</w:t>
      </w:r>
    </w:p>
    <w:p w:rsidR="00AD65CC" w:rsidRPr="00F436BC" w:rsidRDefault="000A5A2B" w:rsidP="00F436BC">
      <w:pPr>
        <w:pStyle w:val="Heading1"/>
        <w:rPr>
          <w:rFonts w:ascii="Arial" w:hAnsi="Arial"/>
        </w:rPr>
      </w:pPr>
      <w:r>
        <w:t>2. Why a fixed liquefaction check is not enough</w:t>
      </w:r>
    </w:p>
    <w:p w:rsidR="00AD65CC" w:rsidRDefault="000A5A2B">
      <w:pPr>
        <w:pStyle w:val="Paragraph"/>
      </w:pPr>
      <w:r>
        <w:t>Liquefaction triggering is usually assessed by comparing cyclic resistance ratio, CRR, with cyclic stress ratio, CSR. Classical procedures rely on SPT, CPT or shear-wave velocity correlations and are supported by case histories [19, 24, 38, 39]. Although deterministic safety factors are useful, they hide the uncertainty in soil resistance, seismic demand, stress reduction, fines correction and model error. Reliability-based geotechnical analysis addresses this limitation by representing uncertain quantities as random variables or random fields [2, 8, 10, 26, 36, 47].</w:t>
      </w:r>
    </w:p>
    <w:p w:rsidR="00AD65CC" w:rsidRDefault="000A5A2B">
      <w:pPr>
        <w:pStyle w:val="Paragraph"/>
      </w:pPr>
      <w:r>
        <w:t>Risk-based liquefaction assessment also needs temporal structure. A probability computed at one groundwater level does not automatically describe future states of the site. Similarly, a fines correction applied to a single gradation curve may not represent a deposit affected by fines accumulation, washout or compositional change. Unsaturated and partially saturated soil mechanics emphasises the role of pore pressure, suction and water retention in effective stress, although the present benchmark remains on the saturated triggering side of the problem and uses groundwater position as the main hydraulic state variable [11, 12, 28].</w:t>
      </w:r>
    </w:p>
    <w:p w:rsidR="00AD65CC" w:rsidRDefault="000A5A2B">
      <w:pPr>
        <w:pStyle w:val="Paragraph"/>
      </w:pPr>
      <w:r>
        <w:t>From a decision perspective, the relevant question is not only whether the present-day factor of safety exceeds one. A port, coastal fill, urban lifeline or reclaimed site may require a screening indicator that can be compared across prescribed future states. The proposed benchmark therefore reports Pf(t), layer-wise and profile-wise changes in probability, and the difference between stationary and non-stationary estimates. In this paper, Pf(t) denotes the scenario-conditioned probability at a specified groundwater-depth and gradation state; it is not an annualized probability or a cumulative probability of liquefaction occurrence over the full 50-year planning horizon. This aligns with simulation-based reliability and sensitivity analysis practice [6, 25, 35, 37, 40, 41, 45].</w:t>
      </w:r>
    </w:p>
    <w:p w:rsidR="00AD65CC" w:rsidRPr="00F436BC" w:rsidRDefault="000A5A2B" w:rsidP="00F436BC">
      <w:pPr>
        <w:pStyle w:val="Heading1"/>
        <w:rPr>
          <w:rFonts w:ascii="Arial" w:hAnsi="Arial"/>
        </w:rPr>
      </w:pPr>
      <w:r>
        <w:t>3. Method: let groundwater and gradation move</w:t>
      </w:r>
    </w:p>
    <w:p w:rsidR="00AD65CC" w:rsidRDefault="000A5A2B">
      <w:pPr>
        <w:pStyle w:val="Paragraph"/>
      </w:pPr>
      <w:r>
        <w:t>For a layer at depth z and time t, liquefaction is represented by a limit-state function g(z,t). The layer is considered to liquefy when g(z,t) &lt; 0. The benchmark uses the following factor-of-safety form:</w:t>
      </w:r>
    </w:p>
    <w:p w:rsidR="00380D34" w:rsidRPr="00380D34" w:rsidRDefault="00380D34" w:rsidP="00380D34">
      <w:pPr>
        <w:pStyle w:val="Displayedequation"/>
        <w:rPr>
          <w:rFonts w:ascii="Cambria Math" w:hAnsi="Cambria Math"/>
          <w:sz w:val="22"/>
        </w:rPr>
      </w:pPr>
      <m:oMathPara>
        <m:oMath>
          <m:r>
            <w:rPr>
              <w:rFonts w:ascii="Cambria Math" w:hAnsi="Cambria Math"/>
              <w:sz w:val="22"/>
            </w:rPr>
            <m:t>g</m:t>
          </m:r>
          <m:d>
            <m:dPr>
              <m:ctrlPr>
                <w:rPr>
                  <w:rFonts w:ascii="Cambria Math" w:hAnsi="Cambria Math"/>
                  <w:i/>
                  <w:sz w:val="22"/>
                </w:rPr>
              </m:ctrlPr>
            </m:dPr>
            <m:e>
              <m:r>
                <w:rPr>
                  <w:rFonts w:ascii="Cambria Math" w:hAnsi="Cambria Math"/>
                  <w:sz w:val="22"/>
                </w:rPr>
                <m:t>z,t</m:t>
              </m:r>
            </m:e>
          </m:d>
          <m:r>
            <w:rPr>
              <w:rFonts w:ascii="Cambria Math" w:hAnsi="Cambria Math"/>
              <w:sz w:val="22"/>
            </w:rPr>
            <m:t>=FS</m:t>
          </m:r>
          <m:d>
            <m:dPr>
              <m:ctrlPr>
                <w:rPr>
                  <w:rFonts w:ascii="Cambria Math" w:hAnsi="Cambria Math"/>
                  <w:i/>
                  <w:sz w:val="22"/>
                </w:rPr>
              </m:ctrlPr>
            </m:dPr>
            <m:e>
              <m:r>
                <w:rPr>
                  <w:rFonts w:ascii="Cambria Math" w:hAnsi="Cambria Math"/>
                  <w:sz w:val="22"/>
                </w:rPr>
                <m:t>z,t</m:t>
              </m:r>
            </m:e>
          </m:d>
          <m:r>
            <w:rPr>
              <w:rFonts w:ascii="Cambria Math" w:hAnsi="Cambria Math"/>
              <w:sz w:val="22"/>
            </w:rPr>
            <m:t>-1</m:t>
          </m:r>
        </m:oMath>
      </m:oMathPara>
    </w:p>
    <w:p w:rsidR="00380D34" w:rsidRPr="00380D34" w:rsidRDefault="00380D34" w:rsidP="00380D34">
      <w:pPr>
        <w:pStyle w:val="Paragraph"/>
        <w:jc w:val="center"/>
        <w:rPr>
          <w:rFonts w:ascii="Cambria Math" w:hAnsi="Cambria Math"/>
          <w:sz w:val="22"/>
        </w:rPr>
      </w:pPr>
      <m:oMathPara>
        <m:oMath>
          <m:r>
            <w:rPr>
              <w:rFonts w:ascii="Cambria Math" w:hAnsi="Cambria Math"/>
              <w:sz w:val="22"/>
            </w:rPr>
            <m:t>FS</m:t>
          </m:r>
          <m:d>
            <m:dPr>
              <m:ctrlPr>
                <w:rPr>
                  <w:rFonts w:ascii="Cambria Math" w:hAnsi="Cambria Math"/>
                  <w:i/>
                  <w:sz w:val="22"/>
                </w:rPr>
              </m:ctrlPr>
            </m:dPr>
            <m:e>
              <m:r>
                <w:rPr>
                  <w:rFonts w:ascii="Cambria Math" w:hAnsi="Cambria Math"/>
                  <w:sz w:val="22"/>
                </w:rPr>
                <m:t>z,t</m:t>
              </m:r>
            </m:e>
          </m:d>
          <m:r>
            <w:rPr>
              <w:rFonts w:ascii="Cambria Math" w:hAnsi="Cambria Math"/>
              <w:sz w:val="22"/>
            </w:rPr>
            <m:t>=</m:t>
          </m:r>
          <m:f>
            <m:fPr>
              <m:ctrlPr>
                <w:rPr>
                  <w:rFonts w:ascii="Cambria Math" w:hAnsi="Cambria Math"/>
                  <w:i/>
                  <w:sz w:val="22"/>
                </w:rPr>
              </m:ctrlPr>
            </m:fPr>
            <m:num>
              <m:r>
                <w:rPr>
                  <w:rFonts w:ascii="Cambria Math" w:hAnsi="Cambria Math"/>
                  <w:sz w:val="22"/>
                </w:rPr>
                <m:t>CRR</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N</m:t>
                      </m:r>
                    </m:e>
                    <m:sub>
                      <m:d>
                        <m:dPr>
                          <m:ctrlPr>
                            <w:rPr>
                              <w:rFonts w:ascii="Cambria Math" w:hAnsi="Cambria Math"/>
                              <w:i/>
                              <w:sz w:val="22"/>
                            </w:rPr>
                          </m:ctrlPr>
                        </m:dPr>
                        <m:e>
                          <m:r>
                            <w:rPr>
                              <w:rFonts w:ascii="Cambria Math" w:hAnsi="Cambria Math"/>
                              <w:sz w:val="22"/>
                            </w:rPr>
                            <m:t>1,60cs</m:t>
                          </m:r>
                        </m:e>
                      </m:d>
                      <m:d>
                        <m:dPr>
                          <m:ctrlPr>
                            <w:rPr>
                              <w:rFonts w:ascii="Cambria Math" w:hAnsi="Cambria Math"/>
                              <w:i/>
                              <w:sz w:val="22"/>
                            </w:rPr>
                          </m:ctrlPr>
                        </m:dPr>
                        <m:e>
                          <m:r>
                            <w:rPr>
                              <w:rFonts w:ascii="Cambria Math" w:hAnsi="Cambria Math"/>
                              <w:sz w:val="22"/>
                            </w:rPr>
                            <m:t>t</m:t>
                          </m:r>
                        </m:e>
                      </m:d>
                    </m:sub>
                  </m:sSub>
                  <m:r>
                    <w:rPr>
                      <w:rFonts w:ascii="Cambria Math" w:hAnsi="Cambria Math"/>
                      <w:sz w:val="22"/>
                    </w:rPr>
                    <m:t>,FC</m:t>
                  </m:r>
                  <m:d>
                    <m:dPr>
                      <m:ctrlPr>
                        <w:rPr>
                          <w:rFonts w:ascii="Cambria Math" w:hAnsi="Cambria Math"/>
                          <w:i/>
                          <w:sz w:val="22"/>
                        </w:rPr>
                      </m:ctrlPr>
                    </m:dPr>
                    <m:e>
                      <m:r>
                        <w:rPr>
                          <w:rFonts w:ascii="Cambria Math" w:hAnsi="Cambria Math"/>
                          <w:sz w:val="22"/>
                        </w:rPr>
                        <m:t>t</m:t>
                      </m:r>
                    </m:e>
                  </m:d>
                </m:e>
              </m:d>
            </m:num>
            <m:den>
              <m:r>
                <w:rPr>
                  <w:rFonts w:ascii="Cambria Math" w:hAnsi="Cambria Math"/>
                  <w:sz w:val="22"/>
                </w:rPr>
                <m:t>CSR</m:t>
              </m:r>
              <m:d>
                <m:dPr>
                  <m:ctrlPr>
                    <w:rPr>
                      <w:rFonts w:ascii="Cambria Math" w:hAnsi="Cambria Math"/>
                      <w:i/>
                      <w:sz w:val="22"/>
                    </w:rPr>
                  </m:ctrlPr>
                </m:dPr>
                <m:e>
                  <m:r>
                    <w:rPr>
                      <w:rFonts w:ascii="Cambria Math" w:hAnsi="Cambria Math"/>
                      <w:sz w:val="22"/>
                    </w:rPr>
                    <m:t>PGA,z,</m:t>
                  </m:r>
                  <m:sSub>
                    <m:sSubPr>
                      <m:ctrlPr>
                        <w:rPr>
                          <w:rFonts w:ascii="Cambria Math" w:hAnsi="Cambria Math"/>
                          <w:i/>
                          <w:sz w:val="22"/>
                        </w:rPr>
                      </m:ctrlPr>
                    </m:sSubPr>
                    <m:e>
                      <m:r>
                        <w:rPr>
                          <w:rFonts w:ascii="Cambria Math" w:hAnsi="Cambria Math"/>
                          <w:sz w:val="22"/>
                        </w:rPr>
                        <m:t>z</m:t>
                      </m:r>
                    </m:e>
                    <m:sub>
                      <m:r>
                        <w:rPr>
                          <w:rFonts w:ascii="Cambria Math" w:hAnsi="Cambria Math"/>
                          <w:sz w:val="22"/>
                        </w:rPr>
                        <m:t>w</m:t>
                      </m:r>
                      <m:d>
                        <m:dPr>
                          <m:ctrlPr>
                            <w:rPr>
                              <w:rFonts w:ascii="Cambria Math" w:hAnsi="Cambria Math"/>
                              <w:i/>
                              <w:sz w:val="22"/>
                            </w:rPr>
                          </m:ctrlPr>
                        </m:dPr>
                        <m:e>
                          <m:r>
                            <w:rPr>
                              <w:rFonts w:ascii="Cambria Math" w:hAnsi="Cambria Math"/>
                              <w:sz w:val="22"/>
                            </w:rPr>
                            <m:t>t</m:t>
                          </m:r>
                        </m:e>
                      </m:d>
                    </m:sub>
                  </m:sSub>
                </m:e>
              </m:d>
              <m:r>
                <w:rPr>
                  <w:rFonts w:ascii="Cambria Math" w:hAnsi="Cambria Math"/>
                  <w:sz w:val="22"/>
                </w:rPr>
                <m:t>*MSF*epsilo</m:t>
              </m:r>
              <m:sSub>
                <m:sSubPr>
                  <m:ctrlPr>
                    <w:rPr>
                      <w:rFonts w:ascii="Cambria Math" w:hAnsi="Cambria Math"/>
                      <w:i/>
                      <w:sz w:val="22"/>
                    </w:rPr>
                  </m:ctrlPr>
                </m:sSubPr>
                <m:e>
                  <m:r>
                    <w:rPr>
                      <w:rFonts w:ascii="Cambria Math" w:hAnsi="Cambria Math"/>
                      <w:sz w:val="22"/>
                    </w:rPr>
                    <m:t>n</m:t>
                  </m:r>
                </m:e>
                <m:sub>
                  <m:r>
                    <w:rPr>
                      <w:rFonts w:ascii="Cambria Math" w:hAnsi="Cambria Math"/>
                      <w:sz w:val="22"/>
                    </w:rPr>
                    <m:t>m</m:t>
                  </m:r>
                </m:sub>
              </m:sSub>
            </m:den>
          </m:f>
        </m:oMath>
      </m:oMathPara>
    </w:p>
    <w:p w:rsidR="00AD65CC" w:rsidRDefault="000A5A2B">
      <w:pPr>
        <w:pStyle w:val="Paragraph"/>
      </w:pPr>
      <w:r>
        <w:t>Here N1,60cs is the clean-sand equivalent corrected SPT resistance, FC(t) is fines content, zw(t) is groundwater depth, PGA is peak ground acceleration, MSF is a magnitude-scaling factor and epsm is multiplicative model uncertainty. Liquefaction probability is then estimated as:</w:t>
      </w:r>
    </w:p>
    <w:p w:rsidR="00380D34" w:rsidRPr="00380D34" w:rsidRDefault="003B066E" w:rsidP="00380D34">
      <w:pPr>
        <w:pStyle w:val="Paragraph"/>
        <w:jc w:val="center"/>
        <w:rPr>
          <w:rFonts w:ascii="Cambria Math" w:hAnsi="Cambria Math"/>
          <w:sz w:val="22"/>
        </w:rPr>
      </w:pPr>
      <m:oMathPara>
        <m:oMath>
          <m:sSub>
            <m:sSubPr>
              <m:ctrlPr>
                <w:rPr>
                  <w:rFonts w:ascii="Cambria Math" w:hAnsi="Cambria Math"/>
                  <w:i/>
                  <w:sz w:val="22"/>
                </w:rPr>
              </m:ctrlPr>
            </m:sSubPr>
            <m:e>
              <m:r>
                <w:rPr>
                  <w:rFonts w:ascii="Cambria Math" w:hAnsi="Cambria Math"/>
                  <w:sz w:val="22"/>
                </w:rPr>
                <m:t>P</m:t>
              </m:r>
            </m:e>
            <m:sub>
              <m:r>
                <w:rPr>
                  <w:rFonts w:ascii="Cambria Math" w:hAnsi="Cambria Math"/>
                  <w:sz w:val="22"/>
                </w:rPr>
                <m:t>f</m:t>
              </m:r>
              <m:d>
                <m:dPr>
                  <m:ctrlPr>
                    <w:rPr>
                      <w:rFonts w:ascii="Cambria Math" w:hAnsi="Cambria Math"/>
                      <w:i/>
                      <w:sz w:val="22"/>
                    </w:rPr>
                  </m:ctrlPr>
                </m:dPr>
                <m:e>
                  <m:r>
                    <w:rPr>
                      <w:rFonts w:ascii="Cambria Math" w:hAnsi="Cambria Math"/>
                      <w:sz w:val="22"/>
                    </w:rPr>
                    <m:t>z,t</m:t>
                  </m:r>
                </m:e>
              </m:d>
            </m:sub>
          </m:sSub>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Pr</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sz w:val="22"/>
                    </w:rPr>
                    <m:t>g</m:t>
                  </m:r>
                  <m:d>
                    <m:dPr>
                      <m:ctrlPr>
                        <w:rPr>
                          <w:rFonts w:ascii="Cambria Math" w:hAnsi="Cambria Math"/>
                          <w:i/>
                          <w:sz w:val="22"/>
                        </w:rPr>
                      </m:ctrlPr>
                    </m:dPr>
                    <m:e>
                      <m:r>
                        <w:rPr>
                          <w:rFonts w:ascii="Cambria Math" w:hAnsi="Cambria Math"/>
                          <w:sz w:val="22"/>
                        </w:rPr>
                        <m:t>z,t</m:t>
                      </m:r>
                    </m:e>
                  </m:d>
                  <m:r>
                    <w:rPr>
                      <w:rFonts w:ascii="Cambria Math" w:hAnsi="Cambria Math"/>
                      <w:sz w:val="22"/>
                    </w:rPr>
                    <m:t>&lt;0</m:t>
                  </m:r>
                </m:e>
              </m:d>
            </m:e>
          </m:func>
        </m:oMath>
      </m:oMathPara>
    </w:p>
    <w:p w:rsidR="00AD65CC" w:rsidRDefault="000A5A2B">
      <w:pPr>
        <w:pStyle w:val="Paragraph"/>
      </w:pPr>
      <w:r>
        <w:t>The benchmark intentionally keeps the empirical triggering functions simple so that the effect of non-stationarity remains auditable. CSR is computed with the standard simplified stress-ratio structure, while CRR is represented by a bounded smooth relation with corrected SPT resistance. The objective is not to replace established triggering curves, but to show how they can be embedded in a time-dependent reliability calculation.</w:t>
      </w:r>
    </w:p>
    <w:p w:rsidR="00AD65CC" w:rsidRDefault="000A5A2B">
      <w:pPr>
        <w:pStyle w:val="Paragraph"/>
        <w:jc w:val="both"/>
      </w:pPr>
      <w:r>
        <w:t>The detailed random-variable list, synthetic profile and scenario definitions are supplied in the supplementary material and in the CSV files. The main text keeps the equations and the decision logic so the reader can follow the physics without stopping at every input table.</w:t>
      </w:r>
    </w:p>
    <w:p w:rsidR="00AD65CC" w:rsidRDefault="00AD65CC"/>
    <w:p w:rsidR="00AD65CC" w:rsidRDefault="000A5A2B">
      <w:pPr>
        <w:pStyle w:val="Paragraph"/>
      </w:pPr>
      <w:r>
        <w:t>The four-layer synthetic profile in Table 3 represents a shallow deposit with decreasing susceptibility with depth. It is not a hidden calibration case; all parameters are disclosed so that reviewers can rerun or modify the benchmark.</w:t>
      </w:r>
    </w:p>
    <w:p w:rsidR="00AD65CC" w:rsidRDefault="00AD65CC"/>
    <w:p w:rsidR="00AD65CC" w:rsidRDefault="000A5A2B">
      <w:pPr>
        <w:pStyle w:val="Paragraph"/>
      </w:pPr>
      <w:r>
        <w:t>The groundwater and gradation scenarios in Table 4 define the non-stationary dimension. The extreme scenario introduces a discrete groundwater rise after year 30, while the gradation scenarios represent constant, accumulating and washing fines contents.</w:t>
      </w:r>
    </w:p>
    <w:p w:rsidR="00AD65CC" w:rsidRDefault="00AD65CC"/>
    <w:p w:rsidR="00AD65CC" w:rsidRPr="00F436BC" w:rsidRDefault="000A5A2B" w:rsidP="00F436BC">
      <w:pPr>
        <w:pStyle w:val="Heading1"/>
        <w:rPr>
          <w:rFonts w:ascii="Arial" w:hAnsi="Arial"/>
        </w:rPr>
      </w:pPr>
      <w:r>
        <w:t>4. What changes when the state variables move</w:t>
      </w:r>
    </w:p>
    <w:p w:rsidR="00946BE6" w:rsidRDefault="00946BE6" w:rsidP="00946BE6">
      <w:r>
        <w:t>The complete benchmark contains 1,248 layer-time-scenario records generated with 12,000 Monte Carlo samples for each state. The CSV files, Python scripts, README and regenerated figures are provided as Online Resource 1. The results are reported as georisk decision diagnostics: current Pf supports present serviceability screening, maximum Pf supports horizon planning, threshold-crossing time supports monitoring escalation, and Delta Pf identifies cases where stationary analysis materially changes priority ranking. Fig. 1 shows the time evolution of layer-wise non-stationary liquefaction probability for the extreme groundwater scenario with fines accumulation.</w:t>
      </w:r>
    </w:p>
    <w:p>
      <w:pPr/>
      <w:r>
        <w:t>The central physical result is not merely that probabilities change with time. It is that the change becomes sharp when the water table crosses a susceptible layer. Before the crossing, pore pressure does not act through the full layer thickness. After the crossing, effective stress drops inside the layer, so the simplified CSR term rises through sigma_v/sigma_v prime. In the extreme scenario, the L1 crossing from 2.21 m to 1.25 m raises CSR by 25.3%, lowers deterministic FS by 19.7% and increases Pf by 0.149 for fines accumulation. That is the physical switch tested by the benchmark.</w:t>
      </w:r>
    </w:p>
    <w:p>
      <w:pPr/>
      <w:r>
        <w:drawing>
          <wp:inline xmlns:a="http://schemas.openxmlformats.org/drawingml/2006/main" xmlns:pic="http://schemas.openxmlformats.org/drawingml/2006/picture">
            <wp:extent cx="5897880" cy="3931920"/>
            <wp:docPr id="15" name="Picture 15"/>
            <wp:cNvGraphicFramePr>
              <a:graphicFrameLocks noChangeAspect="1"/>
            </wp:cNvGraphicFramePr>
            <a:graphic>
              <a:graphicData uri="http://schemas.openxmlformats.org/drawingml/2006/picture">
                <pic:pic>
                  <pic:nvPicPr>
                    <pic:cNvPr id="0" name="fig15_critical_water_table_crossing_mechanism.png"/>
                    <pic:cNvPicPr/>
                  </pic:nvPicPr>
                  <pic:blipFill>
                    <a:blip r:embed="rId22"/>
                    <a:stretch>
                      <a:fillRect/>
                    </a:stretch>
                  </pic:blipFill>
                  <pic:spPr>
                    <a:xfrm>
                      <a:off x="0" y="0"/>
                      <a:ext cx="5897880" cy="3931920"/>
                    </a:xfrm>
                    <a:prstGeom prst="rect"/>
                  </pic:spPr>
                </pic:pic>
              </a:graphicData>
            </a:graphic>
          </wp:inline>
        </w:drawing>
      </w:r>
    </w:p>
    <w:p>
      <w:pPr/>
      <w:r>
        <w:t>Figure 15. Critical water-table crossing mechanism. The same groundwater transition that crosses L1 lowers effective stress, raises CSR, lowers FS and produces an abrupt Pf jump. Gradation trajectories modulate the resistance side, but the switch is the hydraulic crossing itself.</w:t>
      </w:r>
    </w:p>
    <w:p w:rsidR="00AD65CC" w:rsidRDefault="000A5A2B">
      <w:pPr>
        <w:pStyle w:val="Paragraph"/>
      </w:pPr>
      <w:r>
        <w:t>The main scenario-level outputs are summarised in Table 5. The extreme groundwater scenario is consistently the most severe. The largest maximum probability occurs under fines washout because the clean-sand-equivalent correction decreases when fines are removed, reducing the benchmark CRR. This result is not a universal physical claim; it is a transparent consequence of the selected empirical correction and is therefore reported as a sensitivity result rather than a field conclusion.</w:t>
      </w:r>
    </w:p>
    <w:p w:rsidR="00AD65CC" w:rsidRDefault="00AD65CC"/>
    <w:p w:rsidR="00AD65CC" w:rsidRDefault="000A5A2B">
      <w:pPr>
        <w:pStyle w:val="Paragraph"/>
      </w:pPr>
      <w:r>
        <w:t>A practical implication is that deterministic and stationary-probabilistic checks can understate the computed scenario-conditioned probability for selected states. Table 6 compares stationary and non-stationary profile-average screening indices at selected years for the extreme scenario and fines accumulation. The profile-average value is a compact diagnostic index, not the probability of system failure of the full soil column. The non-stationary estimate departs sharply after the extreme groundwater shift, which is precisely the behaviour that a state-dependent geohazard screening tool should reveal.</w:t>
      </w:r>
    </w:p>
    <w:p w:rsidR="00AD65CC" w:rsidRDefault="00AD65CC"/>
    <w:p w:rsidR="00AD65CC" w:rsidRPr="00F436BC" w:rsidRDefault="000A5A2B" w:rsidP="00F436BC">
      <w:pPr>
        <w:pStyle w:val="Heading1"/>
        <w:rPr>
          <w:rFonts w:ascii="Arial" w:hAnsi="Arial"/>
        </w:rPr>
      </w:pPr>
      <w:r>
        <w:t>5. Validation, decision rules and claim boundary</w:t>
      </w:r>
    </w:p>
    <w:p w:rsidR="00AD65CC" w:rsidRDefault="000A5A2B">
      <w:pPr>
        <w:pStyle w:val="Paragraph"/>
      </w:pPr>
      <w:r>
        <w:t>The benchmark was designed so that a reviewer can inspect every transformation from input assumptions to reported probabilities. The script fixes the random seed, writes the layer profile to a separate CSV file, reports layer-time-scenario outputs, and stores profile-level comparisons in a separate table. This structure avoids a common weakness in methodological geotechnical papers: results are not only shown as final plots but can be traced back to the random variables, scenario definitions and intermediate quantities used to compute the limit state. The supplied files therefore support both replication and controlled modification of the benchmark.</w:t>
      </w:r>
    </w:p>
    <w:p w:rsidR="00AD65CC" w:rsidRDefault="000A5A2B">
      <w:pPr>
        <w:pStyle w:val="Paragraph"/>
      </w:pPr>
      <w:r>
        <w:t>A second control is the explicit comparison between stationary and non-stationary probabilities. The stationary calculation keeps groundwater and fines content at the initial state while still propagating resistance, demand and model uncertainty. The non-stationary calculation changes the scenario means before sampling. This separation is important because it isolates the effect of changing environmental and material state variables from ordinary Monte Carlo variability. It also allows the difference Delta Pf to be interpreted as a scenario effect rather than as a replacement for conventional reliability analysis.</w:t>
      </w:r>
    </w:p>
    <w:p w:rsidR="00D24E97" w:rsidRDefault="000E1204">
      <w:pPr>
        <w:pStyle w:val="Paragraph"/>
      </w:pPr>
      <w:r>
        <w:t>This comparison is treated as an ablation rather than as a cosmetic scenario plot. M0 removes both groundwater and gradation updating, M1 adds groundwater updating alone, M2 adds groundwater plus gradation proxy updating, and M3 preserves the full non-stationary decision operator. The reported AUC, Brier and out-of-sample diagnostics are therefore interpreted as tests of the added state variables, not only as reproducibility checks.</w:t>
      </w:r>
    </w:p>
    <w:p w:rsidR="00AD65CC" w:rsidRDefault="000A5A2B">
      <w:pPr>
        <w:pStyle w:val="Paragraph"/>
      </w:pPr>
      <w:r>
        <w:t>A third control is the deterministic factor of safety reported alongside probability. The deterministic value is not treated as the decision metric, but it helps identify whether the probabilistic result is driven by a clearly unstable mean state or by uncertainty around a marginal state. In the most severe cases, the minimum deterministic factor of safety falls below one; in less severe cases, probability may still be non-negligible because uncertainty spreads the limit-state margin across the failure boundary. This combined reporting is useful for engineering review because it prevents the probability curve from becoming a black-box output.</w:t>
      </w:r>
    </w:p>
    <w:p w:rsidR="00AD65CC" w:rsidRDefault="000A5A2B">
      <w:pPr>
        <w:pStyle w:val="Paragraph"/>
      </w:pPr>
      <w:r>
        <w:t>The selected fines-content scenarios also serve as an internal sensitivity check. Fines accumulation and fines washout should not be read as universal physical trends. Their purpose is to test whether the workflow responds to a compositional variable that enters the clean-sand-equivalent resistance correction. The benchmark shows that a gradation pathway can change the relative severity of scenarios even when the groundwater path is unchanged. That observation is directly relevant to hydraulic fills, reclaimed land, erodible deposits and sites where internal instability or sediment migration is plausible.</w:t>
      </w:r>
    </w:p>
    <w:p w:rsidR="00946BE6" w:rsidRDefault="00946BE6" w:rsidP="00946BE6">
      <w:pPr>
        <w:jc w:val="both"/>
      </w:pPr>
      <w:r>
        <w:t>For georisk readers, the output is a decision aid: which layers escalate, when thresholds are crossed, and when a conservative screen is justified.</w:t>
      </w:r>
    </w:p>
    <w:p w:rsidR="00AD65CC" w:rsidRDefault="000A5A2B">
      <w:pPr>
        <w:pStyle w:val="Paragraph"/>
        <w:jc w:val="both"/>
      </w:pPr>
      <w:r>
        <w:t>With monitoring data, the same workflow can be recalibrated. Without those data, it remains a transparent screening benchmark.</w:t>
      </w:r>
    </w:p>
    <w:p w:rsidR="00AD65CC" w:rsidRDefault="000A5A2B">
      <w:pPr>
        <w:pStyle w:val="Paragraph"/>
        <w:jc w:val="both"/>
      </w:pPr>
      <w:r>
        <w:t>The main limitation is the absence of a calibrated vertical random field. The supplement brackets this uncertainty; design use still requires site data.</w:t>
      </w:r>
    </w:p>
    <w:p w:rsidR="00946BE6" w:rsidRDefault="00946BE6" w:rsidP="00946BE6">
      <w:r>
        <w:t>The benchmark is therefore best understood as an auditable georisk experiment rather than a fixed-condition screening exercise. Its value lies in showing that, for the prescribed scenarios and selected triggering formulation, non-stationary state variables can substantially change computed probability trends, rank order and escalation timing within the benchmark assumptions. The results support considering non-stationary groundwater and gradation scenarios as risk-management diagnostics, pending site-specific calibration before project use.</w:t>
      </w:r>
    </w:p>
    <w:p w:rsidR="004457B8" w:rsidRDefault="00554E27">
      <w:pPr>
        <w:pStyle w:val="Paragraph"/>
        <w:jc w:val="both"/>
      </w:pPr>
      <w:r>
        <w:t>The reproducibility controls are reported in the supplementary material and in the public repository. In the main text, the important point is simple: every figure and validation table is generated by a named script, and the raw DesignSafe files are either included or downloaded by a documented gate.</w:t>
      </w:r>
    </w:p>
    <w:p w:rsidR="00AD65CC" w:rsidRDefault="000A5A2B">
      <w:pPr>
        <w:pStyle w:val="Paragraph"/>
      </w:pPr>
      <w:r>
        <w:t>Monte Carlo convergence and high-Pf stability were evaluated using approximate 95% binomial confidence intervals for each Pf estimate and repeated-sample checks for the most severe state. This check does not prove site validity, but it shows that the high Pf values are not a random-sampling artefact of the selected sample size.</w:t>
      </w:r>
    </w:p>
    <w:p w:rsidR="004457B8" w:rsidRDefault="00554E27">
      <w:pPr>
        <w:pStyle w:val="Paragraph"/>
        <w:jc w:val="both"/>
      </w:pPr>
      <w:r>
        <w:t>The Monte Carlo convergence details are moved to the supplement. The main conclusion is that the severe-state probability estimates remain stable enough for screening comparisons at the reported sample size.</w:t>
      </w:r>
    </w:p>
    <w:p w:rsidR="00AD65CC" w:rsidRDefault="000A5A2B">
      <w:pPr>
        <w:pStyle w:val="Paragraph"/>
      </w:pPr>
      <w:r>
        <w:t>The convergence pattern in Table 8 supports the interpretation that the severe-state probability is driven by the scenario definition and layer properties, not by insufficient Monte Carlo sampling. The remaining scientific limitation is therefore not numerical instability, but the intentionally synthetic nature of the benchmark; this limitation is disclosed in the discussion and data statement.</w:t>
      </w:r>
    </w:p>
    <w:p w:rsidR="00AD65CC" w:rsidRPr="00F436BC" w:rsidRDefault="000A5A2B" w:rsidP="00F436BC">
      <w:pPr>
        <w:pStyle w:val="Heading2"/>
        <w:rPr>
          <w:rFonts w:ascii="Arial" w:hAnsi="Arial"/>
        </w:rPr>
      </w:pPr>
      <w:r>
        <w:t>5.1 External trend check</w:t>
      </w:r>
    </w:p>
    <w:p w:rsidR="00AD65CC" w:rsidRDefault="000A5A2B">
      <w:pPr>
        <w:pStyle w:val="Paragraph"/>
        <w:jc w:val="both"/>
      </w:pPr>
      <w:r>
        <w:t>Because the benchmark is synthetic, external checks are needed. The Hu, Nisqually, SODO/UW and Canterbury tests are therefore reported separately from the synthetic scenario results.</w:t>
      </w:r>
    </w:p>
    <w:p>
      <w:pPr>
        <w:pStyle w:val="Paragraph"/>
      </w:pPr>
      <w:r>
        <w:t>A separate field-regime gate was also tested and intentionally kept as a guardrail: a simple hydraulic-leverage-plus-CPT-fabric index did not explain Canterbury false negatives by itself. This negative result prevents the paper from overselling the mechanism as a universal field classifier. The physical switch is demonstrated in the controlled benchmark; the field validations support screening discipline and claim boundaries.</w:t>
      </w:r>
    </w:p>
    <w:p w:rsidR="00AD65CC" w:rsidRDefault="000A5A2B">
      <w:pPr>
        <w:pStyle w:val="Paragraph"/>
      </w:pPr>
      <w:r>
        <w:t>The second external anchor is fines-content sensitivity. Fines content affects liquefaction triggering correlations and can change the clean-sand equivalent resistance used by simplified procedures. Site and method comparisons in the liquefaction literature show that fines content and plasticity assumptions can substantially alter liquefaction potential estimates [27, 49]. The benchmark therefore tests both fines accumulation and fines washout. These pathways should be interpreted as scenario variables linked to sedimentation, erosion, hydraulic fills, internal migration of particles and anthropogenic ground modification, not as universal predictions for all deposits.</w:t>
      </w:r>
    </w:p>
    <w:p w:rsidR="00AD65CC" w:rsidRDefault="000A5A2B">
      <w:pPr>
        <w:pStyle w:val="Paragraph"/>
      </w:pPr>
      <w:r>
        <w:t>The third external anchor is the need for probabilistic regional or infrastructure-scale screening. Current probabilistic liquefaction studies increasingly propagate uncertainty in subsurface conditions, groundwater, soil behaviour and model form for regional or distributed assets [14, 20, 46]. The benchmark aligns with that direction by producing probability time series, uncertainty intervals and a profile-level comparison instead of a single deterministic pass/fail result. It remains simpler than a regional geostatistical model, but it is intentionally positioned as a reproducible intermediate benchmark for non-stationary risk screening.</w:t>
      </w:r>
    </w:p>
    <w:p w:rsidR="00AD65CC" w:rsidRPr="00F436BC" w:rsidRDefault="000A5A2B" w:rsidP="00F436BC">
      <w:pPr>
        <w:pStyle w:val="Heading2"/>
        <w:rPr>
          <w:rFonts w:ascii="Arial" w:hAnsi="Arial"/>
        </w:rPr>
      </w:pPr>
      <w:r>
        <w:t>5.2 Sensitivity and artefact control</w:t>
      </w:r>
    </w:p>
    <w:p w:rsidR="00AD65CC" w:rsidRDefault="000A5A2B">
      <w:pPr>
        <w:pStyle w:val="Paragraph"/>
      </w:pPr>
      <w:r>
        <w:t>A final diagnostic issue is whether the high probabilities in the extreme scenario are artefacts of the chosen parameterisation. To address this, the benchmark includes a rank-correlation sensitivity check over all layer-time-scenario records. The analysis is not presented as a substitute for a full variance-based sensitivity design; rather, it is a transparent diagnostic that identifies which reported state variables most strongly co-vary with the non-stationary probability of liquefaction. This addresses the methodological concern that the output might be dominated by a hidden numerical accident rather than by interpretable resistance and demand quantities.</w:t>
      </w:r>
    </w:p>
    <w:p w:rsidR="00AD65CC" w:rsidRDefault="000A5A2B">
      <w:pPr>
        <w:pStyle w:val="Paragraph"/>
      </w:pPr>
      <w:r>
        <w:t>The combined diagnostics from confidence intervals, repeated-sample convergence, external trend checks and rank sensitivity show that the benchmark is reproducible, internally consistent and directionally plausible within its assumptions. It remains explicit about its synthetic status while providing computational diagnostics that allow readers to reproduce, criticise and extend the workflow.</w:t>
      </w:r>
    </w:p>
    <w:p w:rsidR="000A5A2B" w:rsidRPr="00F436BC" w:rsidRDefault="000A5A2B" w:rsidP="00F436BC">
      <w:pPr>
        <w:pStyle w:val="Heading2"/>
        <w:rPr>
          <w:rFonts w:ascii="Arial" w:hAnsi="Arial"/>
        </w:rPr>
      </w:pPr>
      <w:r>
        <w:t>5.3 Case-history sanity check</w:t>
      </w:r>
    </w:p>
    <w:p w:rsidR="000A5A2B" w:rsidRDefault="000A5A2B" w:rsidP="000A5A2B">
      <w:pPr>
        <w:pStyle w:val="Paragraph"/>
        <w:jc w:val="both"/>
      </w:pPr>
      <w:r>
        <w:t>An external trend-consistency check with the Hu et al. case-history dataset tests whether demand, resistance and groundwater indicators rank liquefied cases above non-liquefied cases. It is a compatibility check, not site calibration.</w:t>
      </w:r>
    </w:p>
    <w:p w:rsidR="000A5A2B" w:rsidRDefault="000A5A2B" w:rsidP="000A5A2B"/>
    <w:p w:rsidR="00731CB2" w:rsidRDefault="00731CB2">
      <w:pPr>
        <w:pStyle w:val="Paragraph"/>
      </w:pPr>
      <w:r>
        <w:t>The external check was extended beyond rank AUC by adding five-fold calibrated Brier scores, probability-calibration bins and transparent confusion-matrix diagnostics. A static proxy version of the benchmark limit-state was also applied to the Hu et al. cases where CSR, resistance and fines-content data were available. These Hu et al. and Wenchuan analyses are retained as external case-history compatibility checks: they evaluate whether demand, resistance and groundwater indicators rank observed liquefied cases above non-liquefied cases, but they do not constitute a calibrated non-stationary field application.</w:t>
      </w:r>
    </w:p>
    <w:p w:rsidR="004457B8" w:rsidRDefault="00554E27">
      <w:pPr>
        <w:pStyle w:val="Paragraph"/>
      </w:pPr>
      <w:r>
        <w:t>Detailed external discrimination, five-fold calibration and static compatibility diagnostics are reported in Table 12, and expanded external compatibility metrics are reported in Table 15. Table 14 reports the vertical-dependence sensitivity used to distinguish profile-average probability from system-failure probability. Their role is external compatibility and dependence-sensitivity checking, not site-calibrated validation of the synthetic benchmark.</w:t>
      </w:r>
    </w:p>
    <w:p w:rsidR="000A5A2B" w:rsidRDefault="000A5A2B" w:rsidP="000A5A2B"/>
    <w:p w:rsidR="00CD5D77" w:rsidRDefault="00CD5D77" w:rsidP="00F436BC">
      <w:pPr>
        <w:pStyle w:val="Paragraph"/>
        <w:rPr>
          <w:rFonts w:cs="Arial"/>
        </w:rPr>
      </w:pPr>
      <w:r>
        <w:t>The standard SPT model-form comparison is reported in Table 13. In the reproducibility package, the BI14 SPT curve is computed through liquepy when available. The same output files also report a BI14 median-parameter variant, FS scale ratios, and an explicit availability table for BI16, Cetin, Moss/CPT and Kayen/Vs alternatives so that unavailable exact methods are not silently renamed or substituted.</w:t>
      </w:r>
    </w:p>
    <w:p w:rsidR="008963EB" w:rsidRDefault="00F31386">
      <w:pPr>
        <w:pStyle w:val="Paragraph"/>
      </w:pPr>
      <w:r>
        <w:t>Supplementary Table S2 provides the extended standard-model comparison details, Supplementary Table S3 reports the vertical-dependence sensitivity outputs, and Supplementary Table S4 reports the expanded external compatibility metrics. These supplementary tables are cross-referenced here to connect the manuscript diagnostics with the online resource files.</w:t>
      </w:r>
    </w:p>
    <w:p w:rsidR="00731CB2" w:rsidRDefault="00731CB2" w:rsidP="00F436BC">
      <w:pPr>
        <w:pStyle w:val="Heading2"/>
        <w:rPr>
          <w:rFonts w:ascii="Arial" w:hAnsi="Arial"/>
        </w:rPr>
      </w:pPr>
      <w:r>
        <w:t>5.4 Site extension and out-of-sample stress tests</w:t>
      </w:r>
    </w:p>
    <w:p w:rsidR="00731CB2" w:rsidRDefault="00731CB2" w:rsidP="00F436BC">
      <w:pPr>
        <w:pStyle w:val="Paragraph"/>
        <w:rPr>
          <w:rFonts w:cs="Arial"/>
        </w:rPr>
      </w:pPr>
      <w:r>
        <w:t>A documented-site extension was added using the DesignSafe PRJ-3758 Nisqually CPT case-history dataset. The extension normalises 24 CPT workbooks and Summary Table S1 into site-profile, groundwater, gradation-status and event-observation CSV files. The groundwater module fits a trajectory with trend, annual sine/cosine terms and an event indicator, and Fig. 6 reports observed water-table points, the fitted mean curve, a 95% interval and the 28 February 2001 earthquake date. Because PRJ-3758 does not include repeated FC/D50 measurements, the gradation module is explicitly marked as baseline uncertainty/proxy information rather than calibrated temporal gradation evolution.</w:t>
      </w:r>
    </w:p>
    <w:p w:rsidR="000042A0" w:rsidRDefault="000042A0" w:rsidP="00F436BC">
      <w:pPr>
        <w:pStyle w:val="Paragraph"/>
        <w:jc w:val="both"/>
        <w:rPr>
          <w:rFonts w:cs="Arial"/>
        </w:rPr>
      </w:pPr>
      <w:r>
        <w:t>The validation protocol is out-of-sample: Nisqually uses leave-one-site-family-out testing, SODO/UW is an adverse holdout, and Canterbury is never used to fit the Nisqually-trained external-transfer models.</w:t>
      </w:r>
    </w:p>
    <w:p w:rsidR="003B066E" w:rsidRDefault="003B066E" w:rsidP="000A5A2B">
      <w:pPr>
        <w:jc w:val="both"/>
      </w:pPr>
      <w:r>
        <w:t>The Canterbury extension now has three layers of evidence: a transparent three-event CPT example, a 15,890-state multi-site transfer test, and the new leave-one-earthquake-out temporal holdout. The detailed site plots are kept in the supplement; the main text reports the decision consequences.</w:t>
      </w: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DB1D60" w:rsidRDefault="00DB1D60" w:rsidP="000A5A2B">
      <w:pPr>
        <w:rPr>
          <w:rFonts w:eastAsiaTheme="majorEastAsia" w:cs="Arial"/>
          <w:b/>
          <w:bCs/>
          <w:color w:val="000000"/>
          <w:sz w:val="23"/>
          <w:szCs w:val="26"/>
        </w:rPr>
      </w:pPr>
    </w:p>
    <w:p w:rsidR="001E223A" w:rsidRDefault="001E223A"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rPr>
          <w:rFonts w:eastAsiaTheme="majorEastAsia" w:cs="Arial"/>
          <w:b/>
          <w:bCs/>
          <w:color w:val="000000"/>
          <w:sz w:val="23"/>
          <w:szCs w:val="26"/>
        </w:rPr>
      </w:pPr>
    </w:p>
    <w:p w:rsidR="000042A0" w:rsidRDefault="000042A0" w:rsidP="000A5A2B">
      <w:pPr>
        <w:pStyle w:val="Heading2"/>
        <w:rPr>
          <w:rFonts w:eastAsiaTheme="majorEastAsia"/>
          <w:color w:val="000000"/>
          <w:sz w:val="23"/>
          <w:szCs w:val="26"/>
        </w:rPr>
      </w:pPr>
      <w:r>
        <w:t>5.5 Physical meaning of gradation scenarios</w:t>
      </w:r>
    </w:p>
    <w:p w:rsidR="000A5A2B" w:rsidRDefault="000A5A2B" w:rsidP="000A5A2B">
      <w:pPr>
        <w:pStyle w:val="Paragraph"/>
      </w:pPr>
      <w:r>
        <w:t>The gradation scenarios should be read as prescribed physical states rather than as a stand-alone sediment-transport model. The fines-accumulation path represents mechanisms such as sedimentation, hydraulic fill placement, internal particle migration toward a layer, clogging or progressive inclusion of finer material. The fines-washout path represents erosion, seepage-driven migration, loss of fines during extreme hydraulic gradients or disturbance of a loose deposit. The constant-gradation path is the neutral baseline against which these perturbations are compared.</w:t>
      </w:r>
    </w:p>
    <w:p w:rsidR="000A5A2B" w:rsidRDefault="000A5A2B" w:rsidP="000A5A2B">
      <w:pPr>
        <w:pStyle w:val="Paragraph"/>
      </w:pPr>
      <w:r>
        <w:t>This interpretation limits the claim to what the benchmark actually computes. The paper does not predict future gradation evolution from first principles; it evaluates how a plausible prescribed evolution, if inferred from monitoring, maintenance history or site interpretation, changes liquefaction probability through the clean-sand equivalent resistance and the demand-resistance margin. This framing is important because it keeps the contribution in the domain of reliability screening and scenario analysis, while leaving site-specific transport or erosion calibration as a later task.</w:t>
      </w:r>
    </w:p>
    <w:p>
      <w:pPr>
        <w:pStyle w:val="Heading2"/>
      </w:pPr>
      <w:r>
        <w:t>5.6 Novelty and claim boundary</w:t>
      </w:r>
    </w:p>
    <w:p>
      <w:pPr/>
      <w:r>
        <w:t>The MRNB-NC evidence hierarchy used here is: (i) code and equation verification for internal correctness; (ii) synthetic benchmark scenarios for mechanism isolation; (iii) external trend-consistency and case-history checks for plausibility; (iv) out-of-sample stress tests for bounded predictive behavior; and (v) explicitly blocked claims where the evidence does not support universal model superiority or design-level validation.</w:t>
      </w:r>
    </w:p>
    <w:p>
      <w:pPr/>
      <w:r>
        <w:t>These controls define the editorial novelty claim as a change in georisk decision interpretation: the manuscript tests when non-stationary groundwater and gradation evolution alter liquefaction probability, ranking and screening decisions relative to stationary assessment. The novelty is not the existence of a reproducible repository or a workflow; those elements are treated as audit mechanisms supporting the scientific claim.</w:t>
      </w:r>
    </w:p>
    <w:p>
      <w:pPr>
        <w:jc w:val="both"/>
      </w:pPr>
      <w:r>
        <w:t>The detailed operating-policy table is supplied in the supplementary material. The main decision rule is retained in prose: use M0 as the calibration baseline, use non-stationary forms to test whether moving groundwater or gradation changes the decision, and use conservative screening only when the false-negative cost justifies more false alarms.</w:t>
      </w:r>
    </w:p>
    <w:p>
      <w:pPr>
        <w:pStyle w:val="Heading2"/>
      </w:pPr>
      <w:r>
        <w:t>5.7 What the engineer should do with the result</w:t>
      </w:r>
    </w:p>
    <w:p>
      <w:pPr>
        <w:jc w:val="both"/>
      </w:pPr>
      <w:r>
        <w:t>Recent Georisk work already treats liquefaction and geotechnical risk as spatially uncertain and decision-sensitive [51-54]. This paper adds a reproducible way to test whether moving groundwater and gradation change the operating decision.</w:t>
      </w:r>
    </w:p>
    <w:p>
      <w:pPr/>
      <w:r>
        <w:t>The Hu et al. event-level validation provides an additional independent screen on transferability. In this protocol, each earthquake is held out in turn, the screening score is calibrated on all other earthquakes, and predictions are made for the held-out event. The combined screening score achieves Brier = 0.194 and AUC = 0.753 across 232 held-out predictions from 15 earthquakes. This result strengthens external screening evidence while preserving the claim boundary: it validates event-level screening transfer, not a site-specific design probability or the full non-stationary time-update operator.</w:t>
      </w:r>
    </w:p>
    <w:p>
      <w:pPr>
        <w:jc w:val="both"/>
      </w:pPr>
      <w:r>
        <w:t>A final decision-oriented stress test was added to avoid tuning operating thresholds on the external domain being evaluated. Thresholds were selected only on the Nisqually leave-one-family validation domain and then transferred unchanged to SODO/UW and Canterbury. At a false-negative:false-positive cost ratio of 10, the locked M1 groundwater-only rule used a threshold of 0.075 and reduced Canterbury false negatives from 99 under the locked M0 rule to 9, while increasing false positives from 6765 to 7535. The full-domain external comparison, restricted to models available in both SODO/UW and Canterbury, still favoured M0. This result strengthens the decision claim because it validates a pre-specified false-negative management rule, but it also preserves the claim boundary: the non-stationary model is useful for domain-conditional screening, not universally superior probability calibration.</w:t>
      </w:r>
    </w:p>
    <w:p>
      <w:pPr>
        <w:jc w:val="both"/>
      </w:pPr>
      <w:r>
        <w:t>The strongest new temporal validation is the Canterbury leave-one-event test. Each earthquake is removed in turn; the model learns from the other two events and predicts the held-out event. This is closer to the way a future earthquake is encountered: the event is not available during fitting. Across 15,890 held-out event states and 63,560 model predictions, M2 produced the best pooled Brier score and AUC. Event-wise operating decisions remain mixed, so the result supports temporal transfer and rank discrimination, not universal dominance.</w:t>
      </w:r>
    </w:p>
    <w:p>
      <w:pPr>
        <w:spacing w:after="0" w:before="0"/>
      </w:pPr>
      <w:r>
        <w:rPr>
          <w:b/>
          <w:sz w:val="16"/>
        </w:rPr>
        <w:t>Table 20. Canterbury leave-one-earthquake-out temporal validation summary.</w:t>
      </w:r>
    </w:p>
    <w:tbl>
      <w:tblPr>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after="0" w:before="0"/>
            </w:pPr>
            <w:r>
              <w:rPr>
                <w:b/>
                <w:sz w:val="12"/>
              </w:rPr>
              <w:t>Result level</w:t>
            </w:r>
          </w:p>
        </w:tc>
        <w:tc>
          <w:tcPr>
            <w:tcW w:type="dxa" w:w="1215"/>
          </w:tcPr>
          <w:p>
            <w:pPr>
              <w:spacing w:after="0" w:before="0"/>
            </w:pPr>
            <w:r>
              <w:rPr>
                <w:b/>
                <w:sz w:val="12"/>
              </w:rPr>
              <w:t>Best model</w:t>
            </w:r>
          </w:p>
        </w:tc>
        <w:tc>
          <w:tcPr>
            <w:tcW w:type="dxa" w:w="1215"/>
          </w:tcPr>
          <w:p>
            <w:pPr>
              <w:spacing w:after="0" w:before="0"/>
            </w:pPr>
            <w:r>
              <w:rPr>
                <w:b/>
                <w:sz w:val="12"/>
              </w:rPr>
              <w:t>Brier</w:t>
            </w:r>
          </w:p>
        </w:tc>
        <w:tc>
          <w:tcPr>
            <w:tcW w:type="dxa" w:w="1215"/>
          </w:tcPr>
          <w:p>
            <w:pPr>
              <w:spacing w:after="0" w:before="0"/>
            </w:pPr>
            <w:r>
              <w:rPr>
                <w:b/>
                <w:sz w:val="12"/>
              </w:rPr>
              <w:t>AUC</w:t>
            </w:r>
          </w:p>
        </w:tc>
        <w:tc>
          <w:tcPr>
            <w:tcW w:type="dxa" w:w="1215"/>
          </w:tcPr>
          <w:p>
            <w:pPr>
              <w:spacing w:after="0" w:before="0"/>
            </w:pPr>
            <w:r>
              <w:rPr>
                <w:b/>
                <w:sz w:val="12"/>
              </w:rPr>
              <w:t>Held-out states</w:t>
            </w:r>
          </w:p>
        </w:tc>
        <w:tc>
          <w:tcPr>
            <w:tcW w:type="dxa" w:w="1215"/>
          </w:tcPr>
          <w:p>
            <w:pPr>
              <w:spacing w:after="0" w:before="0"/>
            </w:pPr>
            <w:r>
              <w:rPr>
                <w:b/>
                <w:sz w:val="12"/>
              </w:rPr>
              <w:t>Key support</w:t>
            </w:r>
          </w:p>
        </w:tc>
        <w:tc>
          <w:tcPr>
            <w:tcW w:type="dxa" w:w="1215"/>
          </w:tcPr>
          <w:p>
            <w:pPr>
              <w:spacing w:after="0" w:before="0"/>
            </w:pPr>
            <w:r>
              <w:rPr>
                <w:b/>
                <w:sz w:val="12"/>
              </w:rPr>
              <w:t>Key limit</w:t>
            </w:r>
          </w:p>
        </w:tc>
      </w:tr>
      <w:tr>
        <w:tc>
          <w:tcPr>
            <w:tcW w:type="dxa" w:w="1215"/>
          </w:tcPr>
          <w:p>
            <w:pPr>
              <w:spacing w:after="0" w:before="0"/>
            </w:pPr>
            <w:r>
              <w:rPr>
                <w:sz w:val="12"/>
              </w:rPr>
              <w:t>Pooled temporal holdout</w:t>
            </w:r>
          </w:p>
        </w:tc>
        <w:tc>
          <w:tcPr>
            <w:tcW w:type="dxa" w:w="1215"/>
          </w:tcPr>
          <w:p>
            <w:pPr>
              <w:spacing w:after="0" w:before="0"/>
            </w:pPr>
            <w:r>
              <w:rPr>
                <w:sz w:val="12"/>
              </w:rPr>
              <w:t>M2 groundwater + gradation</w:t>
            </w:r>
          </w:p>
        </w:tc>
        <w:tc>
          <w:tcPr>
            <w:tcW w:type="dxa" w:w="1215"/>
          </w:tcPr>
          <w:p>
            <w:pPr>
              <w:spacing w:after="0" w:before="0"/>
            </w:pPr>
            <w:r>
              <w:rPr>
                <w:sz w:val="12"/>
              </w:rPr>
              <w:t>0.138</w:t>
            </w:r>
          </w:p>
        </w:tc>
        <w:tc>
          <w:tcPr>
            <w:tcW w:type="dxa" w:w="1215"/>
          </w:tcPr>
          <w:p>
            <w:pPr>
              <w:spacing w:after="0" w:before="0"/>
            </w:pPr>
            <w:r>
              <w:rPr>
                <w:sz w:val="12"/>
              </w:rPr>
              <w:t>0.834</w:t>
            </w:r>
          </w:p>
        </w:tc>
        <w:tc>
          <w:tcPr>
            <w:tcW w:type="dxa" w:w="1215"/>
          </w:tcPr>
          <w:p>
            <w:pPr>
              <w:spacing w:after="0" w:before="0"/>
            </w:pPr>
            <w:r>
              <w:rPr>
                <w:sz w:val="12"/>
              </w:rPr>
              <w:t>15,890</w:t>
            </w:r>
          </w:p>
        </w:tc>
        <w:tc>
          <w:tcPr>
            <w:tcW w:type="dxa" w:w="1215"/>
          </w:tcPr>
          <w:p>
            <w:pPr>
              <w:spacing w:after="0" w:before="0"/>
            </w:pPr>
            <w:r>
              <w:rPr>
                <w:sz w:val="12"/>
              </w:rPr>
              <w:t>Best pooled calibration and discrimination</w:t>
            </w:r>
          </w:p>
        </w:tc>
        <w:tc>
          <w:tcPr>
            <w:tcW w:type="dxa" w:w="1215"/>
          </w:tcPr>
          <w:p>
            <w:pPr>
              <w:spacing w:after="0" w:before="0"/>
            </w:pPr>
            <w:r>
              <w:rPr>
                <w:sz w:val="12"/>
              </w:rPr>
              <w:t>Event-wise results remain mixed</w:t>
            </w:r>
          </w:p>
        </w:tc>
      </w:tr>
      <w:tr>
        <w:tc>
          <w:tcPr>
            <w:tcW w:type="dxa" w:w="1215"/>
          </w:tcPr>
          <w:p>
            <w:pPr>
              <w:spacing w:after="0" w:before="0"/>
            </w:pPr>
            <w:r>
              <w:rPr>
                <w:sz w:val="12"/>
              </w:rPr>
              <w:t>2010 Darfield holdout</w:t>
            </w:r>
          </w:p>
        </w:tc>
        <w:tc>
          <w:tcPr>
            <w:tcW w:type="dxa" w:w="1215"/>
          </w:tcPr>
          <w:p>
            <w:pPr>
              <w:spacing w:after="0" w:before="0"/>
            </w:pPr>
            <w:r>
              <w:rPr>
                <w:sz w:val="12"/>
              </w:rPr>
              <w:t>M2 by Brier/AUC</w:t>
            </w:r>
          </w:p>
        </w:tc>
        <w:tc>
          <w:tcPr>
            <w:tcW w:type="dxa" w:w="1215"/>
          </w:tcPr>
          <w:p>
            <w:pPr>
              <w:spacing w:after="0" w:before="0"/>
            </w:pPr>
            <w:r>
              <w:rPr>
                <w:sz w:val="12"/>
              </w:rPr>
              <w:t>0.188</w:t>
            </w:r>
          </w:p>
        </w:tc>
        <w:tc>
          <w:tcPr>
            <w:tcW w:type="dxa" w:w="1215"/>
          </w:tcPr>
          <w:p>
            <w:pPr>
              <w:spacing w:after="0" w:before="0"/>
            </w:pPr>
            <w:r>
              <w:rPr>
                <w:sz w:val="12"/>
              </w:rPr>
              <w:t>0.610</w:t>
            </w:r>
          </w:p>
        </w:tc>
        <w:tc>
          <w:tcPr>
            <w:tcW w:type="dxa" w:w="1215"/>
          </w:tcPr>
          <w:p>
            <w:pPr>
              <w:spacing w:after="0" w:before="0"/>
            </w:pPr>
            <w:r>
              <w:rPr>
                <w:sz w:val="12"/>
              </w:rPr>
              <w:t>5,488</w:t>
            </w:r>
          </w:p>
        </w:tc>
        <w:tc>
          <w:tcPr>
            <w:tcW w:type="dxa" w:w="1215"/>
          </w:tcPr>
          <w:p>
            <w:pPr>
              <w:spacing w:after="0" w:before="0"/>
            </w:pPr>
            <w:r>
              <w:rPr>
                <w:sz w:val="12"/>
              </w:rPr>
              <w:t>Non-stationary predictors improve ranking</w:t>
            </w:r>
          </w:p>
        </w:tc>
        <w:tc>
          <w:tcPr>
            <w:tcW w:type="dxa" w:w="1215"/>
          </w:tcPr>
          <w:p>
            <w:pPr>
              <w:spacing w:after="0" w:before="0"/>
            </w:pPr>
            <w:r>
              <w:rPr>
                <w:sz w:val="12"/>
              </w:rPr>
              <w:t>FN-aware threshold still favours M0</w:t>
            </w:r>
          </w:p>
        </w:tc>
      </w:tr>
      <w:tr>
        <w:tc>
          <w:tcPr>
            <w:tcW w:type="dxa" w:w="1215"/>
          </w:tcPr>
          <w:p>
            <w:pPr>
              <w:spacing w:after="0" w:before="0"/>
            </w:pPr>
            <w:r>
              <w:rPr>
                <w:sz w:val="12"/>
              </w:rPr>
              <w:t>2011 Christchurch holdout</w:t>
            </w:r>
          </w:p>
        </w:tc>
        <w:tc>
          <w:tcPr>
            <w:tcW w:type="dxa" w:w="1215"/>
          </w:tcPr>
          <w:p>
            <w:pPr>
              <w:spacing w:after="0" w:before="0"/>
            </w:pPr>
            <w:r>
              <w:rPr>
                <w:sz w:val="12"/>
              </w:rPr>
              <w:t>M2 by Brier/AUC</w:t>
            </w:r>
          </w:p>
        </w:tc>
        <w:tc>
          <w:tcPr>
            <w:tcW w:type="dxa" w:w="1215"/>
          </w:tcPr>
          <w:p>
            <w:pPr>
              <w:spacing w:after="0" w:before="0"/>
            </w:pPr>
            <w:r>
              <w:rPr>
                <w:sz w:val="12"/>
              </w:rPr>
              <w:t>0.141</w:t>
            </w:r>
          </w:p>
        </w:tc>
        <w:tc>
          <w:tcPr>
            <w:tcW w:type="dxa" w:w="1215"/>
          </w:tcPr>
          <w:p>
            <w:pPr>
              <w:spacing w:after="0" w:before="0"/>
            </w:pPr>
            <w:r>
              <w:rPr>
                <w:sz w:val="12"/>
              </w:rPr>
              <w:t>0.668</w:t>
            </w:r>
          </w:p>
        </w:tc>
        <w:tc>
          <w:tcPr>
            <w:tcW w:type="dxa" w:w="1215"/>
          </w:tcPr>
          <w:p>
            <w:pPr>
              <w:spacing w:after="0" w:before="0"/>
            </w:pPr>
            <w:r>
              <w:rPr>
                <w:sz w:val="12"/>
              </w:rPr>
              <w:t>5,612</w:t>
            </w:r>
          </w:p>
        </w:tc>
        <w:tc>
          <w:tcPr>
            <w:tcW w:type="dxa" w:w="1215"/>
          </w:tcPr>
          <w:p>
            <w:pPr>
              <w:spacing w:after="0" w:before="0"/>
            </w:pPr>
            <w:r>
              <w:rPr>
                <w:sz w:val="12"/>
              </w:rPr>
              <w:t>Best event-wise Brier and AUC</w:t>
            </w:r>
          </w:p>
        </w:tc>
        <w:tc>
          <w:tcPr>
            <w:tcW w:type="dxa" w:w="1215"/>
          </w:tcPr>
          <w:p>
            <w:pPr>
              <w:spacing w:after="0" w:before="0"/>
            </w:pPr>
            <w:r>
              <w:rPr>
                <w:sz w:val="12"/>
              </w:rPr>
              <w:t>High-liquefaction event dominates sensitivity</w:t>
            </w:r>
          </w:p>
        </w:tc>
      </w:tr>
      <w:tr>
        <w:tc>
          <w:tcPr>
            <w:tcW w:type="dxa" w:w="1215"/>
          </w:tcPr>
          <w:p>
            <w:pPr>
              <w:spacing w:after="0" w:before="0"/>
            </w:pPr>
            <w:r>
              <w:rPr>
                <w:sz w:val="12"/>
              </w:rPr>
              <w:t>2016 Valentine holdout</w:t>
            </w:r>
          </w:p>
        </w:tc>
        <w:tc>
          <w:tcPr>
            <w:tcW w:type="dxa" w:w="1215"/>
          </w:tcPr>
          <w:p>
            <w:pPr>
              <w:spacing w:after="0" w:before="0"/>
            </w:pPr>
            <w:r>
              <w:rPr>
                <w:sz w:val="12"/>
              </w:rPr>
              <w:t>M1 by AUC; M0 by Brier</w:t>
            </w:r>
          </w:p>
        </w:tc>
        <w:tc>
          <w:tcPr>
            <w:tcW w:type="dxa" w:w="1215"/>
          </w:tcPr>
          <w:p>
            <w:pPr>
              <w:spacing w:after="0" w:before="0"/>
            </w:pPr>
            <w:r>
              <w:rPr>
                <w:sz w:val="12"/>
              </w:rPr>
              <w:t>0.068-0.078</w:t>
            </w:r>
          </w:p>
        </w:tc>
        <w:tc>
          <w:tcPr>
            <w:tcW w:type="dxa" w:w="1215"/>
          </w:tcPr>
          <w:p>
            <w:pPr>
              <w:spacing w:after="0" w:before="0"/>
            </w:pPr>
            <w:r>
              <w:rPr>
                <w:sz w:val="12"/>
              </w:rPr>
              <w:t>0.900-0.930</w:t>
            </w:r>
          </w:p>
        </w:tc>
        <w:tc>
          <w:tcPr>
            <w:tcW w:type="dxa" w:w="1215"/>
          </w:tcPr>
          <w:p>
            <w:pPr>
              <w:spacing w:after="0" w:before="0"/>
            </w:pPr>
            <w:r>
              <w:rPr>
                <w:sz w:val="12"/>
              </w:rPr>
              <w:t>4,790</w:t>
            </w:r>
          </w:p>
        </w:tc>
        <w:tc>
          <w:tcPr>
            <w:tcW w:type="dxa" w:w="1215"/>
          </w:tcPr>
          <w:p>
            <w:pPr>
              <w:spacing w:after="0" w:before="0"/>
            </w:pPr>
            <w:r>
              <w:rPr>
                <w:sz w:val="12"/>
              </w:rPr>
              <w:t>Non-stationary forms improve rank/sensitivity</w:t>
            </w:r>
          </w:p>
        </w:tc>
        <w:tc>
          <w:tcPr>
            <w:tcW w:type="dxa" w:w="1215"/>
          </w:tcPr>
          <w:p>
            <w:pPr>
              <w:spacing w:after="0" w:before="0"/>
            </w:pPr>
            <w:r>
              <w:rPr>
                <w:sz w:val="12"/>
              </w:rPr>
              <w:t>Low prevalence makes Brier favour M0</w:t>
            </w:r>
          </w:p>
        </w:tc>
      </w:tr>
    </w:tbl>
    <w:p>
      <w:pPr>
        <w:jc w:val="center"/>
      </w:pPr>
      <w:r>
        <w:drawing>
          <wp:inline xmlns:a="http://schemas.openxmlformats.org/drawingml/2006/main" xmlns:pic="http://schemas.openxmlformats.org/drawingml/2006/picture">
            <wp:extent cx="4892040" cy="3589325"/>
            <wp:docPr id="13" name="Picture 13"/>
            <wp:cNvGraphicFramePr>
              <a:graphicFrameLocks noChangeAspect="1"/>
            </wp:cNvGraphicFramePr>
            <a:graphic>
              <a:graphicData uri="http://schemas.openxmlformats.org/drawingml/2006/picture">
                <pic:pic>
                  <pic:nvPicPr>
                    <pic:cNvPr id="0" name="fig12_canterbury_leave_one_event_temporal_validation.png"/>
                    <pic:cNvPicPr/>
                  </pic:nvPicPr>
                  <pic:blipFill>
                    <a:blip r:embed="rId20"/>
                    <a:stretch>
                      <a:fillRect/>
                    </a:stretch>
                  </pic:blipFill>
                  <pic:spPr>
                    <a:xfrm>
                      <a:off x="0" y="0"/>
                      <a:ext cx="4892040" cy="3589325"/>
                    </a:xfrm>
                    <a:prstGeom prst="rect"/>
                  </pic:spPr>
                </pic:pic>
              </a:graphicData>
            </a:graphic>
          </wp:inline>
        </w:drawing>
      </w:r>
    </w:p>
    <w:p>
      <w:pPr>
        <w:spacing w:after="0" w:before="0"/>
        <w:jc w:val="center"/>
      </w:pPr>
      <w:r>
        <w:rPr>
          <w:b/>
          <w:sz w:val="16"/>
        </w:rPr>
        <w:t>Figure 13. Canterbury leave-one-event temporal validation: pooled Brier and AUC across held-out earthquakes.</w:t>
      </w:r>
    </w:p>
    <w:p>
      <w:pPr>
        <w:jc w:val="center"/>
      </w:pPr>
      <w:r>
        <w:drawing>
          <wp:inline xmlns:a="http://schemas.openxmlformats.org/drawingml/2006/main" xmlns:pic="http://schemas.openxmlformats.org/drawingml/2006/picture">
            <wp:extent cx="4892040" cy="3316224"/>
            <wp:docPr id="14" name="Picture 14"/>
            <wp:cNvGraphicFramePr>
              <a:graphicFrameLocks noChangeAspect="1"/>
            </wp:cNvGraphicFramePr>
            <a:graphic>
              <a:graphicData uri="http://schemas.openxmlformats.org/drawingml/2006/picture">
                <pic:pic>
                  <pic:nvPicPr>
                    <pic:cNvPr id="0" name="fig13_locked_threshold_fn_fp_tradeoff.png"/>
                    <pic:cNvPicPr/>
                  </pic:nvPicPr>
                  <pic:blipFill>
                    <a:blip r:embed="rId21"/>
                    <a:stretch>
                      <a:fillRect/>
                    </a:stretch>
                  </pic:blipFill>
                  <pic:spPr>
                    <a:xfrm>
                      <a:off x="0" y="0"/>
                      <a:ext cx="4892040" cy="3316224"/>
                    </a:xfrm>
                    <a:prstGeom prst="rect"/>
                  </pic:spPr>
                </pic:pic>
              </a:graphicData>
            </a:graphic>
          </wp:inline>
        </w:drawing>
      </w:r>
    </w:p>
    <w:p>
      <w:pPr>
        <w:spacing w:after="0" w:before="0"/>
        <w:jc w:val="center"/>
      </w:pPr>
      <w:r>
        <w:rPr>
          <w:b/>
          <w:sz w:val="16"/>
        </w:rPr>
        <w:t>Figure 14. Locked-threshold false-negative/false-positive trade-off for Canterbury at FN:FP = 10.</w:t>
      </w:r>
    </w:p>
    <w:p>
      <w:pPr>
        <w:jc w:val="both"/>
      </w:pPr>
      <w:r>
        <w:t>To keep the main manuscript readable, detailed literature positioning, input tables, convergence checks, sensitivity coefficients, model-form tables, Hu/Wenchuan summaries and secondary site-extension plots are placed in the supplementary material and reproducibility repository. The main text keeps the equations, the core claim boundary, and the validation results needed to judge the article.</w:t>
      </w:r>
    </w:p>
    <w:p>
      <w:pPr>
        <w:jc w:val="both"/>
      </w:pPr>
      <w:r>
        <w:t>The Hu leave-one-earthquake validation and locked-threshold validation are reported in full in the supplement and repository outputs. In the main text their role is simple: Hu supports event-level screening transfer, while the locked-threshold test shows the cost of reducing missed Canterbury manifestations. A final Canterbury severity-triage check defines moderate-to-severe observed manifestation as manifestation_code &gt;= 3 and tests whether the top-20% inspection set captures more severe held-out event states; M2 improves severe-state capture over M0 in the two Canterbury events where severe manifestations occur. A separate DesignSafe PRJ-3126 repair-cost gate supports the plausibility of using false-negative cost ratios greater than one, while blocking any claim of direct repair-cost validation because PRJ-3126 has no shared CPT/event key with Canterbury.</w:t>
      </w:r>
    </w:p>
    <w:p w:rsidR="00AD65CC" w:rsidRPr="00F436BC" w:rsidRDefault="000A5A2B" w:rsidP="00F436BC">
      <w:pPr>
        <w:pStyle w:val="Heading1"/>
        <w:rPr>
          <w:rFonts w:ascii="Arial" w:hAnsi="Arial"/>
        </w:rPr>
      </w:pPr>
      <w:r>
        <w:t>6. Discussion and limits</w:t>
      </w:r>
    </w:p>
    <w:p>
      <w:pPr>
        <w:jc w:val="both"/>
      </w:pPr>
      <w:r>
        <w:t>The main risk in a benchmark paper is to confuse a clean package with a scientific result. Reproducibility only means that the reader can check the calculation. The scientific result here is narrower: changing groundwater and gradation can change the screening decision, and the effect can be tested against external events. When the evidence does not support a stronger claim, the manuscript says so.</w:t>
      </w:r>
    </w:p>
    <w:p w:rsidR="00497881" w:rsidRDefault="00B513B6">
      <w:pPr>
        <w:pStyle w:val="Paragraph"/>
      </w:pPr>
      <w:r>
        <w:t>The BI14-style comparison produced high rank agreement across scenario-gradation groups, with Spearman correlations between 0.931 and 0.997. The absolute probability scale differs because the resistance curve and probability mapping differ from the benchmark module, but the scenario and layer ordering remain largely stable. The external Hu et al. check adds discrimination and calibration diagnostics: the combined score reached AUC = 0.811 and five-fold Brier score = 0.172, while the static limit-state proxy reached AUC = 0.760 on 195 cases. These results strengthen compatibility evidence without converting the synthetic benchmark into a site-calibrated model.</w:t>
      </w:r>
    </w:p>
    <w:p w:rsidR="00AD65CC" w:rsidRDefault="000A5A2B">
      <w:pPr>
        <w:pStyle w:val="Paragraph"/>
        <w:jc w:val="both"/>
      </w:pPr>
      <w:r>
        <w:t>The benchmark supports three observations: groundwater shifts can change the timing of probability escalation; gradation paths alter the resistance term; and profile-average probability must be read with layer-wise and depth-time plots.</w:t>
      </w:r>
    </w:p>
    <w:p w:rsidR="00497881" w:rsidRDefault="00B513B6">
      <w:pPr>
        <w:pStyle w:val="Paragraph"/>
        <w:jc w:val="both"/>
      </w:pPr>
      <w:r>
        <w:t>System-level profile metrics are reported only as diagnostics because a calibrated vertical dependence model is outside the scope of the benchmark. The supplement gives independent-layer, Frechet-bound and copula sensitivity values.</w:t>
      </w:r>
    </w:p>
    <w:p w:rsidR="00946BE6" w:rsidRDefault="00946BE6" w:rsidP="00946BE6">
      <w:pPr>
        <w:jc w:val="both"/>
      </w:pPr>
      <w:r>
        <w:t>The workflow is therefore a scaffold, not a black box. A practitioner can replace the synthetic inputs with monitoring data, hydrologic forecasts, laboratory gradation measurements or new CPT/SPT information. Without those site data, the numbers remain screening evidence. With those data, the same transparent structure can become a site-specific reliability update.</w:t>
      </w:r>
    </w:p>
    <w:p w:rsidR="003B066E" w:rsidRDefault="003B066E">
      <w:pPr>
        <w:pStyle w:val="Paragraph"/>
        <w:jc w:val="both"/>
      </w:pPr>
      <w:r>
        <w:t>The useful claim is plain: the paper shows when a changing state variable changes the decision, what false-negative cost is being accepted, and when the static baseline remains the safer answer. The novelty is this disciplined claim boundary, backed by code, external holdouts and decision rules, rather than a promise that one model is always best.</w:t>
      </w:r>
    </w:p>
    <w:p w:rsidR="00AD65CC" w:rsidRDefault="000A5A2B">
      <w:pPr>
        <w:pStyle w:val="Paragraph"/>
      </w:pPr>
      <w:r>
        <w:t>The method can be extended in several ways. A random-field representation could replace independent layer sampling; Bayesian updating could assimilate monitoring data; subset simulation or importance sampling could reduce variance for rare probabilities; and decision thresholds could be linked to mitigation cost. These extensions are consistent with reliability practice and are intentionally left modular rather than embedded in a closed black-box model.</w:t>
      </w:r>
    </w:p>
    <w:p w:rsidR="00AD65CC" w:rsidRPr="00F436BC" w:rsidRDefault="000A5A2B" w:rsidP="00F436BC">
      <w:pPr>
        <w:pStyle w:val="Heading1"/>
        <w:rPr>
          <w:rFonts w:ascii="Arial" w:hAnsi="Arial"/>
        </w:rPr>
      </w:pPr>
      <w:r>
        <w:t>7. Conclusions</w:t>
      </w:r>
    </w:p>
    <w:p w:rsidR="00946BE6" w:rsidRDefault="00946BE6" w:rsidP="00946BE6">
      <w:pPr>
        <w:jc w:val="both"/>
      </w:pPr>
      <w:r>
        <w:t>This paper turns a fixed liquefaction check into a time-aware georisk screen. Groundwater depth and gradation are treated as state variables, so the output is not one probability but Pf(z,t): a layer- and time-dependent probability that can be compared across scenarios. The benchmark is fully auditable: inputs, scripts, tables, figures and outputs are supplied so that the reader can rerun the chain rather than trust a narrative.</w:t>
      </w:r>
    </w:p>
    <w:p w:rsidR="00946BE6" w:rsidRDefault="00946BE6" w:rsidP="00946BE6">
      <w:pPr>
        <w:jc w:val="both"/>
      </w:pPr>
      <w:r>
        <w:t>The benchmark shows why the time axis matters. In the tested profile, the extreme groundwater scenario produces a clear probability jump after the imposed groundwater shift, and gradation change alters the resistance side of the calculation. The practical message is not that every site follows this profile. It is that a stationary calculation can miss the timing and ranking of risk escalation when the governing state variables are allowed to move.</w:t>
      </w:r>
    </w:p>
    <w:p w:rsidR="003B066E" w:rsidRDefault="003B066E" w:rsidP="00F436BC">
      <w:pPr>
        <w:jc w:val="both"/>
        <w:rPr>
          <w:rFonts w:cs="Times New Roman"/>
          <w:b w:val="0"/>
          <w:bCs w:val="0"/>
          <w:kern w:val="0"/>
          <w:szCs w:val="24"/>
        </w:rPr>
      </w:pPr>
      <w:r>
        <w:t>The validation evidence is now layered. Hu et al. supports event-level screening transfer; Nisqually and SODO/UW test adverse holdouts; Canterbury provides a large external transfer set, locked-threshold decision validation and a formal leave-one-earthquake-out temporal holdout. In the Canterbury temporal holdout, M2 gives the best pooled Brier score and AUC, while M0 remains competitive in specific event-wise decisions. The workflow therefore supports georisk ranking and monitoring escalation under disclosed thresholds, not uncalibrated design prediction.</w:t>
      </w:r>
    </w:p>
    <w:p>
      <w:pPr>
        <w:jc w:val="both"/>
      </w:pPr>
      <w:r>
        <w:t>Editorial control sentence. This manuscript merits review in Georisk because it shows, with a runnable evidence chain, that non-stationary groundwater and gradation can change liquefaction screening decisions and false-negative trade-offs; recent probabilistic liquefaction studies have not shown that claim with the same combination of ablation, event holdouts, locked thresholds, external case histories and explicit blocked claims.</w:t>
      </w:r>
    </w:p>
    <w:p w:rsidR="00AD65CC" w:rsidRPr="00F436BC" w:rsidRDefault="000A5A2B" w:rsidP="00F436BC">
      <w:pPr>
        <w:pStyle w:val="Heading1"/>
        <w:rPr>
          <w:rFonts w:ascii="Arial" w:hAnsi="Arial"/>
        </w:rPr>
      </w:pPr>
      <w:r w:rsidRPr="00F436BC">
        <w:t>Acknowledgements</w:t>
      </w:r>
    </w:p>
    <w:p w:rsidR="00AD65CC" w:rsidRDefault="000A5A2B">
      <w:pPr>
        <w:pStyle w:val="Paragraph"/>
      </w:pPr>
      <w:r>
        <w:t>The author thanks the Universidad de Panama for the academic environment supporting this methodological work.</w:t>
      </w:r>
    </w:p>
    <w:p w:rsidR="00AD65CC" w:rsidRPr="00F436BC" w:rsidRDefault="000A5A2B" w:rsidP="00F436BC">
      <w:pPr>
        <w:pStyle w:val="Heading1"/>
        <w:rPr>
          <w:rFonts w:ascii="Arial" w:hAnsi="Arial"/>
        </w:rPr>
      </w:pPr>
      <w:r>
        <w:t>Competing interests</w:t>
      </w:r>
    </w:p>
    <w:p w:rsidR="00AD65CC" w:rsidRDefault="000A5A2B">
      <w:pPr>
        <w:pStyle w:val="Paragraph"/>
      </w:pPr>
      <w:r>
        <w:t>The author declares no competing interests.</w:t>
      </w:r>
    </w:p>
    <w:p w:rsidR="00AD65CC" w:rsidRPr="00F436BC" w:rsidRDefault="000A5A2B" w:rsidP="00F436BC">
      <w:pPr>
        <w:pStyle w:val="Heading1"/>
        <w:rPr>
          <w:rFonts w:ascii="Arial" w:hAnsi="Arial"/>
        </w:rPr>
      </w:pPr>
      <w:r>
        <w:t>Funding</w:t>
      </w:r>
    </w:p>
    <w:p w:rsidR="00AD65CC" w:rsidRDefault="000A5A2B">
      <w:pPr>
        <w:pStyle w:val="Paragraph"/>
      </w:pPr>
      <w:r>
        <w:t>No specific funding was received for this work.</w:t>
      </w:r>
    </w:p>
    <w:p w:rsidR="004457B8" w:rsidRDefault="00554E27">
      <w:pPr>
        <w:pStyle w:val="Heading1"/>
      </w:pPr>
      <w:r>
        <w:t>Supplementary material</w:t>
      </w:r>
    </w:p>
    <w:p w:rsidR="00946BE6" w:rsidRDefault="00946BE6" w:rsidP="00946BE6">
      <w:r>
        <w:t>The supplementary files are supplied as Online Resource 1 and include CSV inputs, generated outputs, scripts, README, requirements and regenerated figures. The same supplementary material is also available in the public GitHub repository: https://github.com/gabrielmontufar/article-118-nonstationary-liquefaction-benchmark. Supplementary Tables S1-S4 provide additional diagnostics, including the standard model-form comparison in Table S2, the vertical-dependence sensitivity in Table S3 and the expanded external compatibility metrics in Table S4.</w:t>
      </w:r>
    </w:p>
    <w:p w:rsidR="00AD65CC" w:rsidRPr="00F436BC" w:rsidRDefault="000A5A2B" w:rsidP="00F436BC">
      <w:pPr>
        <w:pStyle w:val="Heading1"/>
        <w:rPr>
          <w:rFonts w:ascii="Arial" w:hAnsi="Arial"/>
        </w:rPr>
      </w:pPr>
      <w:r>
        <w:t>Data availability statement</w:t>
      </w:r>
    </w:p>
    <w:p w:rsidR="003B066E" w:rsidRDefault="003B066E" w:rsidP="00F436BC">
      <w:pPr>
        <w:rPr>
          <w:rFonts w:cs="Times New Roman"/>
          <w:b w:val="0"/>
          <w:bCs w:val="0"/>
          <w:kern w:val="0"/>
          <w:szCs w:val="24"/>
        </w:rPr>
      </w:pPr>
      <w:r>
        <w:rPr>
          <w:rFonts w:cs="Times New Roman"/>
          <w:b w:val="0"/>
          <w:bCs w:val="0"/>
          <w:kern w:val="0"/>
          <w:szCs w:val="24"/>
        </w:rPr>
        <w:t>The benchmark data, source code, figures and README are provided as Online Resource 1 and in the public GitHub repository: https://github.com/gabrielmontufar/article-118-nonstationary-liquefaction-benchmark. The synthetic benchmark script is self-contained. The site-extension scripts use public DesignSafe source files downloaded separately because the raw datasets are large: Nisqually PRJ-3758 (10.17603/ds2-nsf8-7944) and Canterbury PRJ-2937. The reproducibility package now includes scripts/run_121_canterbury_multi_site_temporal_validation.py, scripts/run_122_cost_sensitive_decision_frontier.py, outputs/canterbury_multi_site_temporal_validation_summary.json, outputs/cost_sensitive_decision_frontier_summary.json, outputs/cost_sensitive_decision_frontier_case_weighted_fixed_threshold.csv and outputs/paired_uncertainty_model_selection_summary.json so that the expanded Canterbury gate, cost-sensitive operating-policy diagnostic and claim boundary can be regenerated from the public raw file. Normalized CSV inputs and all generated outputs used in the manuscript are included in Online Resource 1; rerunning raw extraction requires placing the public DesignSafe files in the paths stated in the scripts or using the local raw_designsafe/ download folder.</w:t>
      </w:r>
    </w:p>
    <w:p w:rsidR="00AD65CC" w:rsidRPr="00F436BC" w:rsidRDefault="000A5A2B" w:rsidP="00F436BC">
      <w:pPr>
        <w:pStyle w:val="Heading1"/>
        <w:rPr>
          <w:rFonts w:ascii="Arial" w:hAnsi="Arial"/>
        </w:rPr>
      </w:pPr>
      <w:r>
        <w:t>Author contributions</w:t>
      </w:r>
    </w:p>
    <w:p w:rsidR="00AD65CC" w:rsidRDefault="000A5A2B">
      <w:pPr>
        <w:pStyle w:val="Paragraph"/>
      </w:pPr>
      <w:r>
        <w:t>Gabriel J. Montufar Chiriboga: conceptualization, methodology, software, formal analysis, verification, reproducibility checks, external trend-consistency assessment, investigation, writing, visualization and manuscript preparation.</w:t>
      </w:r>
    </w:p>
    <w:p w:rsidR="00AD65CC" w:rsidRPr="00F436BC" w:rsidRDefault="000A5A2B" w:rsidP="00F436BC">
      <w:pPr>
        <w:pStyle w:val="Heading1"/>
        <w:rPr>
          <w:rFonts w:ascii="Arial" w:hAnsi="Arial"/>
        </w:rPr>
      </w:pPr>
      <w:r w:rsidRPr="00F436BC">
        <w:t>Declaration of generative AI and AI-assisted technologies</w:t>
      </w:r>
    </w:p>
    <w:p w:rsidR="00AD65CC" w:rsidRDefault="000A5A2B">
      <w:pPr>
        <w:pStyle w:val="Paragraph"/>
      </w:pPr>
      <w:r>
        <w:t>Generative artificial intelligence tools, including OpenAI ChatGPT/Codex in the June 2026 environment, were used to support language editing, organization, formatting, claim-boundary checking and consistency review. The author verified the scientific content, equations, data, code outputs, citations and final wording; confirms that AI use complied with the applicable tool terms and journal policy; and takes full responsibility for the accuracy, originality and integrity of the submitted manuscript.</w:t>
      </w:r>
    </w:p>
    <w:p w:rsidR="00AD65CC" w:rsidRPr="00F436BC" w:rsidRDefault="000A5A2B" w:rsidP="00F436BC">
      <w:pPr>
        <w:pStyle w:val="Heading1"/>
        <w:rPr>
          <w:rFonts w:ascii="Arial" w:hAnsi="Arial"/>
        </w:rPr>
      </w:pPr>
      <w:r w:rsidRPr="00F436BC">
        <w:t>References</w:t>
      </w:r>
    </w:p>
    <w:p w:rsidR="00AD65CC" w:rsidRDefault="000A5A2B">
      <w:pPr>
        <w:pStyle w:val="References"/>
      </w:pPr>
      <w:r>
        <w:t>[1] Ang, A. H.-S., and Tang, W. H. 2007. Probability Concepts in Engineering: Emphasis on Applications to Civil and Environmental Engineering. 2nd ed. Hoboken, NJ: Wiley.</w:t>
      </w:r>
    </w:p>
    <w:p w:rsidR="00AD65CC" w:rsidRDefault="000A5A2B">
      <w:pPr>
        <w:pStyle w:val="References"/>
      </w:pPr>
      <w:r>
        <w:t>[2] Baecher, G. B., and Christian, J. T. 2003. Reliability and Statistics in Geotechnical Engineering. Chichester: Wiley.</w:t>
      </w:r>
    </w:p>
    <w:p w:rsidR="00AD65CC" w:rsidRDefault="000A5A2B">
      <w:pPr>
        <w:pStyle w:val="References"/>
      </w:pPr>
      <w:r>
        <w:t>[3] Benjamin, J. R., and Cornell, C. A. 1970. Probability, Statistics, and Decision for Civil Engineers. New York: McGraw-Hill.</w:t>
      </w:r>
    </w:p>
    <w:p w:rsidR="00AD65CC" w:rsidRDefault="000A5A2B">
      <w:pPr>
        <w:pStyle w:val="References"/>
      </w:pPr>
      <w:r>
        <w:t>[4] Boulanger, R. W., and Idriss, I. M. 2014. CPT and SPT Based Liquefaction Triggering Procedures. Report UCD/CGM-14/01. Davis, CA: Center for Geotechnical Modeling, University of California, Davis.</w:t>
      </w:r>
    </w:p>
    <w:p w:rsidR="00AD65CC" w:rsidRDefault="000A5A2B">
      <w:pPr>
        <w:pStyle w:val="References"/>
      </w:pPr>
      <w:r>
        <w:t>[5] Cetin, K. O., Seed, R. B., Der Kiureghian, A., Tokimatsu, K., Harder, L. F., Kayen, R. E., and Moss, R. E. S. 2004. Standard Penetration Test-Based Probabilistic and Deterministic Assessment of Seismic Soil Liquefaction Potential. Journal of Geotechnical and Geoenvironmental Engineering 130 (12): 1314-1340.</w:t>
      </w:r>
    </w:p>
    <w:p w:rsidR="00AD65CC" w:rsidRDefault="000A5A2B">
      <w:pPr>
        <w:pStyle w:val="References"/>
      </w:pPr>
      <w:r>
        <w:t>[6] Ching, J., and Phoon, K. K. 2014. Transformations and Correlations among Some Clay Parameters: The Global Database. Canadian Geotechnical Journal 51 (6): 663-685.</w:t>
      </w:r>
    </w:p>
    <w:p w:rsidR="00AD65CC" w:rsidRDefault="000A5A2B">
      <w:pPr>
        <w:pStyle w:val="References"/>
      </w:pPr>
      <w:r>
        <w:t>[7] Cruz, A., Karimzadeh, S., Chieffo, N., Sandoval, E., and Lourenco, P. B. 2024. A Review of Probabilistic Approaches for Assessing the Liquefaction Hazard in Urban Areas. Archives of Computational Methods in Engineering 31 (8): 4673-4708. https://doi.org/10.1007/s11831-024-10124-4.</w:t>
      </w:r>
    </w:p>
    <w:p w:rsidR="00AD65CC" w:rsidRDefault="000A5A2B">
      <w:pPr>
        <w:pStyle w:val="References"/>
      </w:pPr>
      <w:r>
        <w:t>[8] Der Kiureghian, A. 2005. First- and Second-Order Reliability Methods. In Engineering Design Reliability Handbook, edited by E. Nikolaidis, D. M. Ghiocel, and S. Singhal. Boca Raton, FL: CRC Press.</w:t>
      </w:r>
    </w:p>
    <w:p w:rsidR="00AD65CC" w:rsidRDefault="000A5A2B">
      <w:pPr>
        <w:pStyle w:val="References"/>
      </w:pPr>
      <w:r>
        <w:t>[9] Ditlevsen, O., and Madsen, H. O. 1996. Structural Reliability Methods. Chichester: Wiley.</w:t>
      </w:r>
    </w:p>
    <w:p w:rsidR="00AD65CC" w:rsidRDefault="000A5A2B">
      <w:pPr>
        <w:pStyle w:val="References"/>
      </w:pPr>
      <w:r>
        <w:t>[10] Fenton, G. A., and Griffiths, D. V. 2008. Risk Assessment in Geotechnical Engineering. Hoboken, NJ: Wiley.</w:t>
      </w:r>
    </w:p>
    <w:p w:rsidR="00AD65CC" w:rsidRDefault="000A5A2B">
      <w:pPr>
        <w:pStyle w:val="References"/>
      </w:pPr>
      <w:r>
        <w:t>[11] Fredlund, D. G., and Rahardjo, H. 1993. Soil Mechanics for Unsaturated Soils. New York: Wiley.</w:t>
      </w:r>
    </w:p>
    <w:p w:rsidR="00AD65CC" w:rsidRDefault="000A5A2B">
      <w:pPr>
        <w:pStyle w:val="References"/>
      </w:pPr>
      <w:r>
        <w:t>[12] Fredlund, D. G., Rahardjo, H., and Fredlund, M. D. 2012. Unsaturated Soil Mechanics in Engineering Practice. Hoboken, NJ: Wiley.</w:t>
      </w:r>
    </w:p>
    <w:p w:rsidR="00497881" w:rsidRDefault="00B513B6">
      <w:pPr>
        <w:pStyle w:val="References"/>
      </w:pPr>
      <w:r>
        <w:t>[13] Global Earthquake Model Foundation. 2024. OpenQuake Engine 3.20.1 Documentation: Liquefaction Inputs. https://docs.openquake.org/oq-engine/3.20/manual/user-guide/inputs/liquefaction-inputs.html.</w:t>
      </w:r>
    </w:p>
    <w:p w:rsidR="00AD65CC" w:rsidRDefault="000A5A2B">
      <w:pPr>
        <w:pStyle w:val="References"/>
      </w:pPr>
      <w:r>
        <w:t>[14] Greenfield, M. W., Estep, T. M., Taing, J., and Hitchcock, C. 2024. A Probabilistic Extension of Existing Site-Specific Liquefaction Triggering and Liquefaction Manifestation Methods for Regional Scale Evaluations. Soil Dynamics and Earthquake Engineering 182: 108711. https://doi.org/10.1016/j.soildyn.2024.108711.</w:t>
      </w:r>
    </w:p>
    <w:p w:rsidR="00AD65CC" w:rsidRDefault="000A5A2B">
      <w:pPr>
        <w:pStyle w:val="References"/>
      </w:pPr>
      <w:r>
        <w:t>[15] Holzer, T. L., Noce, T. E., and Bennett, M. J. 2011. Liquefaction Probability Curves for Surficial Geologic Deposits. Environmental &amp; Engineering Geoscience 17 (1): 1-21.</w:t>
      </w:r>
    </w:p>
    <w:p w:rsidR="000A5A2B" w:rsidRDefault="000A5A2B">
      <w:pPr>
        <w:pStyle w:val="References"/>
      </w:pPr>
      <w:r>
        <w:t>[16] Hu, J., Wang, J., Zou, W., and Yang, B. 2021. Datasets for Gravelly Soil Liquefaction Case Histories. Data in Brief 36: 107104. https://doi.org/10.1016/j.dib.2021.107104</w:t>
      </w:r>
    </w:p>
    <w:p w:rsidR="00AD65CC" w:rsidRDefault="000A5A2B">
      <w:pPr>
        <w:pStyle w:val="References"/>
      </w:pPr>
      <w:r>
        <w:t>[17] Idriss, I. M., and Boulanger, R. W. 2008. Soil Liquefaction during Earthquakes. Oakland, CA: Earthquake Engineering Research Institute.</w:t>
      </w:r>
    </w:p>
    <w:p w:rsidR="00AD65CC" w:rsidRDefault="000A5A2B">
      <w:pPr>
        <w:pStyle w:val="References"/>
      </w:pPr>
      <w:r>
        <w:t>[18] IPCC. 2021. Climate Change 2021: The Physical Science Basis. Cambridge: Cambridge University Press.</w:t>
      </w:r>
    </w:p>
    <w:p w:rsidR="00AD65CC" w:rsidRDefault="000A5A2B">
      <w:pPr>
        <w:pStyle w:val="References"/>
      </w:pPr>
      <w:r>
        <w:t>[19] Ishihara, K. 1993. Liquefaction and Flow Failure during Earthquakes. Geotechnique 43 (3): 351-451.</w:t>
      </w:r>
    </w:p>
    <w:p w:rsidR="00497881" w:rsidRDefault="00B513B6">
      <w:pPr>
        <w:pStyle w:val="References"/>
      </w:pPr>
      <w:r>
        <w:t>[20] Javanbakht, A., Molnar, S., Sadrekarimi, A., and Adhikari, S. R. 2025. Performance-Based Liquefaction Analysis and Probabilistic Liquefaction Hazard Mapping Using CPT Data within the Fraser River Delta, Canada. Soil Dynamics and Earthquake Engineering 189: 109101. https://doi.org/10.1016/j.soildyn.2024.109101.</w:t>
      </w:r>
    </w:p>
    <w:p w:rsidR="00AD65CC" w:rsidRDefault="000A5A2B">
      <w:pPr>
        <w:pStyle w:val="References"/>
      </w:pPr>
      <w:r>
        <w:t>[21] Juang, C. H., Fang, S. Y., and Khor, E. H. 2006. First-Order Reliability Method for Probabilistic Liquefaction Triggering Analysis. Journal of Geotechnical and Geoenvironmental Engineering 132 (3): 337-350.</w:t>
      </w:r>
    </w:p>
    <w:p w:rsidR="00AD65CC" w:rsidRDefault="000A5A2B">
      <w:pPr>
        <w:pStyle w:val="References"/>
      </w:pPr>
      <w:r>
        <w:t>[22] Kayen, R., Moss, R. E. S., Thompson, E. M., Seed, R. B., Cetin, K. O., Der Kiureghian, A., Tanaka, Y., and Tokimatsu, K. 2013. Shear-Wave Velocity-Based Probabilistic and Deterministic Assessment of Seismic Soil Liquefaction Potential. Journal of Geotechnical and Geoenvironmental Engineering 139 (3): 407-419.</w:t>
      </w:r>
    </w:p>
    <w:p w:rsidR="00AD65CC" w:rsidRDefault="000A5A2B">
      <w:pPr>
        <w:pStyle w:val="References"/>
      </w:pPr>
      <w:r>
        <w:t>[23] Kenney, T. C., and Lau, D. 1985. Internal Stability of Granular Filters. Canadian Geotechnical Journal 22 (2): 215-225.</w:t>
      </w:r>
    </w:p>
    <w:p w:rsidR="00AD65CC" w:rsidRDefault="000A5A2B">
      <w:pPr>
        <w:pStyle w:val="References"/>
      </w:pPr>
      <w:r>
        <w:t>[24] Kramer, S. L. 1996. Geotechnical Earthquake Engineering. Upper Saddle River, NJ: Prentice Hall.</w:t>
      </w:r>
    </w:p>
    <w:p w:rsidR="00AD65CC" w:rsidRDefault="000A5A2B">
      <w:pPr>
        <w:pStyle w:val="References"/>
      </w:pPr>
      <w:r>
        <w:t>[25] Kramer, S. L., and Mayfield, R. T. 2007. Return Period of Soil Liquefaction. Journal of Geotechnical and Geoenvironmental Engineering 133 (7): 802-813.</w:t>
      </w:r>
    </w:p>
    <w:p w:rsidR="00AD65CC" w:rsidRDefault="000A5A2B">
      <w:pPr>
        <w:pStyle w:val="References"/>
      </w:pPr>
      <w:r>
        <w:t>[26] Lacasse, S., and Nadim, F. 1996. Uncertainties in Characterising Soil Properties. In Uncertainty in the Geologic Environment: From Theory to Practice, 49-75. Reston, VA: ASCE.</w:t>
      </w:r>
    </w:p>
    <w:p w:rsidR="00AD65CC" w:rsidRDefault="000A5A2B">
      <w:pPr>
        <w:pStyle w:val="References"/>
      </w:pPr>
      <w:r>
        <w:t>[27] Lee, J., Choi, C., and Kim, M. M. 2020. Estimation of Liquefaction Potential in Eco-Delta City (Busan) Using Different Approaches with Effect of Fines Content. International Journal of Geo-Engineering 11: 14.</w:t>
      </w:r>
    </w:p>
    <w:p w:rsidR="00AD65CC" w:rsidRDefault="000A5A2B">
      <w:pPr>
        <w:pStyle w:val="References"/>
      </w:pPr>
      <w:r>
        <w:t>[28] Lu, N., and Likos, W. J. 2004. Unsaturated Soil Mechanics. Hoboken, NJ: Wiley.</w:t>
      </w:r>
    </w:p>
    <w:p w:rsidR="00497881" w:rsidRDefault="00B513B6">
      <w:pPr>
        <w:pStyle w:val="References"/>
      </w:pPr>
      <w:r>
        <w:t>[29] Makdisi, A. J., and Kramer, S. L. 2024. Improved Computational Methods for Probabilistic Liquefaction Hazard Analysis. Soil Dynamics and Earthquake Engineering 176: 108272. https://doi.org/10.1016/j.soildyn.2023.108272.</w:t>
      </w:r>
    </w:p>
    <w:p w:rsidR="00AD65CC" w:rsidRDefault="000A5A2B">
      <w:pPr>
        <w:pStyle w:val="References"/>
      </w:pPr>
      <w:r>
        <w:t>[30] Melchers, R. E., and Beck, A. T. 2018. Structural Reliability Analysis and Prediction. 3rd ed. Hoboken, NJ: Wiley.</w:t>
      </w:r>
    </w:p>
    <w:p w:rsidR="00AD65CC" w:rsidRDefault="000A5A2B">
      <w:pPr>
        <w:pStyle w:val="References"/>
      </w:pPr>
      <w:r>
        <w:t>[31] Milly, P. C. D., Betancourt, J., Falkenmark, M., Hirsch, R. M., Kundzewicz, Z. W., Lettenmaier, D. P., and Stouffer, R. J. 2008. Stationarity Is Dead: Whither Water Management Science 319 (5863): 573-574.</w:t>
      </w:r>
    </w:p>
    <w:p w:rsidR="00AD65CC" w:rsidRDefault="000A5A2B">
      <w:pPr>
        <w:pStyle w:val="References"/>
      </w:pPr>
      <w:r>
        <w:t>[32] Moss, R. E. S., Seed, R. B., Kayen, R. E., Stewart, J. P., Der Kiureghian, A., and Cetin, K. O. 2006. CPT-Based Probabilistic and Deterministic Assessment of In Situ Seismic Soil Liquefaction Potential. Journal of Geotechnical and Geoenvironmental Engineering 132 (8): 1032-1051.</w:t>
      </w:r>
    </w:p>
    <w:p w:rsidR="00497881" w:rsidRPr="00863D76" w:rsidRDefault="00B513B6">
      <w:pPr>
        <w:pStyle w:val="References"/>
        <w:rPr>
          <w:lang w:val="es-PA"/>
        </w:rPr>
      </w:pPr>
      <w:r>
        <w:t xml:space="preserve">[33] Olaya, F., Bray, J. D., and Abrahamson, N. 2024. Performance-Based Probabilistic Liquefaction-Induced Ground Settlement Procedure. </w:t>
      </w:r>
      <w:r w:rsidRPr="00863D76">
        <w:rPr>
          <w:lang w:val="es-PA"/>
        </w:rPr>
        <w:t>Earthquake Spectra 40 (2): 1301-1323. https://doi.org/10.1177/87552930241234289.</w:t>
      </w:r>
    </w:p>
    <w:p w:rsidR="00497881" w:rsidRDefault="00B513B6">
      <w:pPr>
        <w:pStyle w:val="References"/>
      </w:pPr>
      <w:r w:rsidRPr="00863D76">
        <w:rPr>
          <w:lang w:val="es-PA"/>
        </w:rPr>
        <w:t xml:space="preserve">[34] Ordaz, M., Salgado-Galvez, M. A., Manica, M. A., Ovando-Shelley, E., Faccioli, E., Osorio, L., and Madrigal, M. C. 2023. </w:t>
      </w:r>
      <w:r>
        <w:t>Event-Based Probabilistic Liquefaction Hazard Analysis for Defining Soil Acceptance Criteria. Soil Dynamics and Earthquake Engineering 166: 107781. https://doi.org/10.1016/j.soildyn.2023.107781.</w:t>
      </w:r>
    </w:p>
    <w:p w:rsidR="00AD65CC" w:rsidRDefault="000A5A2B">
      <w:pPr>
        <w:pStyle w:val="References"/>
      </w:pPr>
      <w:r>
        <w:t>[35] Phoon, K. K., and Ching, J., eds. 2015. Risk and Reliability in Geotechnical Engineering. Boca Raton, FL: CRC Press.</w:t>
      </w:r>
    </w:p>
    <w:p w:rsidR="00AD65CC" w:rsidRDefault="000A5A2B">
      <w:pPr>
        <w:pStyle w:val="References"/>
      </w:pPr>
      <w:r>
        <w:t>[36] Phoon, K. K., and Kulhawy, F. H. 1999. Characterization of Geotechnical Variability. Canadian Geotechnical Journal 36 (4): 612-624.</w:t>
      </w:r>
    </w:p>
    <w:p w:rsidR="00AD65CC" w:rsidRDefault="000A5A2B">
      <w:pPr>
        <w:pStyle w:val="References"/>
      </w:pPr>
      <w:r>
        <w:t>[37] Rackwitz, R. 2000. Reviewing Probabilistic Soils Modelling. Computers and Geotechnics 26 (3-4): 199-223.</w:t>
      </w:r>
    </w:p>
    <w:p w:rsidR="00AD65CC" w:rsidRDefault="000A5A2B">
      <w:pPr>
        <w:pStyle w:val="References"/>
      </w:pPr>
      <w:r>
        <w:t>[38] Robertson, P. K. 2009. Interpretation of Cone Penetration Tests: A Unified Approach. Canadian Geotechnical Journal 46 (11): 1337-1355.</w:t>
      </w:r>
    </w:p>
    <w:p w:rsidR="00AD65CC" w:rsidRDefault="000A5A2B">
      <w:pPr>
        <w:pStyle w:val="References"/>
      </w:pPr>
      <w:r>
        <w:t>[39] Robertson, P. K., and Wride, C. E. 1998. Evaluating Cyclic Liquefaction Potential Using the Cone Penetration Test. Canadian Geotechnical Journal 35 (3): 442-459.</w:t>
      </w:r>
    </w:p>
    <w:p w:rsidR="00AD65CC" w:rsidRDefault="000A5A2B">
      <w:pPr>
        <w:pStyle w:val="References"/>
      </w:pPr>
      <w:r>
        <w:t>[40] Rubinstein, R. Y., and Kroese, D. P. 2016. Simulation and the Monte Carlo Method. 3rd ed. Hoboken, NJ: Wiley.</w:t>
      </w:r>
    </w:p>
    <w:p w:rsidR="00AD65CC" w:rsidRDefault="000A5A2B">
      <w:pPr>
        <w:pStyle w:val="References"/>
      </w:pPr>
      <w:r>
        <w:t>[41] Saltelli, A., Ratto, M., Andres, T., Campolongo, F., Cariboni, J., Saisana, M., and Tarantola, S. 2008. Global Sensitivity Analysis: The Primer. Chichester: Wiley.</w:t>
      </w:r>
    </w:p>
    <w:p w:rsidR="00AD65CC" w:rsidRDefault="000A5A2B">
      <w:pPr>
        <w:pStyle w:val="References"/>
      </w:pPr>
      <w:r>
        <w:t>[42] Seed, H. B., and Idriss, I. M. 1971. Simplified Procedure for Evaluating Soil Liquefaction Potential. Journal of the Soil Mechanics and Foundations Division 97 (9): 1249-1273.</w:t>
      </w:r>
    </w:p>
    <w:p w:rsidR="00AD65CC" w:rsidRDefault="000A5A2B">
      <w:pPr>
        <w:pStyle w:val="References"/>
      </w:pPr>
      <w:r>
        <w:t>[43] Seed, H. B., Tokimatsu, K., Harder, L. F., and Chung, R. M. 1985. Influence of SPT Procedures in Soil Liquefaction Resistance Evaluations. Journal of Geotechnical Engineering 111 (12): 1425-1445.</w:t>
      </w:r>
    </w:p>
    <w:p w:rsidR="00AD65CC" w:rsidRDefault="000A5A2B">
      <w:pPr>
        <w:pStyle w:val="References"/>
      </w:pPr>
      <w:r>
        <w:t>[44] Skempton, A. W., and Brogan, J. M. 1994. Experiments on Piping in Sandy Gravels. Geotechnique 44 (3): 449-460.</w:t>
      </w:r>
    </w:p>
    <w:p w:rsidR="00AD65CC" w:rsidRDefault="000A5A2B">
      <w:pPr>
        <w:pStyle w:val="References"/>
      </w:pPr>
      <w:r>
        <w:t>[45] Sobol, I. M. 2001. Global Sensitivity Indices for Nonlinear Mathematical Models and Their Monte Carlo Estimates. Mathematics and Computers in Simulation 55 (1-3): 271-280.</w:t>
      </w:r>
    </w:p>
    <w:p w:rsidR="00AD65CC" w:rsidRDefault="000A5A2B">
      <w:pPr>
        <w:pStyle w:val="References"/>
      </w:pPr>
      <w:r>
        <w:t>[46] USGS. 2025. Regional Probabilistic Liquefaction Hazard Mapping for the Sacramento-San Joaquin River Delta. Final Technical Report G21AP10019. Reston, VA: U.S. Geological Survey.</w:t>
      </w:r>
    </w:p>
    <w:p w:rsidR="00AD65CC" w:rsidRDefault="000A5A2B">
      <w:pPr>
        <w:pStyle w:val="References"/>
      </w:pPr>
      <w:r>
        <w:t>[47] Vanmarcke, E. H. 1977. Probabilistic Modeling of Soil Profiles. Journal of the Geotechnical Engineering Division 103 (11): 1227-1246.</w:t>
      </w:r>
    </w:p>
    <w:p w:rsidR="00AD65CC" w:rsidRDefault="000A5A2B">
      <w:pPr>
        <w:pStyle w:val="References"/>
      </w:pPr>
      <w:r>
        <w:t>[48] Wan, C. F., and Fell, R. 2008. Assessing the Potential of Internal Instability and Suffusion in Embankment Dams and Their Foundations. Journal of Geotechnical and Geoenvironmental Engineering 134 (3): 401-407.</w:t>
      </w:r>
    </w:p>
    <w:p w:rsidR="00AD65CC" w:rsidRDefault="000A5A2B">
      <w:pPr>
        <w:pStyle w:val="References"/>
      </w:pPr>
      <w:r>
        <w:t>[49] Yang, Y., and Wei, Y. 2024. A New Shear Wave Velocity-Based Liquefaction Probability Model Using Logistic Regression: Emphasizing Fines Content Optimization. Applied Sciences 14 (15): 6793. https://doi.org/10.3390/app14156793.</w:t>
      </w:r>
    </w:p>
    <w:p w:rsidR="00AD65CC" w:rsidRDefault="000A5A2B">
      <w:pPr>
        <w:pStyle w:val="References"/>
      </w:pPr>
      <w:r>
        <w:t>[50] Youd, T. L., Idriss, I. M., Andrus, R. D., Arango, I., Castro, G., Christian, J. T., Dobry, R., Finn, W. D. L., Harder, L. F., Hynes, M. E., Ishihara, K., Koester, J. P., Liao, S. S. C., Marcuson, W. F., Martin, G. R., Mitchell, J. K., Moriwaki, Y., Power, M. S., Robertson, P. K., Seed, R. B., and Stokoe, K. H. 2001. Liquefaction Resistance of Soils: Summary Report from the 1996 NCEER and 1998 NCEER/NSF Workshops. Journal of Geotechnical and Geoenvironmental Engineering 127 (10): 817-833.</w:t>
      </w:r>
    </w:p>
    <w:p w:rsidR="003B066E" w:rsidRDefault="003B066E"/>
    <w:p w:rsidR="003B066E" w:rsidRDefault="003B066E">
      <w:pPr>
        <w:pStyle w:val="References"/>
      </w:pPr>
      <w:r>
        <w:t>[51] Guan, Z., and Wang, Y. 2024. Risk-informed adaptive sampling strategy for liquefaction severity mapping. Georisk 18 (2): 526-539. https://doi.org/10.1080/17499518.2023.2225165.</w:t>
      </w:r>
    </w:p>
    <w:p w:rsidR="003B066E" w:rsidRDefault="003B066E">
      <w:pPr>
        <w:pStyle w:val="References"/>
      </w:pPr>
      <w:r>
        <w:t>[52] Zhai, S., Du, G., Zhao, T., Zhuang, Z., and Liu, S. 2025. Assessment of resonance compaction effects on site liquefaction probability by considering spatial variability. Georisk 19 (3): 593-612. https://doi.org/10.1080/17499518.2025.2478625.</w:t>
      </w:r>
    </w:p>
    <w:p w:rsidR="003B066E" w:rsidRDefault="003B066E">
      <w:pPr>
        <w:pStyle w:val="References"/>
      </w:pPr>
      <w:r>
        <w:t>[53] van Staveren, M. T. 2009. Extending to geotechnical risk management. Georisk 3 (3): 174-183. https://doi.org/10.1080/17499510902788835.</w:t>
      </w:r>
    </w:p>
    <w:p w:rsidR="00F55AF2" w:rsidRDefault="003B066E">
      <w:pPr>
        <w:pStyle w:val="References"/>
      </w:pPr>
      <w:r>
        <w:t>[54] Sousa, R. L., Karam, K., and Einstein, H. H. 2014. Exploration analysis for landslide risk management. Georisk 8 (3): 155-170. https://doi.org/10.1080/17499518.2014.958174.</w:t>
      </w:r>
    </w:p>
    <w:p w:rsidR="004546B7" w:rsidRDefault="004546B7" w:rsidP="00967A9A"/>
    <w:sectPr w:rsidR="004546B7" w:rsidSect="00034616">
      <w:pgSz w:w="11906" w:h="16839"/>
      <w:pgMar w:top="1418" w:right="170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2A0"/>
    <w:rsid w:val="00034616"/>
    <w:rsid w:val="0006063C"/>
    <w:rsid w:val="00067C14"/>
    <w:rsid w:val="00070D9A"/>
    <w:rsid w:val="000A5A2B"/>
    <w:rsid w:val="000B5833"/>
    <w:rsid w:val="000E1204"/>
    <w:rsid w:val="000E2F88"/>
    <w:rsid w:val="0012763A"/>
    <w:rsid w:val="0015074B"/>
    <w:rsid w:val="001D33E7"/>
    <w:rsid w:val="001E223A"/>
    <w:rsid w:val="00211A9B"/>
    <w:rsid w:val="00225FE4"/>
    <w:rsid w:val="0029639D"/>
    <w:rsid w:val="002B4616"/>
    <w:rsid w:val="00311A2C"/>
    <w:rsid w:val="0032076F"/>
    <w:rsid w:val="00326F90"/>
    <w:rsid w:val="003424D3"/>
    <w:rsid w:val="003672F9"/>
    <w:rsid w:val="00380D34"/>
    <w:rsid w:val="003861EC"/>
    <w:rsid w:val="003A4107"/>
    <w:rsid w:val="003B066E"/>
    <w:rsid w:val="003C2675"/>
    <w:rsid w:val="004166E7"/>
    <w:rsid w:val="004457B8"/>
    <w:rsid w:val="004546B7"/>
    <w:rsid w:val="0047040E"/>
    <w:rsid w:val="00485EEF"/>
    <w:rsid w:val="00497881"/>
    <w:rsid w:val="0054172B"/>
    <w:rsid w:val="00554E27"/>
    <w:rsid w:val="0060192A"/>
    <w:rsid w:val="006C2A15"/>
    <w:rsid w:val="00731CB2"/>
    <w:rsid w:val="00755DA9"/>
    <w:rsid w:val="00774445"/>
    <w:rsid w:val="0078267C"/>
    <w:rsid w:val="00863D76"/>
    <w:rsid w:val="00882B38"/>
    <w:rsid w:val="008963EB"/>
    <w:rsid w:val="008F6A0C"/>
    <w:rsid w:val="00904639"/>
    <w:rsid w:val="00923608"/>
    <w:rsid w:val="00946BE6"/>
    <w:rsid w:val="00967A9A"/>
    <w:rsid w:val="00971019"/>
    <w:rsid w:val="009851A2"/>
    <w:rsid w:val="009A6FC1"/>
    <w:rsid w:val="009B35E5"/>
    <w:rsid w:val="00A10A22"/>
    <w:rsid w:val="00A371C2"/>
    <w:rsid w:val="00A459E4"/>
    <w:rsid w:val="00AA1D8D"/>
    <w:rsid w:val="00AA6395"/>
    <w:rsid w:val="00AB200C"/>
    <w:rsid w:val="00AD65CC"/>
    <w:rsid w:val="00AF3F64"/>
    <w:rsid w:val="00AF723E"/>
    <w:rsid w:val="00B20FAF"/>
    <w:rsid w:val="00B47730"/>
    <w:rsid w:val="00B513B6"/>
    <w:rsid w:val="00C94AFF"/>
    <w:rsid w:val="00CB0664"/>
    <w:rsid w:val="00CD5D77"/>
    <w:rsid w:val="00D24E97"/>
    <w:rsid w:val="00D94886"/>
    <w:rsid w:val="00DB1D60"/>
    <w:rsid w:val="00E85228"/>
    <w:rsid w:val="00E92571"/>
    <w:rsid w:val="00E94320"/>
    <w:rsid w:val="00EA4422"/>
    <w:rsid w:val="00F31386"/>
    <w:rsid w:val="00F436BC"/>
    <w:rsid w:val="00F55AF2"/>
    <w:rsid w:val="00FB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44F8D06-5E25-4794-B8BF-9ED74BDD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yperlink1">
    <w:name w:val="Hyperlink1"/>
    <w:rPr>
      <w:u w:val="single"/>
    </w:rPr>
  </w:style>
  <w:style w:type="table" w:styleId="PlainTable2">
    <w:name w:val="Plain Table 2"/>
    <w:basedOn w:val="TableNormal"/>
    <w:uiPriority w:val="42"/>
    <w:rsid w:val="007826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354D3-841C-45C7-A3B3-8C51693CA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11177</Words>
  <Characters>61478</Characters>
  <Application>Microsoft Office Word</Application>
  <DocSecurity>0</DocSecurity>
  <Lines>512</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reliability benchmark for non-stationary liquefaction probability under groundwater and gradation-change scenarios</dc:title>
  <dc:subject/>
  <dc:creator>Gabriel J. Montufar Chiriboga</dc:creator>
  <cp:keywords/>
  <dc:description/>
  <cp:lastModifiedBy>yo yo</cp:lastModifiedBy>
  <cp:revision>18</cp:revision>
  <cp:lastPrinted>2026-05-10T07:41:00Z</cp:lastPrinted>
  <dcterms:created xsi:type="dcterms:W3CDTF">2013-12-23T23:15:00Z</dcterms:created>
  <dcterms:modified xsi:type="dcterms:W3CDTF">2026-06-07T10:56:00Z</dcterms:modified>
  <cp:category/>
</cp:coreProperties>
</file>