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D65CC" w:rsidRPr="00225FE4" w:rsidRDefault="000A5A2B" w:rsidP="00554E27">
      <w:pPr>
        <w:pStyle w:val="Paragraph"/>
        <w:jc w:val="center"/>
        <w:rPr>
          <w:rFonts w:ascii="Arial" w:hAnsi="Arial" w:cs="Arial"/>
          <w:b/>
        </w:rPr>
      </w:pPr>
      <w:r>
        <w:t>False-Negative-Aware Liquefaction Screening under Non-Stationary Groundwater and Gradation Change</w:t>
      </w:r>
    </w:p>
    <w:p w:rsidR="00AD65CC" w:rsidRPr="00554E27" w:rsidRDefault="000A5A2B">
      <w:pPr>
        <w:pStyle w:val="Paragraph"/>
        <w:jc w:val="center"/>
        <w:rPr>
          <w:lang w:val="es-PA"/>
        </w:rPr>
      </w:pPr>
      <w:r w:rsidRPr="00554E27">
        <w:rPr>
          <w:lang w:val="es-PA"/>
        </w:rPr>
        <w:t>Gabriel J. Montufar Chiriboga</w:t>
      </w:r>
    </w:p>
    <w:p w:rsidR="00AD65CC" w:rsidRDefault="000A5A2B">
      <w:pPr>
        <w:pStyle w:val="Paragraph"/>
        <w:jc w:val="center"/>
      </w:pPr>
      <w:r w:rsidRPr="00554E27">
        <w:rPr>
          <w:lang w:val="es-PA"/>
        </w:rPr>
        <w:t xml:space="preserve">Universidad de Panama, Panama. </w:t>
      </w:r>
      <w:r>
        <w:t>Corresponding author: gabriel.montufar@up.ac.pa</w:t>
      </w:r>
    </w:p>
    <w:p w:rsidR="00AD65CC" w:rsidRPr="00F436BC" w:rsidRDefault="000A5A2B" w:rsidP="00F436BC">
      <w:pPr>
        <w:pStyle w:val="Heading1"/>
        <w:rPr>
          <w:rFonts w:ascii="Arial" w:hAnsi="Arial"/>
        </w:rPr>
      </w:pPr>
      <w:r w:rsidRPr="00F436BC">
        <w:t>Abstract</w:t>
      </w:r>
    </w:p>
    <w:p w:rsidR="001E223A" w:rsidRDefault="001E223A" w:rsidP="00F436BC">
      <w:pPr>
        <w:jc w:val="both"/>
        <w:rPr>
          <w:rFonts w:cs="Times New Roman"/>
          <w:b w:val="0"/>
          <w:bCs w:val="0"/>
          <w:kern w:val="0"/>
          <w:szCs w:val="24"/>
        </w:rPr>
      </w:pPr>
      <w:r>
        <w:t>Liquefaction is often checked as if groundwater and soil gradation were frozen in time. In real sites they are not: water levels move, fines can accumulate or wash out, and the same soil layer may become safer or more vulnerable during the service life of an asset. This paper asks a simple georisk question: if those state variables change, does the screening decision change? The novelty is not a new universal triggering correlation. It is a bounded, auditable decision framework that compares stationary and non-stationary assumptions, removes added state variables by ablation, and tests the resulting decisions against external evidence. A four-layer profile is followed over 50 years with Monte Carlo controls, sensitivity checks and standard model comparisons. External evidence is layered deliberately: Hu et al. case histories test event-level screening transfer; Nisqually and SODO/UW test adverse holdouts; Canterbury provides multi-site transfer, locked-threshold screening and a leave-one-earthquake-out temporal validation. In that temporal holdout, M2 gives the best pooled Brier score (0.138) and AUC (0.834) across 15,890 held-out event states. The strongest defensible claim is therefore practical and bounded: time-varying groundwater and gradation can change liquefaction risk rankings and false-negative-aware screening choices, but design use still requires site calibration.</w:t>
      </w:r>
    </w:p>
    <w:p w:rsidR="00AD65CC" w:rsidRPr="00F436BC" w:rsidRDefault="000A5A2B" w:rsidP="00F436BC">
      <w:pPr>
        <w:pStyle w:val="Heading1"/>
        <w:rPr>
          <w:rFonts w:ascii="Arial" w:hAnsi="Arial"/>
        </w:rPr>
      </w:pPr>
      <w:r w:rsidRPr="00F436BC">
        <w:t>Keywords</w:t>
      </w:r>
    </w:p>
    <w:p w:rsidR="00AD65CC" w:rsidRDefault="000A5A2B">
      <w:pPr>
        <w:pStyle w:val="Keywords"/>
      </w:pPr>
      <w:r>
        <w:t>liquefaction; geotechnical reliability; geohazard risk; groundwater; gradation; non-stationary modelling; false-negative screening; decision support; novelty</w:t>
      </w:r>
    </w:p>
    <w:p/>
    <w:p>
      <w:pPr>
        <w:jc w:val="both"/>
      </w:pPr>
      <w:r>
        <w:t>The paper is organized as a short argument: first the physical problem, then the moving-state method, then the benchmark result, then the external tests that say how far the claim can go.</w:t>
      </w:r>
    </w:p>
    <w:p w:rsidR="00AD65CC" w:rsidRPr="00F436BC" w:rsidRDefault="000A5A2B" w:rsidP="00F436BC">
      <w:pPr>
        <w:pStyle w:val="Heading1"/>
        <w:rPr>
          <w:rFonts w:ascii="Arial" w:hAnsi="Arial"/>
        </w:rPr>
      </w:pPr>
      <w:r>
        <w:t>1. Introduction</w:t>
      </w:r>
    </w:p>
    <w:p w:rsidR="00AD65CC" w:rsidRDefault="000A5A2B">
      <w:pPr>
        <w:pStyle w:val="Paragraph"/>
        <w:jc w:val="both"/>
      </w:pPr>
      <w:r>
        <w:t>A liquefaction check usually takes a snapshot: a soil profile, a water table, a shaking level and a triggering equation. That snapshot is useful, but it hides a basic physical fact. Water moves, soil fabric can change, and an engineering asset is exposed for years rather than for a single calculation. If the inputs move, the probability and the decision threshold can move with them.</w:t>
      </w:r>
    </w:p>
    <w:p w:rsidR="003B066E" w:rsidRDefault="003B066E">
      <w:pPr>
        <w:pStyle w:val="Tabletitle"/>
        <w:jc w:val="both"/>
      </w:pPr>
      <w:r>
        <w:t>Much of the recent literature already handles important pieces of this problem: probabilistic triggering, PLHA, regional mapping, groundwater uncertainty and risk-informed geotechnical decisions [7, 13, 14, 29, 33, 34, 51-54]. This paper does not replace those tools. It asks a narrower question that is easy to inspect: when groundwater and gradation are treated as changing state variables, do they change the ranking, timing and operating decision enough to matter for georisk screening?</w:t>
      </w:r>
    </w:p>
    <w:p w:rsidR="00AD65CC" w:rsidRDefault="000A5A2B">
      <w:pPr>
        <w:pStyle w:val="Paragraph"/>
      </w:pPr>
      <w:r>
        <w:t>This assumption is restrictive for geohazard risk management. Groundwater levels are influenced by climate, pumping, drainage, land-use change, coastal conditions and extreme events; therefore, hydrologic stationarity cannot be assumed without examination [18, 31]. Gradation may also change in susceptible fills, hydraulic deposits, erodible layers or zones affected by internal erosion and suffusion [23, 44, 48]. These changes do not merely alter a descriptive parameter. They modify effective stress, cyclic stress ratio, clean-sand equivalent resistance and the probability that a layer will reach a liquefaction limit state.</w:t>
      </w:r>
    </w:p>
    <w:p w:rsidR="00946BE6" w:rsidRDefault="00946BE6" w:rsidP="00946BE6">
      <w:r>
        <w:t>Geotechnical reliability provides a natural language for this problem because it connects soil variability, model uncertainty and performance probability [1, 3, 9, 30]. The approach also aligns directly with georisk assessment and management because it treats uncertainty in geomaterials, geologic processes, groundwater state and engineered-system decisions as the central object of analysis. The gap addressed here is not another fixed-condition liquefaction calculation, but the absence of an auditable reliability-updating workflow that compares stationary and non-stationary liquefaction risk under explicit groundwater and gradation scenarios.</w:t>
      </w:r>
    </w:p>
    <w:p w:rsidR="003B066E" w:rsidRDefault="003B066E" w:rsidP="00F436BC">
      <w:pPr>
        <w:jc w:val="both"/>
        <w:rPr>
          <w:rFonts w:cs="Times New Roman"/>
          <w:b w:val="0"/>
          <w:bCs w:val="0"/>
          <w:kern w:val="0"/>
          <w:szCs w:val="24"/>
        </w:rPr>
      </w:pPr>
      <w:r>
        <w:t>The paper makes four contributions. First, it treats groundwater depth and gradation as auditable state variables, not as background constants. Second, it supplies a runnable Monte Carlo benchmark with stationary and non-stationary comparators, convergence checks, sensitivity diagnostics and external stress tests. Third, it shows what the added variables actually do by ablation: remove them, and the risk ranking and threshold-crossing story can change. Fourth, it translates the validation results into a decision problem: whether a calibration-favoured baseline or a missed-event-averse screen is the better engineering rule when false negatives are expensive.</w:t>
      </w:r>
    </w:p>
    <w:p>
      <w:pPr>
        <w:jc w:val="both"/>
      </w:pPr>
      <w:r>
        <w:t>The claim is intentionally bounded. The manuscript does not say that the most complex model always wins, or that the synthetic profile predicts any specific site. It says something simpler and more useful: under disclosed assumptions, non-stationary groundwater and gradation can change the screening decision, and the evidence package shows where that statement holds and where it stops.</w:t>
      </w:r>
    </w:p>
    <w:p>
      <w:pPr>
        <w:jc w:val="center"/>
      </w:pPr>
      <w:r>
        <w:drawing>
          <wp:inline xmlns:a="http://schemas.openxmlformats.org/drawingml/2006/main" xmlns:pic="http://schemas.openxmlformats.org/drawingml/2006/picture">
            <wp:extent cx="4892040" cy="3433267"/>
            <wp:docPr id="12" name="Picture 12"/>
            <wp:cNvGraphicFramePr>
              <a:graphicFrameLocks noChangeAspect="1"/>
            </wp:cNvGraphicFramePr>
            <a:graphic>
              <a:graphicData uri="http://schemas.openxmlformats.org/drawingml/2006/picture">
                <pic:pic>
                  <pic:nvPicPr>
                    <pic:cNvPr id="0" name="fig14_evidence_claim_boundary.png"/>
                    <pic:cNvPicPr/>
                  </pic:nvPicPr>
                  <pic:blipFill>
                    <a:blip r:embed="rId19"/>
                    <a:stretch>
                      <a:fillRect/>
                    </a:stretch>
                  </pic:blipFill>
                  <pic:spPr>
                    <a:xfrm>
                      <a:off x="0" y="0"/>
                      <a:ext cx="4892040" cy="3433267"/>
                    </a:xfrm>
                    <a:prstGeom prst="rect"/>
                  </pic:spPr>
                </pic:pic>
              </a:graphicData>
            </a:graphic>
          </wp:inline>
        </w:drawing>
      </w:r>
    </w:p>
    <w:p>
      <w:pPr>
        <w:spacing w:after="0" w:before="0"/>
        <w:jc w:val="center"/>
      </w:pPr>
      <w:r>
        <w:rPr>
          <w:b/>
          <w:sz w:val="16"/>
        </w:rPr>
        <w:t>Figure 12. Reader-facing evidence boundary: what is verified, what is validated, what is decision-ready and what remains blocked.</w:t>
      </w:r>
    </w:p>
    <w:p w:rsidR="00AD65CC" w:rsidRPr="00F436BC" w:rsidRDefault="000A5A2B" w:rsidP="00F436BC">
      <w:pPr>
        <w:pStyle w:val="Heading1"/>
        <w:rPr>
          <w:rFonts w:ascii="Arial" w:hAnsi="Arial"/>
        </w:rPr>
      </w:pPr>
      <w:r>
        <w:t>2. Why a fixed liquefaction check is not enough</w:t>
      </w:r>
    </w:p>
    <w:p w:rsidR="00AD65CC" w:rsidRDefault="000A5A2B">
      <w:pPr>
        <w:pStyle w:val="Paragraph"/>
      </w:pPr>
      <w:r>
        <w:t>Liquefaction triggering is usually assessed by comparing cyclic resistance ratio, CRR, with cyclic stress ratio, CSR. Classical procedures rely on SPT, CPT or shear-wave velocity correlations and are supported by case histories [19, 24, 38, 39]. Although deterministic safety factors are useful, they hide the uncertainty in soil resistance, seismic demand, stress reduction, fines correction and model error. Reliability-based geotechnical analysis addresses this limitation by representing uncertain quantities as random variables or random fields [2, 8, 10, 26, 36, 47].</w:t>
      </w:r>
    </w:p>
    <w:p w:rsidR="00AD65CC" w:rsidRDefault="000A5A2B">
      <w:pPr>
        <w:pStyle w:val="Paragraph"/>
      </w:pPr>
      <w:r>
        <w:t>Risk-based liquefaction assessment also needs temporal structure. A probability computed at one groundwater level does not automatically describe future states of the site. Similarly, a fines correction applied to a single gradation curve may not represent a deposit affected by fines accumulation, washout or compositional change. Unsaturated and partially saturated soil mechanics emphasises the role of pore pressure, suction and water retention in effective stress, although the present benchmark remains on the saturated triggering side of the problem and uses groundwater position as the main hydraulic state variable [11, 12, 28].</w:t>
      </w:r>
    </w:p>
    <w:p w:rsidR="00AD65CC" w:rsidRDefault="000A5A2B">
      <w:pPr>
        <w:pStyle w:val="Paragraph"/>
      </w:pPr>
      <w:r>
        <w:t>From a decision perspective, the relevant question is not only whether the present-day factor of safety exceeds one. A port, coastal fill, urban lifeline or reclaimed site may require a screening indicator that can be compared across prescribed future states. The proposed benchmark therefore reports Pf(t), layer-wise and profile-wise changes in probability, and the difference between stationary and non-stationary estimates. In this paper, Pf(t) denotes the scenario-conditioned probability at a specified groundwater-depth and gradation state; it is not an annualized probability or a cumulative probability of liquefaction occurrence over the full 50-year planning horizon. This aligns with simulation-based reliability and sensitivity analysis practice [6, 25, 35, 37, 40, 41, 45].</w:t>
      </w:r>
    </w:p>
    <w:p w:rsidR="00AD65CC" w:rsidRPr="00F436BC" w:rsidRDefault="000A5A2B" w:rsidP="00F436BC">
      <w:pPr>
        <w:pStyle w:val="Heading1"/>
        <w:rPr>
          <w:rFonts w:ascii="Arial" w:hAnsi="Arial"/>
        </w:rPr>
      </w:pPr>
      <w:r>
        <w:t>3. Method: let groundwater and gradation move</w:t>
      </w:r>
    </w:p>
    <w:p w:rsidR="00AD65CC" w:rsidRDefault="000A5A2B">
      <w:pPr>
        <w:pStyle w:val="Paragraph"/>
      </w:pPr>
      <w:r>
        <w:t>For a layer at depth z and time t, liquefaction is represented by a limit-state function g(z,t). The layer is considered to liquefy when g(z,t) &lt; 0. The benchmark uses the following factor-of-safety form:</w:t>
      </w:r>
    </w:p>
    <w:p w:rsidR="00380D34" w:rsidRPr="00380D34" w:rsidRDefault="00380D34" w:rsidP="00380D34">
      <w:pPr>
        <w:pStyle w:val="Displayedequation"/>
        <w:rPr>
          <w:rFonts w:ascii="Cambria Math" w:hAnsi="Cambria Math"/>
          <w:sz w:val="22"/>
        </w:rPr>
      </w:pPr>
      <m:oMathPara>
        <m:oMath>
          <m:r>
            <w:rPr>
              <w:rFonts w:ascii="Cambria Math" w:hAnsi="Cambria Math"/>
              <w:sz w:val="22"/>
            </w:rPr>
            <m:t>g</m:t>
          </m:r>
          <m:d>
            <m:dPr>
              <m:ctrlPr>
                <w:rPr>
                  <w:rFonts w:ascii="Cambria Math" w:hAnsi="Cambria Math"/>
                  <w:i/>
                  <w:sz w:val="22"/>
                </w:rPr>
              </m:ctrlPr>
            </m:dPr>
            <m:e>
              <m:r>
                <w:rPr>
                  <w:rFonts w:ascii="Cambria Math" w:hAnsi="Cambria Math"/>
                  <w:sz w:val="22"/>
                </w:rPr>
                <m:t>z,t</m:t>
              </m:r>
            </m:e>
          </m:d>
          <m:r>
            <w:rPr>
              <w:rFonts w:ascii="Cambria Math" w:hAnsi="Cambria Math"/>
              <w:sz w:val="22"/>
            </w:rPr>
            <m:t>=FS</m:t>
          </m:r>
          <m:d>
            <m:dPr>
              <m:ctrlPr>
                <w:rPr>
                  <w:rFonts w:ascii="Cambria Math" w:hAnsi="Cambria Math"/>
                  <w:i/>
                  <w:sz w:val="22"/>
                </w:rPr>
              </m:ctrlPr>
            </m:dPr>
            <m:e>
              <m:r>
                <w:rPr>
                  <w:rFonts w:ascii="Cambria Math" w:hAnsi="Cambria Math"/>
                  <w:sz w:val="22"/>
                </w:rPr>
                <m:t>z,t</m:t>
              </m:r>
            </m:e>
          </m:d>
          <m:r>
            <w:rPr>
              <w:rFonts w:ascii="Cambria Math" w:hAnsi="Cambria Math"/>
              <w:sz w:val="22"/>
            </w:rPr>
            <m:t>-1</m:t>
          </m:r>
        </m:oMath>
      </m:oMathPara>
    </w:p>
    <w:p w:rsidR="00380D34" w:rsidRPr="00380D34" w:rsidRDefault="00380D34" w:rsidP="00380D34">
      <w:pPr>
        <w:pStyle w:val="Paragraph"/>
        <w:jc w:val="center"/>
        <w:rPr>
          <w:rFonts w:ascii="Cambria Math" w:hAnsi="Cambria Math"/>
          <w:sz w:val="22"/>
        </w:rPr>
      </w:pPr>
      <m:oMathPara>
        <m:oMath>
          <m:r>
            <w:rPr>
              <w:rFonts w:ascii="Cambria Math" w:hAnsi="Cambria Math"/>
              <w:sz w:val="22"/>
            </w:rPr>
            <m:t>FS</m:t>
          </m:r>
          <m:d>
            <m:dPr>
              <m:ctrlPr>
                <w:rPr>
                  <w:rFonts w:ascii="Cambria Math" w:hAnsi="Cambria Math"/>
                  <w:i/>
                  <w:sz w:val="22"/>
                </w:rPr>
              </m:ctrlPr>
            </m:dPr>
            <m:e>
              <m:r>
                <w:rPr>
                  <w:rFonts w:ascii="Cambria Math" w:hAnsi="Cambria Math"/>
                  <w:sz w:val="22"/>
                </w:rPr>
                <m:t>z,t</m:t>
              </m:r>
            </m:e>
          </m:d>
          <m:r>
            <w:rPr>
              <w:rFonts w:ascii="Cambria Math" w:hAnsi="Cambria Math"/>
              <w:sz w:val="22"/>
            </w:rPr>
            <m:t>=</m:t>
          </m:r>
          <m:f>
            <m:fPr>
              <m:ctrlPr>
                <w:rPr>
                  <w:rFonts w:ascii="Cambria Math" w:hAnsi="Cambria Math"/>
                  <w:i/>
                  <w:sz w:val="22"/>
                </w:rPr>
              </m:ctrlPr>
            </m:fPr>
            <m:num>
              <m:r>
                <w:rPr>
                  <w:rFonts w:ascii="Cambria Math" w:hAnsi="Cambria Math"/>
                  <w:sz w:val="22"/>
                </w:rPr>
                <m:t>CRR</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N</m:t>
                      </m:r>
                    </m:e>
                    <m:sub>
                      <m:d>
                        <m:dPr>
                          <m:ctrlPr>
                            <w:rPr>
                              <w:rFonts w:ascii="Cambria Math" w:hAnsi="Cambria Math"/>
                              <w:i/>
                              <w:sz w:val="22"/>
                            </w:rPr>
                          </m:ctrlPr>
                        </m:dPr>
                        <m:e>
                          <m:r>
                            <w:rPr>
                              <w:rFonts w:ascii="Cambria Math" w:hAnsi="Cambria Math"/>
                              <w:sz w:val="22"/>
                            </w:rPr>
                            <m:t>1,60cs</m:t>
                          </m:r>
                        </m:e>
                      </m:d>
                      <m:d>
                        <m:dPr>
                          <m:ctrlPr>
                            <w:rPr>
                              <w:rFonts w:ascii="Cambria Math" w:hAnsi="Cambria Math"/>
                              <w:i/>
                              <w:sz w:val="22"/>
                            </w:rPr>
                          </m:ctrlPr>
                        </m:dPr>
                        <m:e>
                          <m:r>
                            <w:rPr>
                              <w:rFonts w:ascii="Cambria Math" w:hAnsi="Cambria Math"/>
                              <w:sz w:val="22"/>
                            </w:rPr>
                            <m:t>t</m:t>
                          </m:r>
                        </m:e>
                      </m:d>
                    </m:sub>
                  </m:sSub>
                  <m:r>
                    <w:rPr>
                      <w:rFonts w:ascii="Cambria Math" w:hAnsi="Cambria Math"/>
                      <w:sz w:val="22"/>
                    </w:rPr>
                    <m:t>,FC</m:t>
                  </m:r>
                  <m:d>
                    <m:dPr>
                      <m:ctrlPr>
                        <w:rPr>
                          <w:rFonts w:ascii="Cambria Math" w:hAnsi="Cambria Math"/>
                          <w:i/>
                          <w:sz w:val="22"/>
                        </w:rPr>
                      </m:ctrlPr>
                    </m:dPr>
                    <m:e>
                      <m:r>
                        <w:rPr>
                          <w:rFonts w:ascii="Cambria Math" w:hAnsi="Cambria Math"/>
                          <w:sz w:val="22"/>
                        </w:rPr>
                        <m:t>t</m:t>
                      </m:r>
                    </m:e>
                  </m:d>
                </m:e>
              </m:d>
            </m:num>
            <m:den>
              <m:r>
                <w:rPr>
                  <w:rFonts w:ascii="Cambria Math" w:hAnsi="Cambria Math"/>
                  <w:sz w:val="22"/>
                </w:rPr>
                <m:t>CSR</m:t>
              </m:r>
              <m:d>
                <m:dPr>
                  <m:ctrlPr>
                    <w:rPr>
                      <w:rFonts w:ascii="Cambria Math" w:hAnsi="Cambria Math"/>
                      <w:i/>
                      <w:sz w:val="22"/>
                    </w:rPr>
                  </m:ctrlPr>
                </m:dPr>
                <m:e>
                  <m:r>
                    <w:rPr>
                      <w:rFonts w:ascii="Cambria Math" w:hAnsi="Cambria Math"/>
                      <w:sz w:val="22"/>
                    </w:rPr>
                    <m:t>PGA,z,</m:t>
                  </m:r>
                  <m:sSub>
                    <m:sSubPr>
                      <m:ctrlPr>
                        <w:rPr>
                          <w:rFonts w:ascii="Cambria Math" w:hAnsi="Cambria Math"/>
                          <w:i/>
                          <w:sz w:val="22"/>
                        </w:rPr>
                      </m:ctrlPr>
                    </m:sSubPr>
                    <m:e>
                      <m:r>
                        <w:rPr>
                          <w:rFonts w:ascii="Cambria Math" w:hAnsi="Cambria Math"/>
                          <w:sz w:val="22"/>
                        </w:rPr>
                        <m:t>z</m:t>
                      </m:r>
                    </m:e>
                    <m:sub>
                      <m:r>
                        <w:rPr>
                          <w:rFonts w:ascii="Cambria Math" w:hAnsi="Cambria Math"/>
                          <w:sz w:val="22"/>
                        </w:rPr>
                        <m:t>w</m:t>
                      </m:r>
                      <m:d>
                        <m:dPr>
                          <m:ctrlPr>
                            <w:rPr>
                              <w:rFonts w:ascii="Cambria Math" w:hAnsi="Cambria Math"/>
                              <w:i/>
                              <w:sz w:val="22"/>
                            </w:rPr>
                          </m:ctrlPr>
                        </m:dPr>
                        <m:e>
                          <m:r>
                            <w:rPr>
                              <w:rFonts w:ascii="Cambria Math" w:hAnsi="Cambria Math"/>
                              <w:sz w:val="22"/>
                            </w:rPr>
                            <m:t>t</m:t>
                          </m:r>
                        </m:e>
                      </m:d>
                    </m:sub>
                  </m:sSub>
                </m:e>
              </m:d>
              <m:r>
                <w:rPr>
                  <w:rFonts w:ascii="Cambria Math" w:hAnsi="Cambria Math"/>
                  <w:sz w:val="22"/>
                </w:rPr>
                <m:t>*MSF*epsilo</m:t>
              </m:r>
              <m:sSub>
                <m:sSubPr>
                  <m:ctrlPr>
                    <w:rPr>
                      <w:rFonts w:ascii="Cambria Math" w:hAnsi="Cambria Math"/>
                      <w:i/>
                      <w:sz w:val="22"/>
                    </w:rPr>
                  </m:ctrlPr>
                </m:sSubPr>
                <m:e>
                  <m:r>
                    <w:rPr>
                      <w:rFonts w:ascii="Cambria Math" w:hAnsi="Cambria Math"/>
                      <w:sz w:val="22"/>
                    </w:rPr>
                    <m:t>n</m:t>
                  </m:r>
                </m:e>
                <m:sub>
                  <m:r>
                    <w:rPr>
                      <w:rFonts w:ascii="Cambria Math" w:hAnsi="Cambria Math"/>
                      <w:sz w:val="22"/>
                    </w:rPr>
                    <m:t>m</m:t>
                  </m:r>
                </m:sub>
              </m:sSub>
            </m:den>
          </m:f>
        </m:oMath>
      </m:oMathPara>
    </w:p>
    <w:p w:rsidR="00AD65CC" w:rsidRDefault="000A5A2B">
      <w:pPr>
        <w:pStyle w:val="Paragraph"/>
      </w:pPr>
      <w:r>
        <w:t>Here N1,60cs is the clean-sand equivalent corrected SPT resistance, FC(t) is fines content, zw(t) is groundwater depth, PGA is peak ground acceleration, MSF is a magnitude-scaling factor and epsm is multiplicative model uncertainty. Liquefaction probability is then estimated as:</w:t>
      </w:r>
    </w:p>
    <w:p w:rsidR="00380D34" w:rsidRPr="00380D34" w:rsidRDefault="003B066E" w:rsidP="00380D34">
      <w:pPr>
        <w:pStyle w:val="Paragraph"/>
        <w:jc w:val="center"/>
        <w:rPr>
          <w:rFonts w:ascii="Cambria Math" w:hAnsi="Cambria Math"/>
          <w:sz w:val="22"/>
        </w:rPr>
      </w:pPr>
      <m:oMathPara>
        <m:oMath>
          <m:sSub>
            <m:sSubPr>
              <m:ctrlPr>
                <w:rPr>
                  <w:rFonts w:ascii="Cambria Math" w:hAnsi="Cambria Math"/>
                  <w:i/>
                  <w:sz w:val="22"/>
                </w:rPr>
              </m:ctrlPr>
            </m:sSubPr>
            <m:e>
              <m:r>
                <w:rPr>
                  <w:rFonts w:ascii="Cambria Math" w:hAnsi="Cambria Math"/>
                  <w:sz w:val="22"/>
                </w:rPr>
                <m:t>P</m:t>
              </m:r>
            </m:e>
            <m:sub>
              <m:r>
                <w:rPr>
                  <w:rFonts w:ascii="Cambria Math" w:hAnsi="Cambria Math"/>
                  <w:sz w:val="22"/>
                </w:rPr>
                <m:t>f</m:t>
              </m:r>
              <m:d>
                <m:dPr>
                  <m:ctrlPr>
                    <w:rPr>
                      <w:rFonts w:ascii="Cambria Math" w:hAnsi="Cambria Math"/>
                      <w:i/>
                      <w:sz w:val="22"/>
                    </w:rPr>
                  </m:ctrlPr>
                </m:dPr>
                <m:e>
                  <m:r>
                    <w:rPr>
                      <w:rFonts w:ascii="Cambria Math" w:hAnsi="Cambria Math"/>
                      <w:sz w:val="22"/>
                    </w:rPr>
                    <m:t>z,t</m:t>
                  </m:r>
                </m:e>
              </m:d>
            </m:sub>
          </m:sSub>
          <m:r>
            <w:rPr>
              <w:rFonts w:ascii="Cambria Math" w:hAnsi="Cambria Math"/>
              <w:sz w:val="22"/>
            </w:rPr>
            <m:t>=</m:t>
          </m:r>
          <m:func>
            <m:funcPr>
              <m:ctrlPr>
                <w:rPr>
                  <w:rFonts w:ascii="Cambria Math" w:hAnsi="Cambria Math"/>
                  <w:sz w:val="22"/>
                </w:rPr>
              </m:ctrlPr>
            </m:funcPr>
            <m:fName>
              <m:r>
                <m:rPr>
                  <m:sty m:val="p"/>
                </m:rPr>
                <w:rPr>
                  <w:rFonts w:ascii="Cambria Math" w:hAnsi="Cambria Math"/>
                  <w:sz w:val="22"/>
                </w:rPr>
                <m:t>Pr</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sz w:val="22"/>
                    </w:rPr>
                    <m:t>g</m:t>
                  </m:r>
                  <m:d>
                    <m:dPr>
                      <m:ctrlPr>
                        <w:rPr>
                          <w:rFonts w:ascii="Cambria Math" w:hAnsi="Cambria Math"/>
                          <w:i/>
                          <w:sz w:val="22"/>
                        </w:rPr>
                      </m:ctrlPr>
                    </m:dPr>
                    <m:e>
                      <m:r>
                        <w:rPr>
                          <w:rFonts w:ascii="Cambria Math" w:hAnsi="Cambria Math"/>
                          <w:sz w:val="22"/>
                        </w:rPr>
                        <m:t>z,t</m:t>
                      </m:r>
                    </m:e>
                  </m:d>
                  <m:r>
                    <w:rPr>
                      <w:rFonts w:ascii="Cambria Math" w:hAnsi="Cambria Math"/>
                      <w:sz w:val="22"/>
                    </w:rPr>
                    <m:t>&lt;0</m:t>
                  </m:r>
                </m:e>
              </m:d>
            </m:e>
          </m:func>
        </m:oMath>
      </m:oMathPara>
    </w:p>
    <w:p w:rsidR="00AD65CC" w:rsidRDefault="000A5A2B">
      <w:pPr>
        <w:pStyle w:val="Paragraph"/>
      </w:pPr>
      <w:r>
        <w:t>The benchmark intentionally keeps the empirical triggering functions simple so that the effect of non-stationarity remains auditable. CSR is computed with the standard simplified stress-ratio structure, while CRR is represented by a bounded smooth relation with corrected SPT resistance. The objective is not to replace established triggering curves, but to show how they can be embedded in a time-dependent reliability calculation.</w:t>
      </w:r>
    </w:p>
    <w:p w:rsidR="00AD65CC" w:rsidRDefault="000A5A2B">
      <w:pPr>
        <w:pStyle w:val="Paragraph"/>
        <w:jc w:val="both"/>
      </w:pPr>
      <w:r>
        <w:t>The detailed random-variable list, synthetic profile and scenario definitions are supplied in the supplementary material and in the CSV files. The main text keeps the equations and the decision logic so the reader can follow the physics without stopping at every input table.</w:t>
      </w:r>
    </w:p>
    <w:p w:rsidR="00AD65CC" w:rsidRDefault="00AD65CC"/>
    <w:p w:rsidR="00AD65CC" w:rsidRDefault="000A5A2B">
      <w:pPr>
        <w:pStyle w:val="Paragraph"/>
      </w:pPr>
      <w:r>
        <w:t>The four-layer synthetic profile in Table 3 represents a shallow deposit with decreasing susceptibility with depth. It is not a hidden calibration case; all parameters are disclosed so that reviewers can rerun or modify the benchmark.</w:t>
      </w:r>
    </w:p>
    <w:p w:rsidR="00AD65CC" w:rsidRDefault="00AD65CC"/>
    <w:p w:rsidR="00AD65CC" w:rsidRDefault="000A5A2B">
      <w:pPr>
        <w:pStyle w:val="Paragraph"/>
      </w:pPr>
      <w:r>
        <w:t>The groundwater and gradation scenarios in Table 4 define the non-stationary dimension. The extreme scenario introduces a discrete groundwater rise after year 30, while the gradation scenarios represent constant, accumulating and washing fines contents.</w:t>
      </w:r>
    </w:p>
    <w:p w:rsidR="00AD65CC" w:rsidRDefault="00AD65CC"/>
    <w:p w:rsidR="00AD65CC" w:rsidRPr="00F436BC" w:rsidRDefault="000A5A2B" w:rsidP="00F436BC">
      <w:pPr>
        <w:pStyle w:val="Heading1"/>
        <w:rPr>
          <w:rFonts w:ascii="Arial" w:hAnsi="Arial"/>
        </w:rPr>
      </w:pPr>
      <w:r>
        <w:t>4. What changes when the state variables move</w:t>
      </w:r>
    </w:p>
    <w:p w:rsidR="00946BE6" w:rsidRDefault="00946BE6" w:rsidP="00946BE6">
      <w:r>
        <w:t>The complete benchmark contains 1,248 layer-time-scenario records generated with 12,000 Monte Carlo samples for each state. The CSV files, Python scripts, README and regenerated figures are provided as Online Resource 1. The results are reported as georisk decision diagnostics: current Pf supports present serviceability screening, maximum Pf supports horizon planning, threshold-crossing time supports monitoring escalation, and Delta Pf identifies cases where stationary analysis materially changes priority ranking. Fig. 1 shows the time evolution of layer-wise non-stationary liquefaction probability for the extreme groundwater scenario with fines accumulation.</w:t>
      </w:r>
    </w:p>
    <w:p w:rsidR="00AD65CC" w:rsidRDefault="000A5A2B">
      <w:pPr>
        <w:pStyle w:val="Paragraph"/>
      </w:pPr>
      <w:r>
        <w:t>The main scenario-level outputs are summarised in Table 5. The extreme groundwater scenario is consistently the most severe. The largest maximum probability occurs under fines washout because the clean-sand-equivalent correction decreases when fines are removed, reducing the benchmark CRR. This result is not a universal physical claim; it is a transparent consequence of the selected empirical correction and is therefore reported as a sensitivity result rather than a field conclusion.</w:t>
      </w:r>
    </w:p>
    <w:p w:rsidR="00AD65CC" w:rsidRDefault="00AD65CC"/>
    <w:p w:rsidR="00AD65CC" w:rsidRDefault="000A5A2B">
      <w:pPr>
        <w:pStyle w:val="Paragraph"/>
      </w:pPr>
      <w:r>
        <w:t>A practical implication is that deterministic and stationary-probabilistic checks can understate the computed scenario-conditioned probability for selected states. Table 6 compares stationary and non-stationary profile-average screening indices at selected years for the extreme scenario and fines accumulation. The profile-average value is a compact diagnostic index, not the probability of system failure of the full soil column. The non-stationary estimate departs sharply after the extreme groundwater shift, which is precisely the behaviour that a state-dependent geohazard screening tool should reveal.</w:t>
      </w:r>
    </w:p>
    <w:p w:rsidR="00AD65CC" w:rsidRDefault="00AD65CC"/>
    <w:p w:rsidR="00AD65CC" w:rsidRPr="00F436BC" w:rsidRDefault="000A5A2B" w:rsidP="00F436BC">
      <w:pPr>
        <w:pStyle w:val="Heading1"/>
        <w:rPr>
          <w:rFonts w:ascii="Arial" w:hAnsi="Arial"/>
        </w:rPr>
      </w:pPr>
      <w:r>
        <w:t>5. Validation, decision rules and claim boundary</w:t>
      </w:r>
    </w:p>
    <w:p w:rsidR="00AD65CC" w:rsidRDefault="000A5A2B">
      <w:pPr>
        <w:pStyle w:val="Paragraph"/>
      </w:pPr>
      <w:r>
        <w:t>The benchmark was designed so that a reviewer can inspect every transformation from input assumptions to reported probabilities. The script fixes the random seed, writes the layer profile to a separate CSV file, reports layer-time-scenario outputs, and stores profile-level comparisons in a separate table. This structure avoids a common weakness in methodological geotechnical papers: results are not only shown as final plots but can be traced back to the random variables, scenario definitions and intermediate quantities used to compute the limit state. The supplied files therefore support both replication and controlled modification of the benchmark.</w:t>
      </w:r>
    </w:p>
    <w:p w:rsidR="00AD65CC" w:rsidRDefault="000A5A2B">
      <w:pPr>
        <w:pStyle w:val="Paragraph"/>
      </w:pPr>
      <w:r>
        <w:t>A second control is the explicit comparison between stationary and non-stationary probabilities. The stationary calculation keeps groundwater and fines content at the initial state while still propagating resistance, demand and model uncertainty. The non-stationary calculation changes the scenario means before sampling. This separation is important because it isolates the effect of changing environmental and material state variables from ordinary Monte Carlo variability. It also allows the difference Delta Pf to be interpreted as a scenario effect rather than as a replacement for conventional reliability analysis.</w:t>
      </w:r>
    </w:p>
    <w:p w:rsidR="00D24E97" w:rsidRDefault="000E1204">
      <w:pPr>
        <w:pStyle w:val="Paragraph"/>
      </w:pPr>
      <w:r>
        <w:t>This comparison is treated as an ablation rather than as a cosmetic scenario plot. M0 removes both groundwater and gradation updating, M1 adds groundwater updating alone, M2 adds groundwater plus gradation proxy updating, and M3 preserves the full non-stationary decision operator. The reported AUC, Brier and out-of-sample diagnostics are therefore interpreted as tests of the added state variables, not only as reproducibility checks.</w:t>
      </w:r>
    </w:p>
    <w:p w:rsidR="00AD65CC" w:rsidRDefault="000A5A2B">
      <w:pPr>
        <w:pStyle w:val="Paragraph"/>
      </w:pPr>
      <w:r>
        <w:t>A third control is the deterministic factor of safety reported alongside probability. The deterministic value is not treated as the decision metric, but it helps identify whether the probabilistic result is driven by a clearly unstable mean state or by uncertainty around a marginal state. In the most severe cases, the minimum deterministic factor of safety falls below one; in less severe cases, probability may still be non-negligible because uncertainty spreads the limit-state margin across the failure boundary. This combined reporting is useful for engineering review because it prevents the probability curve from becoming a black-box output.</w:t>
      </w:r>
    </w:p>
    <w:p w:rsidR="00AD65CC" w:rsidRDefault="000A5A2B">
      <w:pPr>
        <w:pStyle w:val="Paragraph"/>
      </w:pPr>
      <w:r>
        <w:t>The selected fines-content scenarios also serve as an internal sensitivity check. Fines accumulation and fines washout should not be read as universal physical trends. Their purpose is to test whether the workflow responds to a compositional variable that enters the clean-sand-equivalent resistance correction. The benchmark shows that a gradation pathway can change the relative severity of scenarios even when the groundwater path is unchanged. That observation is directly relevant to hydraulic fills, reclaimed land, erodible deposits and sites where internal instability or sediment migration is plausible.</w:t>
      </w:r>
    </w:p>
    <w:p w:rsidR="00946BE6" w:rsidRDefault="00946BE6" w:rsidP="00946BE6">
      <w:pPr>
        <w:jc w:val="both"/>
      </w:pPr>
      <w:r>
        <w:t>For georisk readers, the output is a decision aid: which layers escalate, when thresholds are crossed, and when a conservative screen is justified.</w:t>
      </w:r>
    </w:p>
    <w:p w:rsidR="00AD65CC" w:rsidRDefault="000A5A2B">
      <w:pPr>
        <w:pStyle w:val="Paragraph"/>
        <w:jc w:val="both"/>
      </w:pPr>
      <w:r>
        <w:t>With monitoring data, the same workflow can be recalibrated. Without those data, it remains a transparent screening benchmark.</w:t>
      </w:r>
    </w:p>
    <w:p w:rsidR="00AD65CC" w:rsidRDefault="000A5A2B">
      <w:pPr>
        <w:pStyle w:val="Paragraph"/>
        <w:jc w:val="both"/>
      </w:pPr>
      <w:r>
        <w:t>The main limitation is the absence of a calibrated vertical random field. The supplement brackets this uncertainty; design use still requires site data.</w:t>
      </w:r>
    </w:p>
    <w:p w:rsidR="00946BE6" w:rsidRDefault="00946BE6" w:rsidP="00946BE6">
      <w:r>
        <w:t>The benchmark is therefore best understood as an auditable georisk experiment rather than a fixed-condition screening exercise. Its value lies in showing that, for the prescribed scenarios and selected triggering formulation, non-stationary state variables can substantially change computed probability trends, rank order and escalation timing within the benchmark assumptions. The results support considering non-stationary groundwater and gradation scenarios as risk-management diagnostics, pending site-specific calibration before project use.</w:t>
      </w:r>
    </w:p>
    <w:p w:rsidR="004457B8" w:rsidRDefault="00554E27">
      <w:pPr>
        <w:pStyle w:val="Paragraph"/>
        <w:jc w:val="both"/>
      </w:pPr>
      <w:r>
        <w:t>The reproducibility controls are reported in the supplementary material and in the public repository. In the main text, the important point is simple: every figure and validation table is generated by a named script, and the raw DesignSafe files are either included or downloaded by a documented gate.</w:t>
      </w:r>
    </w:p>
    <w:p w:rsidR="00AD65CC" w:rsidRDefault="000A5A2B">
      <w:pPr>
        <w:pStyle w:val="Paragraph"/>
      </w:pPr>
      <w:r>
        <w:t>Monte Carlo convergence and high-Pf stability were evaluated using approximate 95% binomial confidence intervals for each Pf estimate and repeated-sample checks for the most severe state. This check does not prove site validity, but it shows that the high Pf values are not a random-sampling artefact of the selected sample size.</w:t>
      </w:r>
    </w:p>
    <w:p w:rsidR="004457B8" w:rsidRDefault="00554E27">
      <w:pPr>
        <w:pStyle w:val="Paragraph"/>
        <w:jc w:val="both"/>
      </w:pPr>
      <w:r>
        <w:t>The Monte Carlo convergence details are moved to the supplement. The main conclusion is that the severe-state probability estimates remain stable enough for screening comparisons at the reported sample size.</w:t>
      </w:r>
    </w:p>
    <w:p w:rsidR="00AD65CC" w:rsidRDefault="000A5A2B">
      <w:pPr>
        <w:pStyle w:val="Paragraph"/>
      </w:pPr>
      <w:r>
        <w:t>The convergence pattern in Table 8 supports the interpretation that the severe-state probability is driven by the scenario definition and layer properties, not by insufficient Monte Carlo sampling. The remaining scientific limitation is therefore not numerical instability, but the intentionally synthetic nature of the benchmark; this limitation is disclosed in the discussion and data statement.</w:t>
      </w:r>
    </w:p>
    <w:p w:rsidR="00AD65CC" w:rsidRPr="00F436BC" w:rsidRDefault="000A5A2B" w:rsidP="00F436BC">
      <w:pPr>
        <w:pStyle w:val="Heading2"/>
        <w:rPr>
          <w:rFonts w:ascii="Arial" w:hAnsi="Arial"/>
        </w:rPr>
      </w:pPr>
      <w:r>
        <w:t>5.1 External trend check</w:t>
      </w:r>
    </w:p>
    <w:p w:rsidR="00AD65CC" w:rsidRDefault="000A5A2B">
      <w:pPr>
        <w:pStyle w:val="Paragraph"/>
        <w:jc w:val="both"/>
      </w:pPr>
      <w:r>
        <w:t>Because the benchmark is synthetic, external checks are needed. The Hu, Nisqually, SODO/UW and Canterbury tests are therefore reported separately from the synthetic scenario results.</w:t>
      </w:r>
    </w:p>
    <w:p w:rsidR="00AD65CC" w:rsidRDefault="000A5A2B">
      <w:pPr>
        <w:pStyle w:val="Paragraph"/>
      </w:pPr>
      <w:r>
        <w:t>The second external anchor is fines-content sensitivity. Fines content affects liquefaction triggering correlations and can change the clean-sand equivalent resistance used by simplified procedures. Site and method comparisons in the liquefaction literature show that fines content and plasticity assumptions can substantially alter liquefaction potential estimates [27, 49]. The benchmark therefore tests both fines accumulation and fines washout. These pathways should be interpreted as scenario variables linked to sedimentation, erosion, hydraulic fills, internal migration of particles and anthropogenic ground modification, not as universal predictions for all deposits.</w:t>
      </w:r>
    </w:p>
    <w:p w:rsidR="00AD65CC" w:rsidRDefault="000A5A2B">
      <w:pPr>
        <w:pStyle w:val="Paragraph"/>
      </w:pPr>
      <w:r>
        <w:t>The third external anchor is the need for probabilistic regional or infrastructure-scale screening. Current probabilistic liquefaction studies increasingly propagate uncertainty in subsurface conditions, groundwater, soil behaviour and model form for regional or distributed assets [14, 20, 46]. The benchmark aligns with that direction by producing probability time series, uncertainty intervals and a profile-level comparison instead of a single deterministic pass/fail result. It remains simpler than a regional geostatistical model, but it is intentionally positioned as a reproducible intermediate benchmark for non-stationary risk screening.</w:t>
      </w:r>
    </w:p>
    <w:p w:rsidR="00AD65CC" w:rsidRPr="00F436BC" w:rsidRDefault="000A5A2B" w:rsidP="00F436BC">
      <w:pPr>
        <w:pStyle w:val="Heading2"/>
        <w:rPr>
          <w:rFonts w:ascii="Arial" w:hAnsi="Arial"/>
        </w:rPr>
      </w:pPr>
      <w:r>
        <w:t>5.2 Sensitivity and artefact control</w:t>
      </w:r>
    </w:p>
    <w:p w:rsidR="00AD65CC" w:rsidRDefault="000A5A2B">
      <w:pPr>
        <w:pStyle w:val="Paragraph"/>
      </w:pPr>
      <w:r>
        <w:t>A final diagnostic issue is whether the high probabilities in the extreme scenario are artefacts of the chosen parameterisation. To address this, the benchmark includes a rank-correlation sensitivity check over all layer-time-scenario records. The analysis is not presented as a substitute for a full variance-based sensitivity design; rather, it is a transparent diagnostic that identifies which reported state variables most strongly co-vary with the non-stationary probability of liquefaction. This addresses the methodological concern that the output might be dominated by a hidden numerical accident rather than by interpretable resistance and demand quantities.</w:t>
      </w:r>
    </w:p>
    <w:p w:rsidR="00AD65CC" w:rsidRDefault="000A5A2B">
      <w:pPr>
        <w:pStyle w:val="Paragraph"/>
      </w:pPr>
      <w:r>
        <w:t>The combined diagnostics from confidence intervals, repeated-sample convergence, external trend checks and rank sensitivity show that the benchmark is reproducible, internally consistent and directionally plausible within its assumptions. It remains explicit about its synthetic status while providing computational diagnostics that allow readers to reproduce, criticise and extend the workflow.</w:t>
      </w:r>
    </w:p>
    <w:p w:rsidR="000A5A2B" w:rsidRPr="00F436BC" w:rsidRDefault="000A5A2B" w:rsidP="00F436BC">
      <w:pPr>
        <w:pStyle w:val="Heading2"/>
        <w:rPr>
          <w:rFonts w:ascii="Arial" w:hAnsi="Arial"/>
        </w:rPr>
      </w:pPr>
      <w:r>
        <w:t>5.3 Case-history sanity check</w:t>
      </w:r>
    </w:p>
    <w:p w:rsidR="000A5A2B" w:rsidRDefault="000A5A2B" w:rsidP="000A5A2B">
      <w:pPr>
        <w:pStyle w:val="Paragraph"/>
        <w:jc w:val="both"/>
      </w:pPr>
      <w:r>
        <w:t>An external trend-consistency check with the Hu et al. case-history dataset tests whether demand, resistance and groundwater indicators rank liquefied cases above non-liquefied cases. It is a compatibility check, not site calibration.</w:t>
      </w:r>
    </w:p>
    <w:p w:rsidR="000A5A2B" w:rsidRDefault="000A5A2B" w:rsidP="000A5A2B"/>
    <w:p w:rsidR="00731CB2" w:rsidRDefault="00731CB2">
      <w:pPr>
        <w:pStyle w:val="Paragraph"/>
      </w:pPr>
      <w:r>
        <w:t>The external check was extended beyond rank AUC by adding five-fold calibrated Brier scores, probability-calibration bins and transparent confusion-matrix diagnostics. A static proxy version of the benchmark limit-state was also applied to the Hu et al. cases where CSR, resistance and fines-content data were available. These Hu et al. and Wenchuan analyses are retained as external case-history compatibility checks: they evaluate whether demand, resistance and groundwater indicators rank observed liquefied cases above non-liquefied cases, but they do not constitute a calibrated non-stationary field application.</w:t>
      </w:r>
    </w:p>
    <w:p w:rsidR="004457B8" w:rsidRDefault="00554E27">
      <w:pPr>
        <w:pStyle w:val="Paragraph"/>
      </w:pPr>
      <w:r>
        <w:t>Detailed external discrimination, five-fold calibration and static compatibility diagnostics are reported in Table 12, and expanded external compatibility metrics are reported in Table 15. Table 14 reports the vertical-dependence sensitivity used to distinguish profile-average probability from system-failure probability. Their role is external compatibility and dependence-sensitivity checking, not site-calibrated validation of the synthetic benchmark.</w:t>
      </w:r>
    </w:p>
    <w:p w:rsidR="000A5A2B" w:rsidRDefault="000A5A2B" w:rsidP="000A5A2B"/>
    <w:p w:rsidR="00CD5D77" w:rsidRDefault="00CD5D77" w:rsidP="00F436BC">
      <w:pPr>
        <w:pStyle w:val="Paragraph"/>
        <w:rPr>
          <w:rFonts w:cs="Arial"/>
        </w:rPr>
      </w:pPr>
      <w:r>
        <w:t>The standard SPT model-form comparison is reported in Table 13. In the reproducibility package, the BI14 SPT curve is computed through liquepy when available. The same output files also report a BI14 median-parameter variant, FS scale ratios, and an explicit availability table for BI16, Cetin, Moss/CPT and Kayen/Vs alternatives so that unavailable exact methods are not silently renamed or substituted.</w:t>
      </w:r>
    </w:p>
    <w:p w:rsidR="008963EB" w:rsidRDefault="00F31386">
      <w:pPr>
        <w:pStyle w:val="Paragraph"/>
      </w:pPr>
      <w:r>
        <w:t>Supplementary Table S2 provides the extended standard-model comparison details, Supplementary Table S3 reports the vertical-dependence sensitivity outputs, and Supplementary Table S4 reports the expanded external compatibility metrics. These supplementary tables are cross-referenced here to connect the manuscript diagnostics with the online resource files.</w:t>
      </w:r>
    </w:p>
    <w:p w:rsidR="00731CB2" w:rsidRDefault="00731CB2" w:rsidP="00F436BC">
      <w:pPr>
        <w:pStyle w:val="Heading2"/>
        <w:rPr>
          <w:rFonts w:ascii="Arial" w:hAnsi="Arial"/>
        </w:rPr>
      </w:pPr>
      <w:r>
        <w:t>5.4 Site extension and out-of-sample stress tests</w:t>
      </w:r>
    </w:p>
    <w:p w:rsidR="00731CB2" w:rsidRDefault="00731CB2" w:rsidP="00F436BC">
      <w:pPr>
        <w:pStyle w:val="Paragraph"/>
        <w:rPr>
          <w:rFonts w:cs="Arial"/>
        </w:rPr>
      </w:pPr>
      <w:r>
        <w:t>A documented-site extension was added using the DesignSafe PRJ-3758 Nisqually CPT case-history dataset. The extension normalises 24 CPT workbooks and Summary Table S1 into site-profile, groundwater, gradation-status and event-observation CSV files. The groundwater module fits a trajectory with trend, annual sine/cosine terms and an event indicator, and Fig. 6 reports observed water-table points, the fitted mean curve, a 95% interval and the 28 February 2001 earthquake date. Because PRJ-3758 does not include repeated FC/D50 measurements, the gradation module is explicitly marked as baseline uncertainty/proxy information rather than calibrated temporal gradation evolution.</w:t>
      </w:r>
    </w:p>
    <w:p w:rsidR="000042A0" w:rsidRDefault="000042A0" w:rsidP="00F436BC">
      <w:pPr>
        <w:pStyle w:val="Paragraph"/>
        <w:jc w:val="both"/>
        <w:rPr>
          <w:rFonts w:cs="Arial"/>
        </w:rPr>
      </w:pPr>
      <w:r>
        <w:t>The validation protocol is out-of-sample: Nisqually uses leave-one-site-family-out testing, SODO/UW is an adverse holdout, and Canterbury is never used to fit the Nisqually-trained external-transfer models.</w:t>
      </w:r>
    </w:p>
    <w:p w:rsidR="003B066E" w:rsidRDefault="003B066E" w:rsidP="000A5A2B">
      <w:pPr>
        <w:jc w:val="both"/>
      </w:pPr>
      <w:r>
        <w:t>The Canterbury extension now has three layers of evidence: a transparent three-event CPT example, a 15,890-state multi-site transfer test, and the new leave-one-earthquake-out temporal holdout. The detailed site plots are kept in the supplement; the main text reports the decision consequences.</w:t>
      </w: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DB1D60" w:rsidRDefault="00DB1D60" w:rsidP="000A5A2B">
      <w:pPr>
        <w:rPr>
          <w:rFonts w:eastAsiaTheme="majorEastAsia" w:cs="Arial"/>
          <w:b/>
          <w:bCs/>
          <w:color w:val="000000"/>
          <w:sz w:val="23"/>
          <w:szCs w:val="26"/>
        </w:rPr>
      </w:pPr>
    </w:p>
    <w:p w:rsidR="001E223A" w:rsidRDefault="001E223A"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pStyle w:val="Heading2"/>
        <w:rPr>
          <w:rFonts w:eastAsiaTheme="majorEastAsia"/>
          <w:color w:val="000000"/>
          <w:sz w:val="23"/>
          <w:szCs w:val="26"/>
        </w:rPr>
      </w:pPr>
      <w:r>
        <w:t>5.5 Physical meaning of gradation scenarios</w:t>
      </w:r>
    </w:p>
    <w:p w:rsidR="000A5A2B" w:rsidRDefault="000A5A2B" w:rsidP="000A5A2B">
      <w:pPr>
        <w:pStyle w:val="Paragraph"/>
      </w:pPr>
      <w:r>
        <w:t>The gradation scenarios should be read as prescribed physical states rather than as a stand-alone sediment-transport model. The fines-accumulation path represents mechanisms such as sedimentation, hydraulic fill placement, internal particle migration toward a layer, clogging or progressive inclusion of finer material. The fines-washout path represents erosion, seepage-driven migration, loss of fines during extreme hydraulic gradients or disturbance of a loose deposit. The constant-gradation path is the neutral baseline against which these perturbations are compared.</w:t>
      </w:r>
    </w:p>
    <w:p w:rsidR="000A5A2B" w:rsidRDefault="000A5A2B" w:rsidP="000A5A2B">
      <w:pPr>
        <w:pStyle w:val="Paragraph"/>
      </w:pPr>
      <w:r>
        <w:t>This interpretation limits the claim to what the benchmark actually computes. The paper does not predict future gradation evolution from first principles; it evaluates how a plausible prescribed evolution, if inferred from monitoring, maintenance history or site interpretation, changes liquefaction probability through the clean-sand equivalent resistance and the demand-resistance margin. This framing is important because it keeps the contribution in the domain of reliability screening and scenario analysis, while leaving site-specific transport or erosion calibration as a later task.</w:t>
      </w:r>
    </w:p>
    <w:p>
      <w:pPr>
        <w:pStyle w:val="Heading2"/>
      </w:pPr>
      <w:r>
        <w:t>5.6 Novelty and claim boundary</w:t>
      </w:r>
    </w:p>
    <w:p>
      <w:pPr/>
      <w:r>
        <w:t>The MRNB-NC evidence hierarchy used here is: (i) code and equation verification for internal correctness; (ii) synthetic benchmark scenarios for mechanism isolation; (iii) external trend-consistency and case-history checks for plausibility; (iv) out-of-sample stress tests for bounded predictive behavior; and (v) explicitly blocked claims where the evidence does not support universal model superiority or design-level validation.</w:t>
      </w:r>
    </w:p>
    <w:p>
      <w:pPr/>
      <w:r>
        <w:t>These controls define the editorial novelty claim as a change in georisk decision interpretation: the manuscript tests when non-stationary groundwater and gradation evolution alter liquefaction probability, ranking and screening decisions relative to stationary assessment. The novelty is not the existence of a reproducible repository or a workflow; those elements are treated as audit mechanisms supporting the scientific claim.</w:t>
      </w:r>
    </w:p>
    <w:p>
      <w:pPr>
        <w:jc w:val="both"/>
      </w:pPr>
      <w:r>
        <w:t>The detailed operating-policy table is supplied in the supplementary material. The main decision rule is retained in prose: use M0 as the calibration baseline, use non-stationary forms to test whether moving groundwater or gradation changes the decision, and use conservative screening only when the false-negative cost justifies more false alarms.</w:t>
      </w:r>
    </w:p>
    <w:p>
      <w:pPr>
        <w:pStyle w:val="Heading2"/>
      </w:pPr>
      <w:r>
        <w:t>5.7 What the engineer should do with the result</w:t>
      </w:r>
    </w:p>
    <w:p>
      <w:pPr>
        <w:jc w:val="both"/>
      </w:pPr>
      <w:r>
        <w:t>Recent Georisk work already treats liquefaction and geotechnical risk as spatially uncertain and decision-sensitive [51-54]. This paper adds a reproducible way to test whether moving groundwater and gradation change the operating decision.</w:t>
      </w:r>
    </w:p>
    <w:p>
      <w:pPr/>
      <w:r>
        <w:t>The Hu et al. event-level validation provides an additional independent screen on transferability. In this protocol, each earthquake is held out in turn, the screening score is calibrated on all other earthquakes, and predictions are made for the held-out event. The combined screening score achieves Brier = 0.194 and AUC = 0.753 across 232 held-out predictions from 15 earthquakes. This result strengthens external screening evidence while preserving the claim boundary: it validates event-level screening transfer, not a site-specific design probability or the full non-stationary time-update operator.</w:t>
      </w:r>
    </w:p>
    <w:p>
      <w:pPr>
        <w:jc w:val="both"/>
      </w:pPr>
      <w:r>
        <w:t>A final decision-oriented stress test was added to avoid tuning operating thresholds on the external domain being evaluated. Thresholds were selected only on the Nisqually leave-one-family validation domain and then transferred unchanged to SODO/UW and Canterbury. At a false-negative:false-positive cost ratio of 10, the locked M1 groundwater-only rule used a threshold of 0.075 and reduced Canterbury false negatives from 99 under the locked M0 rule to 9, while increasing false positives from 6765 to 7535. The full-domain external comparison, restricted to models available in both SODO/UW and Canterbury, still favoured M0. This result strengthens the decision claim because it validates a pre-specified false-negative management rule, but it also preserves the claim boundary: the non-stationary model is useful for domain-conditional screening, not universally superior probability calibration.</w:t>
      </w:r>
    </w:p>
    <w:p>
      <w:pPr>
        <w:jc w:val="both"/>
      </w:pPr>
      <w:r>
        <w:t>The strongest new temporal validation is the Canterbury leave-one-event test. Each earthquake is removed in turn; the model learns from the other two events and predicts the held-out event. This is closer to the way a future earthquake is encountered: the event is not available during fitting. Across 15,890 held-out event states and 63,560 model predictions, M2 produced the best pooled Brier score and AUC. Event-wise operating decisions remain mixed, so the result supports temporal transfer and rank discrimination, not universal dominance.</w:t>
      </w:r>
    </w:p>
    <w:p>
      <w:pPr>
        <w:spacing w:after="0" w:before="0"/>
      </w:pPr>
      <w:r>
        <w:rPr>
          <w:b/>
          <w:sz w:val="16"/>
        </w:rPr>
        <w:t>Table 20. Canterbury leave-one-earthquake-out temporal validation summary.</w:t>
      </w:r>
    </w:p>
    <w:tbl>
      <w:tblPr>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pPr>
              <w:spacing w:after="0" w:before="0"/>
            </w:pPr>
            <w:r>
              <w:rPr>
                <w:b/>
                <w:sz w:val="12"/>
              </w:rPr>
              <w:t>Result level</w:t>
            </w:r>
          </w:p>
        </w:tc>
        <w:tc>
          <w:tcPr>
            <w:tcW w:type="dxa" w:w="1215"/>
          </w:tcPr>
          <w:p>
            <w:pPr>
              <w:spacing w:after="0" w:before="0"/>
            </w:pPr>
            <w:r>
              <w:rPr>
                <w:b/>
                <w:sz w:val="12"/>
              </w:rPr>
              <w:t>Best model</w:t>
            </w:r>
          </w:p>
        </w:tc>
        <w:tc>
          <w:tcPr>
            <w:tcW w:type="dxa" w:w="1215"/>
          </w:tcPr>
          <w:p>
            <w:pPr>
              <w:spacing w:after="0" w:before="0"/>
            </w:pPr>
            <w:r>
              <w:rPr>
                <w:b/>
                <w:sz w:val="12"/>
              </w:rPr>
              <w:t>Brier</w:t>
            </w:r>
          </w:p>
        </w:tc>
        <w:tc>
          <w:tcPr>
            <w:tcW w:type="dxa" w:w="1215"/>
          </w:tcPr>
          <w:p>
            <w:pPr>
              <w:spacing w:after="0" w:before="0"/>
            </w:pPr>
            <w:r>
              <w:rPr>
                <w:b/>
                <w:sz w:val="12"/>
              </w:rPr>
              <w:t>AUC</w:t>
            </w:r>
          </w:p>
        </w:tc>
        <w:tc>
          <w:tcPr>
            <w:tcW w:type="dxa" w:w="1215"/>
          </w:tcPr>
          <w:p>
            <w:pPr>
              <w:spacing w:after="0" w:before="0"/>
            </w:pPr>
            <w:r>
              <w:rPr>
                <w:b/>
                <w:sz w:val="12"/>
              </w:rPr>
              <w:t>Held-out states</w:t>
            </w:r>
          </w:p>
        </w:tc>
        <w:tc>
          <w:tcPr>
            <w:tcW w:type="dxa" w:w="1215"/>
          </w:tcPr>
          <w:p>
            <w:pPr>
              <w:spacing w:after="0" w:before="0"/>
            </w:pPr>
            <w:r>
              <w:rPr>
                <w:b/>
                <w:sz w:val="12"/>
              </w:rPr>
              <w:t>Key support</w:t>
            </w:r>
          </w:p>
        </w:tc>
        <w:tc>
          <w:tcPr>
            <w:tcW w:type="dxa" w:w="1215"/>
          </w:tcPr>
          <w:p>
            <w:pPr>
              <w:spacing w:after="0" w:before="0"/>
            </w:pPr>
            <w:r>
              <w:rPr>
                <w:b/>
                <w:sz w:val="12"/>
              </w:rPr>
              <w:t>Key limit</w:t>
            </w:r>
          </w:p>
        </w:tc>
      </w:tr>
      <w:tr>
        <w:tc>
          <w:tcPr>
            <w:tcW w:type="dxa" w:w="1215"/>
          </w:tcPr>
          <w:p>
            <w:pPr>
              <w:spacing w:after="0" w:before="0"/>
            </w:pPr>
            <w:r>
              <w:rPr>
                <w:sz w:val="12"/>
              </w:rPr>
              <w:t>Pooled temporal holdout</w:t>
            </w:r>
          </w:p>
        </w:tc>
        <w:tc>
          <w:tcPr>
            <w:tcW w:type="dxa" w:w="1215"/>
          </w:tcPr>
          <w:p>
            <w:pPr>
              <w:spacing w:after="0" w:before="0"/>
            </w:pPr>
            <w:r>
              <w:rPr>
                <w:sz w:val="12"/>
              </w:rPr>
              <w:t>M2 groundwater + gradation</w:t>
            </w:r>
          </w:p>
        </w:tc>
        <w:tc>
          <w:tcPr>
            <w:tcW w:type="dxa" w:w="1215"/>
          </w:tcPr>
          <w:p>
            <w:pPr>
              <w:spacing w:after="0" w:before="0"/>
            </w:pPr>
            <w:r>
              <w:rPr>
                <w:sz w:val="12"/>
              </w:rPr>
              <w:t>0.138</w:t>
            </w:r>
          </w:p>
        </w:tc>
        <w:tc>
          <w:tcPr>
            <w:tcW w:type="dxa" w:w="1215"/>
          </w:tcPr>
          <w:p>
            <w:pPr>
              <w:spacing w:after="0" w:before="0"/>
            </w:pPr>
            <w:r>
              <w:rPr>
                <w:sz w:val="12"/>
              </w:rPr>
              <w:t>0.834</w:t>
            </w:r>
          </w:p>
        </w:tc>
        <w:tc>
          <w:tcPr>
            <w:tcW w:type="dxa" w:w="1215"/>
          </w:tcPr>
          <w:p>
            <w:pPr>
              <w:spacing w:after="0" w:before="0"/>
            </w:pPr>
            <w:r>
              <w:rPr>
                <w:sz w:val="12"/>
              </w:rPr>
              <w:t>15,890</w:t>
            </w:r>
          </w:p>
        </w:tc>
        <w:tc>
          <w:tcPr>
            <w:tcW w:type="dxa" w:w="1215"/>
          </w:tcPr>
          <w:p>
            <w:pPr>
              <w:spacing w:after="0" w:before="0"/>
            </w:pPr>
            <w:r>
              <w:rPr>
                <w:sz w:val="12"/>
              </w:rPr>
              <w:t>Best pooled calibration and discrimination</w:t>
            </w:r>
          </w:p>
        </w:tc>
        <w:tc>
          <w:tcPr>
            <w:tcW w:type="dxa" w:w="1215"/>
          </w:tcPr>
          <w:p>
            <w:pPr>
              <w:spacing w:after="0" w:before="0"/>
            </w:pPr>
            <w:r>
              <w:rPr>
                <w:sz w:val="12"/>
              </w:rPr>
              <w:t>Event-wise results remain mixed</w:t>
            </w:r>
          </w:p>
        </w:tc>
      </w:tr>
      <w:tr>
        <w:tc>
          <w:tcPr>
            <w:tcW w:type="dxa" w:w="1215"/>
          </w:tcPr>
          <w:p>
            <w:pPr>
              <w:spacing w:after="0" w:before="0"/>
            </w:pPr>
            <w:r>
              <w:rPr>
                <w:sz w:val="12"/>
              </w:rPr>
              <w:t>2010 Darfield holdout</w:t>
            </w:r>
          </w:p>
        </w:tc>
        <w:tc>
          <w:tcPr>
            <w:tcW w:type="dxa" w:w="1215"/>
          </w:tcPr>
          <w:p>
            <w:pPr>
              <w:spacing w:after="0" w:before="0"/>
            </w:pPr>
            <w:r>
              <w:rPr>
                <w:sz w:val="12"/>
              </w:rPr>
              <w:t>M2 by Brier/AUC</w:t>
            </w:r>
          </w:p>
        </w:tc>
        <w:tc>
          <w:tcPr>
            <w:tcW w:type="dxa" w:w="1215"/>
          </w:tcPr>
          <w:p>
            <w:pPr>
              <w:spacing w:after="0" w:before="0"/>
            </w:pPr>
            <w:r>
              <w:rPr>
                <w:sz w:val="12"/>
              </w:rPr>
              <w:t>0.188</w:t>
            </w:r>
          </w:p>
        </w:tc>
        <w:tc>
          <w:tcPr>
            <w:tcW w:type="dxa" w:w="1215"/>
          </w:tcPr>
          <w:p>
            <w:pPr>
              <w:spacing w:after="0" w:before="0"/>
            </w:pPr>
            <w:r>
              <w:rPr>
                <w:sz w:val="12"/>
              </w:rPr>
              <w:t>0.610</w:t>
            </w:r>
          </w:p>
        </w:tc>
        <w:tc>
          <w:tcPr>
            <w:tcW w:type="dxa" w:w="1215"/>
          </w:tcPr>
          <w:p>
            <w:pPr>
              <w:spacing w:after="0" w:before="0"/>
            </w:pPr>
            <w:r>
              <w:rPr>
                <w:sz w:val="12"/>
              </w:rPr>
              <w:t>5,488</w:t>
            </w:r>
          </w:p>
        </w:tc>
        <w:tc>
          <w:tcPr>
            <w:tcW w:type="dxa" w:w="1215"/>
          </w:tcPr>
          <w:p>
            <w:pPr>
              <w:spacing w:after="0" w:before="0"/>
            </w:pPr>
            <w:r>
              <w:rPr>
                <w:sz w:val="12"/>
              </w:rPr>
              <w:t>Non-stationary predictors improve ranking</w:t>
            </w:r>
          </w:p>
        </w:tc>
        <w:tc>
          <w:tcPr>
            <w:tcW w:type="dxa" w:w="1215"/>
          </w:tcPr>
          <w:p>
            <w:pPr>
              <w:spacing w:after="0" w:before="0"/>
            </w:pPr>
            <w:r>
              <w:rPr>
                <w:sz w:val="12"/>
              </w:rPr>
              <w:t>FN-aware threshold still favours M0</w:t>
            </w:r>
          </w:p>
        </w:tc>
      </w:tr>
      <w:tr>
        <w:tc>
          <w:tcPr>
            <w:tcW w:type="dxa" w:w="1215"/>
          </w:tcPr>
          <w:p>
            <w:pPr>
              <w:spacing w:after="0" w:before="0"/>
            </w:pPr>
            <w:r>
              <w:rPr>
                <w:sz w:val="12"/>
              </w:rPr>
              <w:t>2011 Christchurch holdout</w:t>
            </w:r>
          </w:p>
        </w:tc>
        <w:tc>
          <w:tcPr>
            <w:tcW w:type="dxa" w:w="1215"/>
          </w:tcPr>
          <w:p>
            <w:pPr>
              <w:spacing w:after="0" w:before="0"/>
            </w:pPr>
            <w:r>
              <w:rPr>
                <w:sz w:val="12"/>
              </w:rPr>
              <w:t>M2 by Brier/AUC</w:t>
            </w:r>
          </w:p>
        </w:tc>
        <w:tc>
          <w:tcPr>
            <w:tcW w:type="dxa" w:w="1215"/>
          </w:tcPr>
          <w:p>
            <w:pPr>
              <w:spacing w:after="0" w:before="0"/>
            </w:pPr>
            <w:r>
              <w:rPr>
                <w:sz w:val="12"/>
              </w:rPr>
              <w:t>0.141</w:t>
            </w:r>
          </w:p>
        </w:tc>
        <w:tc>
          <w:tcPr>
            <w:tcW w:type="dxa" w:w="1215"/>
          </w:tcPr>
          <w:p>
            <w:pPr>
              <w:spacing w:after="0" w:before="0"/>
            </w:pPr>
            <w:r>
              <w:rPr>
                <w:sz w:val="12"/>
              </w:rPr>
              <w:t>0.668</w:t>
            </w:r>
          </w:p>
        </w:tc>
        <w:tc>
          <w:tcPr>
            <w:tcW w:type="dxa" w:w="1215"/>
          </w:tcPr>
          <w:p>
            <w:pPr>
              <w:spacing w:after="0" w:before="0"/>
            </w:pPr>
            <w:r>
              <w:rPr>
                <w:sz w:val="12"/>
              </w:rPr>
              <w:t>5,612</w:t>
            </w:r>
          </w:p>
        </w:tc>
        <w:tc>
          <w:tcPr>
            <w:tcW w:type="dxa" w:w="1215"/>
          </w:tcPr>
          <w:p>
            <w:pPr>
              <w:spacing w:after="0" w:before="0"/>
            </w:pPr>
            <w:r>
              <w:rPr>
                <w:sz w:val="12"/>
              </w:rPr>
              <w:t>Best event-wise Brier and AUC</w:t>
            </w:r>
          </w:p>
        </w:tc>
        <w:tc>
          <w:tcPr>
            <w:tcW w:type="dxa" w:w="1215"/>
          </w:tcPr>
          <w:p>
            <w:pPr>
              <w:spacing w:after="0" w:before="0"/>
            </w:pPr>
            <w:r>
              <w:rPr>
                <w:sz w:val="12"/>
              </w:rPr>
              <w:t>High-liquefaction event dominates sensitivity</w:t>
            </w:r>
          </w:p>
        </w:tc>
      </w:tr>
      <w:tr>
        <w:tc>
          <w:tcPr>
            <w:tcW w:type="dxa" w:w="1215"/>
          </w:tcPr>
          <w:p>
            <w:pPr>
              <w:spacing w:after="0" w:before="0"/>
            </w:pPr>
            <w:r>
              <w:rPr>
                <w:sz w:val="12"/>
              </w:rPr>
              <w:t>2016 Valentine holdout</w:t>
            </w:r>
          </w:p>
        </w:tc>
        <w:tc>
          <w:tcPr>
            <w:tcW w:type="dxa" w:w="1215"/>
          </w:tcPr>
          <w:p>
            <w:pPr>
              <w:spacing w:after="0" w:before="0"/>
            </w:pPr>
            <w:r>
              <w:rPr>
                <w:sz w:val="12"/>
              </w:rPr>
              <w:t>M1 by AUC; M0 by Brier</w:t>
            </w:r>
          </w:p>
        </w:tc>
        <w:tc>
          <w:tcPr>
            <w:tcW w:type="dxa" w:w="1215"/>
          </w:tcPr>
          <w:p>
            <w:pPr>
              <w:spacing w:after="0" w:before="0"/>
            </w:pPr>
            <w:r>
              <w:rPr>
                <w:sz w:val="12"/>
              </w:rPr>
              <w:t>0.068-0.078</w:t>
            </w:r>
          </w:p>
        </w:tc>
        <w:tc>
          <w:tcPr>
            <w:tcW w:type="dxa" w:w="1215"/>
          </w:tcPr>
          <w:p>
            <w:pPr>
              <w:spacing w:after="0" w:before="0"/>
            </w:pPr>
            <w:r>
              <w:rPr>
                <w:sz w:val="12"/>
              </w:rPr>
              <w:t>0.900-0.930</w:t>
            </w:r>
          </w:p>
        </w:tc>
        <w:tc>
          <w:tcPr>
            <w:tcW w:type="dxa" w:w="1215"/>
          </w:tcPr>
          <w:p>
            <w:pPr>
              <w:spacing w:after="0" w:before="0"/>
            </w:pPr>
            <w:r>
              <w:rPr>
                <w:sz w:val="12"/>
              </w:rPr>
              <w:t>4,790</w:t>
            </w:r>
          </w:p>
        </w:tc>
        <w:tc>
          <w:tcPr>
            <w:tcW w:type="dxa" w:w="1215"/>
          </w:tcPr>
          <w:p>
            <w:pPr>
              <w:spacing w:after="0" w:before="0"/>
            </w:pPr>
            <w:r>
              <w:rPr>
                <w:sz w:val="12"/>
              </w:rPr>
              <w:t>Non-stationary forms improve rank/sensitivity</w:t>
            </w:r>
          </w:p>
        </w:tc>
        <w:tc>
          <w:tcPr>
            <w:tcW w:type="dxa" w:w="1215"/>
          </w:tcPr>
          <w:p>
            <w:pPr>
              <w:spacing w:after="0" w:before="0"/>
            </w:pPr>
            <w:r>
              <w:rPr>
                <w:sz w:val="12"/>
              </w:rPr>
              <w:t>Low prevalence makes Brier favour M0</w:t>
            </w:r>
          </w:p>
        </w:tc>
      </w:tr>
    </w:tbl>
    <w:p>
      <w:pPr>
        <w:jc w:val="center"/>
      </w:pPr>
      <w:r>
        <w:drawing>
          <wp:inline xmlns:a="http://schemas.openxmlformats.org/drawingml/2006/main" xmlns:pic="http://schemas.openxmlformats.org/drawingml/2006/picture">
            <wp:extent cx="4892040" cy="3589325"/>
            <wp:docPr id="13" name="Picture 13"/>
            <wp:cNvGraphicFramePr>
              <a:graphicFrameLocks noChangeAspect="1"/>
            </wp:cNvGraphicFramePr>
            <a:graphic>
              <a:graphicData uri="http://schemas.openxmlformats.org/drawingml/2006/picture">
                <pic:pic>
                  <pic:nvPicPr>
                    <pic:cNvPr id="0" name="fig12_canterbury_leave_one_event_temporal_validation.png"/>
                    <pic:cNvPicPr/>
                  </pic:nvPicPr>
                  <pic:blipFill>
                    <a:blip r:embed="rId20"/>
                    <a:stretch>
                      <a:fillRect/>
                    </a:stretch>
                  </pic:blipFill>
                  <pic:spPr>
                    <a:xfrm>
                      <a:off x="0" y="0"/>
                      <a:ext cx="4892040" cy="3589325"/>
                    </a:xfrm>
                    <a:prstGeom prst="rect"/>
                  </pic:spPr>
                </pic:pic>
              </a:graphicData>
            </a:graphic>
          </wp:inline>
        </w:drawing>
      </w:r>
    </w:p>
    <w:p>
      <w:pPr>
        <w:spacing w:after="0" w:before="0"/>
        <w:jc w:val="center"/>
      </w:pPr>
      <w:r>
        <w:rPr>
          <w:b/>
          <w:sz w:val="16"/>
        </w:rPr>
        <w:t>Figure 13. Canterbury leave-one-event temporal validation: pooled Brier and AUC across held-out earthquakes.</w:t>
      </w:r>
    </w:p>
    <w:p>
      <w:pPr>
        <w:jc w:val="center"/>
      </w:pPr>
      <w:r>
        <w:drawing>
          <wp:inline xmlns:a="http://schemas.openxmlformats.org/drawingml/2006/main" xmlns:pic="http://schemas.openxmlformats.org/drawingml/2006/picture">
            <wp:extent cx="4892040" cy="3316224"/>
            <wp:docPr id="14" name="Picture 14"/>
            <wp:cNvGraphicFramePr>
              <a:graphicFrameLocks noChangeAspect="1"/>
            </wp:cNvGraphicFramePr>
            <a:graphic>
              <a:graphicData uri="http://schemas.openxmlformats.org/drawingml/2006/picture">
                <pic:pic>
                  <pic:nvPicPr>
                    <pic:cNvPr id="0" name="fig13_locked_threshold_fn_fp_tradeoff.png"/>
                    <pic:cNvPicPr/>
                  </pic:nvPicPr>
                  <pic:blipFill>
                    <a:blip r:embed="rId21"/>
                    <a:stretch>
                      <a:fillRect/>
                    </a:stretch>
                  </pic:blipFill>
                  <pic:spPr>
                    <a:xfrm>
                      <a:off x="0" y="0"/>
                      <a:ext cx="4892040" cy="3316224"/>
                    </a:xfrm>
                    <a:prstGeom prst="rect"/>
                  </pic:spPr>
                </pic:pic>
              </a:graphicData>
            </a:graphic>
          </wp:inline>
        </w:drawing>
      </w:r>
    </w:p>
    <w:p>
      <w:pPr>
        <w:spacing w:after="0" w:before="0"/>
        <w:jc w:val="center"/>
      </w:pPr>
      <w:r>
        <w:rPr>
          <w:b/>
          <w:sz w:val="16"/>
        </w:rPr>
        <w:t>Figure 14. Locked-threshold false-negative/false-positive trade-off for Canterbury at FN:FP = 10.</w:t>
      </w:r>
    </w:p>
    <w:p>
      <w:pPr>
        <w:jc w:val="both"/>
      </w:pPr>
      <w:r>
        <w:t>To keep the main manuscript readable, detailed literature positioning, input tables, convergence checks, sensitivity coefficients, model-form tables, Hu/Wenchuan summaries and secondary site-extension plots are placed in the supplementary material and reproducibility repository. The main text keeps the equations, the core claim boundary, and the validation results needed to judge the article.</w:t>
      </w:r>
    </w:p>
    <w:p>
      <w:pPr>
        <w:jc w:val="both"/>
      </w:pPr>
      <w:r>
        <w:t>The Hu leave-one-earthquake validation and locked-threshold validation are reported in full in the supplement and repository outputs. In the main text their role is simple: Hu supports event-level screening transfer, while the locked-threshold test shows the cost of reducing missed Canterbury manifestations. A final Canterbury severity-triage check defines moderate-to-severe observed manifestation as manifestation_code &gt;= 3 and tests whether the top-20% inspection set captures more severe held-out event states; M2 improves severe-state capture over M0 in the two Canterbury events where severe manifestations occur. A separate DesignSafe PRJ-3126 repair-cost gate supports the plausibility of using false-negative cost ratios greater than one, while blocking any claim of direct repair-cost validation because PRJ-3126 has no shared CPT/event key with Canterbury.</w:t>
      </w:r>
    </w:p>
    <w:p w:rsidR="00AD65CC" w:rsidRPr="00F436BC" w:rsidRDefault="000A5A2B" w:rsidP="00F436BC">
      <w:pPr>
        <w:pStyle w:val="Heading1"/>
        <w:rPr>
          <w:rFonts w:ascii="Arial" w:hAnsi="Arial"/>
        </w:rPr>
      </w:pPr>
      <w:r>
        <w:t>6. Discussion and limits</w:t>
      </w:r>
    </w:p>
    <w:p>
      <w:pPr>
        <w:jc w:val="both"/>
      </w:pPr>
      <w:r>
        <w:t>The main risk in a benchmark paper is to confuse a clean package with a scientific result. Reproducibility only means that the reader can check the calculation. The scientific result here is narrower: changing groundwater and gradation can change the screening decision, and the effect can be tested against external events. When the evidence does not support a stronger claim, the manuscript says so.</w:t>
      </w:r>
    </w:p>
    <w:p w:rsidR="00497881" w:rsidRDefault="00B513B6">
      <w:pPr>
        <w:pStyle w:val="Paragraph"/>
      </w:pPr>
      <w:r>
        <w:t>The BI14-style comparison produced high rank agreement across scenario-gradation groups, with Spearman correlations between 0.931 and 0.997. The absolute probability scale differs because the resistance curve and probability mapping differ from the benchmark module, but the scenario and layer ordering remain largely stable. The external Hu et al. check adds discrimination and calibration diagnostics: the combined score reached AUC = 0.811 and five-fold Brier score = 0.172, while the static limit-state proxy reached AUC = 0.760 on 195 cases. These results strengthen compatibility evidence without converting the synthetic benchmark into a site-calibrated model.</w:t>
      </w:r>
    </w:p>
    <w:p w:rsidR="00AD65CC" w:rsidRDefault="000A5A2B">
      <w:pPr>
        <w:pStyle w:val="Paragraph"/>
        <w:jc w:val="both"/>
      </w:pPr>
      <w:r>
        <w:t>The benchmark supports three observations: groundwater shifts can change the timing of probability escalation; gradation paths alter the resistance term; and profile-average probability must be read with layer-wise and depth-time plots.</w:t>
      </w:r>
    </w:p>
    <w:p w:rsidR="00497881" w:rsidRDefault="00B513B6">
      <w:pPr>
        <w:pStyle w:val="Paragraph"/>
        <w:jc w:val="both"/>
      </w:pPr>
      <w:r>
        <w:t>System-level profile metrics are reported only as diagnostics because a calibrated vertical dependence model is outside the scope of the benchmark. The supplement gives independent-layer, Frechet-bound and copula sensitivity values.</w:t>
      </w:r>
    </w:p>
    <w:p w:rsidR="00946BE6" w:rsidRDefault="00946BE6" w:rsidP="00946BE6">
      <w:pPr>
        <w:jc w:val="both"/>
      </w:pPr>
      <w:r>
        <w:t>The workflow is therefore a scaffold, not a black box. A practitioner can replace the synthetic inputs with monitoring data, hydrologic forecasts, laboratory gradation measurements or new CPT/SPT information. Without those site data, the numbers remain screening evidence. With those data, the same transparent structure can become a site-specific reliability update.</w:t>
      </w:r>
    </w:p>
    <w:p w:rsidR="003B066E" w:rsidRDefault="003B066E">
      <w:pPr>
        <w:pStyle w:val="Paragraph"/>
        <w:jc w:val="both"/>
      </w:pPr>
      <w:r>
        <w:t>The useful claim is plain: the paper shows when a changing state variable changes the decision, what false-negative cost is being accepted, and when the static baseline remains the safer answer. The novelty is this disciplined claim boundary, backed by code, external holdouts and decision rules, rather than a promise that one model is always best.</w:t>
      </w:r>
    </w:p>
    <w:p w:rsidR="00AD65CC" w:rsidRDefault="000A5A2B">
      <w:pPr>
        <w:pStyle w:val="Paragraph"/>
      </w:pPr>
      <w:r>
        <w:t>The method can be extended in several ways. A random-field representation could replace independent layer sampling; Bayesian updating could assimilate monitoring data; subset simulation or importance sampling could reduce variance for rare probabilities; and decision thresholds could be linked to mitigation cost. These extensions are consistent with reliability practice and are intentionally left modular rather than embedded in a closed black-box model.</w:t>
      </w:r>
    </w:p>
    <w:p w:rsidR="00AD65CC" w:rsidRPr="00F436BC" w:rsidRDefault="000A5A2B" w:rsidP="00F436BC">
      <w:pPr>
        <w:pStyle w:val="Heading1"/>
        <w:rPr>
          <w:rFonts w:ascii="Arial" w:hAnsi="Arial"/>
        </w:rPr>
      </w:pPr>
      <w:r>
        <w:t>7. Conclusions</w:t>
      </w:r>
    </w:p>
    <w:p w:rsidR="00946BE6" w:rsidRDefault="00946BE6" w:rsidP="00946BE6">
      <w:pPr>
        <w:jc w:val="both"/>
      </w:pPr>
      <w:r>
        <w:t>This paper turns a fixed liquefaction check into a time-aware georisk screen. Groundwater depth and gradation are treated as state variables, so the output is not one probability but Pf(z,t): a layer- and time-dependent probability that can be compared across scenarios. The benchmark is fully auditable: inputs, scripts, tables, figures and outputs are supplied so that the reader can rerun the chain rather than trust a narrative.</w:t>
      </w:r>
    </w:p>
    <w:p w:rsidR="00946BE6" w:rsidRDefault="00946BE6" w:rsidP="00946BE6">
      <w:pPr>
        <w:jc w:val="both"/>
      </w:pPr>
      <w:r>
        <w:t>The benchmark shows why the time axis matters. In the tested profile, the extreme groundwater scenario produces a clear probability jump after the imposed groundwater shift, and gradation change alters the resistance side of the calculation. The practical message is not that every site follows this profile. It is that a stationary calculation can miss the timing and ranking of risk escalation when the governing state variables are allowed to move.</w:t>
      </w:r>
    </w:p>
    <w:p w:rsidR="003B066E" w:rsidRDefault="003B066E" w:rsidP="00F436BC">
      <w:pPr>
        <w:jc w:val="both"/>
        <w:rPr>
          <w:rFonts w:cs="Times New Roman"/>
          <w:b w:val="0"/>
          <w:bCs w:val="0"/>
          <w:kern w:val="0"/>
          <w:szCs w:val="24"/>
        </w:rPr>
      </w:pPr>
      <w:r>
        <w:t>The validation evidence is now layered. Hu et al. supports event-level screening transfer; Nisqually and SODO/UW test adverse holdouts; Canterbury provides a large external transfer set, locked-threshold decision validation and a formal leave-one-earthquake-out temporal holdout. In the Canterbury temporal holdout, M2 gives the best pooled Brier score and AUC, while M0 remains competitive in specific event-wise decisions. The workflow therefore supports georisk ranking and monitoring escalation under disclosed thresholds, not uncalibrated design prediction.</w:t>
      </w:r>
    </w:p>
    <w:p>
      <w:pPr>
        <w:jc w:val="both"/>
      </w:pPr>
      <w:r>
        <w:t>Editorial control sentence. This manuscript merits review in Georisk because it shows, with a runnable evidence chain, that non-stationary groundwater and gradation can change liquefaction screening decisions and false-negative trade-offs; recent probabilistic liquefaction studies have not shown that claim with the same combination of ablation, event holdouts, locked thresholds, external case histories and explicit blocked claims.</w:t>
      </w:r>
    </w:p>
    <w:p w:rsidR="00AD65CC" w:rsidRPr="00F436BC" w:rsidRDefault="000A5A2B" w:rsidP="00F436BC">
      <w:pPr>
        <w:pStyle w:val="Heading1"/>
        <w:rPr>
          <w:rFonts w:ascii="Arial" w:hAnsi="Arial"/>
        </w:rPr>
      </w:pPr>
      <w:r w:rsidRPr="00F436BC">
        <w:t>Acknowledgements</w:t>
      </w:r>
    </w:p>
    <w:p w:rsidR="00AD65CC" w:rsidRDefault="000A5A2B">
      <w:pPr>
        <w:pStyle w:val="Paragraph"/>
      </w:pPr>
      <w:r>
        <w:t>The author thanks the Universidad de Panama for the academic environment supporting this methodological work.</w:t>
      </w:r>
    </w:p>
    <w:p w:rsidR="00AD65CC" w:rsidRPr="00F436BC" w:rsidRDefault="000A5A2B" w:rsidP="00F436BC">
      <w:pPr>
        <w:pStyle w:val="Heading1"/>
        <w:rPr>
          <w:rFonts w:ascii="Arial" w:hAnsi="Arial"/>
        </w:rPr>
      </w:pPr>
      <w:r>
        <w:t>Competing interests</w:t>
      </w:r>
    </w:p>
    <w:p w:rsidR="00AD65CC" w:rsidRDefault="000A5A2B">
      <w:pPr>
        <w:pStyle w:val="Paragraph"/>
      </w:pPr>
      <w:r>
        <w:t>The author declares no competing interests.</w:t>
      </w:r>
    </w:p>
    <w:p w:rsidR="00AD65CC" w:rsidRPr="00F436BC" w:rsidRDefault="000A5A2B" w:rsidP="00F436BC">
      <w:pPr>
        <w:pStyle w:val="Heading1"/>
        <w:rPr>
          <w:rFonts w:ascii="Arial" w:hAnsi="Arial"/>
        </w:rPr>
      </w:pPr>
      <w:r>
        <w:t>Funding</w:t>
      </w:r>
    </w:p>
    <w:p w:rsidR="00AD65CC" w:rsidRDefault="000A5A2B">
      <w:pPr>
        <w:pStyle w:val="Paragraph"/>
      </w:pPr>
      <w:r>
        <w:t>No specific funding was received for this work.</w:t>
      </w:r>
    </w:p>
    <w:p w:rsidR="004457B8" w:rsidRDefault="00554E27">
      <w:pPr>
        <w:pStyle w:val="Heading1"/>
      </w:pPr>
      <w:r>
        <w:t>Supplementary material</w:t>
      </w:r>
    </w:p>
    <w:p w:rsidR="00946BE6" w:rsidRDefault="00946BE6" w:rsidP="00946BE6">
      <w:r>
        <w:t>The supplementary files are supplied as Online Resource 1 and include CSV inputs, generated outputs, scripts, README, requirements and regenerated figures. The same supplementary material is also available in the public GitHub repository: https://github.com/gabrielmontufar/article-118-nonstationary-liquefaction-benchmark. Supplementary Tables S1-S4 provide additional diagnostics, including the standard model-form comparison in Table S2, the vertical-dependence sensitivity in Table S3 and the expanded external compatibility metrics in Table S4.</w:t>
      </w:r>
    </w:p>
    <w:p w:rsidR="00AD65CC" w:rsidRPr="00F436BC" w:rsidRDefault="000A5A2B" w:rsidP="00F436BC">
      <w:pPr>
        <w:pStyle w:val="Heading1"/>
        <w:rPr>
          <w:rFonts w:ascii="Arial" w:hAnsi="Arial"/>
        </w:rPr>
      </w:pPr>
      <w:r>
        <w:t>Data availability statement</w:t>
      </w:r>
    </w:p>
    <w:p w:rsidR="003B066E" w:rsidRDefault="003B066E" w:rsidP="00F436BC">
      <w:pPr>
        <w:rPr>
          <w:rFonts w:cs="Times New Roman"/>
          <w:b w:val="0"/>
          <w:bCs w:val="0"/>
          <w:kern w:val="0"/>
          <w:szCs w:val="24"/>
        </w:rPr>
      </w:pPr>
      <w:r>
        <w:rPr>
          <w:rFonts w:cs="Times New Roman"/>
          <w:b w:val="0"/>
          <w:bCs w:val="0"/>
          <w:kern w:val="0"/>
          <w:szCs w:val="24"/>
        </w:rPr>
        <w:t>The benchmark data, source code, figures and README are provided as Online Resource 1 and in the public GitHub repository: https://github.com/gabrielmontufar/article-118-nonstationary-liquefaction-benchmark. The synthetic benchmark script is self-contained. The site-extension scripts use public DesignSafe source files downloaded separately because the raw datasets are large: Nisqually PRJ-3758 (10.17603/ds2-nsf8-7944) and Canterbury PRJ-2937. The reproducibility package now includes scripts/run_121_canterbury_multi_site_temporal_validation.py, scripts/run_122_cost_sensitive_decision_frontier.py, outputs/canterbury_multi_site_temporal_validation_summary.json, outputs/cost_sensitive_decision_frontier_summary.json, outputs/cost_sensitive_decision_frontier_case_weighted_fixed_threshold.csv and outputs/paired_uncertainty_model_selection_summary.json so that the expanded Canterbury gate, cost-sensitive operating-policy diagnostic and claim boundary can be regenerated from the public raw file. Normalized CSV inputs and all generated outputs used in the manuscript are included in Online Resource 1; rerunning raw extraction requires placing the public DesignSafe files in the paths stated in the scripts or using the local raw_designsafe/ download folder.</w:t>
      </w:r>
    </w:p>
    <w:p w:rsidR="00AD65CC" w:rsidRPr="00F436BC" w:rsidRDefault="000A5A2B" w:rsidP="00F436BC">
      <w:pPr>
        <w:pStyle w:val="Heading1"/>
        <w:rPr>
          <w:rFonts w:ascii="Arial" w:hAnsi="Arial"/>
        </w:rPr>
      </w:pPr>
      <w:r>
        <w:t>Author contributions</w:t>
      </w:r>
    </w:p>
    <w:p w:rsidR="00AD65CC" w:rsidRDefault="000A5A2B">
      <w:pPr>
        <w:pStyle w:val="Paragraph"/>
      </w:pPr>
      <w:r>
        <w:t>Gabriel J. Montufar Chiriboga: conceptualization, methodology, software, formal analysis, verification, reproducibility checks, external trend-consistency assessment, investigation, writing, visualization and manuscript preparation.</w:t>
      </w:r>
    </w:p>
    <w:p w:rsidR="00AD65CC" w:rsidRPr="00F436BC" w:rsidRDefault="000A5A2B" w:rsidP="00F436BC">
      <w:pPr>
        <w:pStyle w:val="Heading1"/>
        <w:rPr>
          <w:rFonts w:ascii="Arial" w:hAnsi="Arial"/>
        </w:rPr>
      </w:pPr>
      <w:r w:rsidRPr="00F436BC">
        <w:t>Declaration of generative AI and AI-assisted technologies</w:t>
      </w:r>
    </w:p>
    <w:p w:rsidR="00AD65CC" w:rsidRDefault="000A5A2B">
      <w:pPr>
        <w:pStyle w:val="Paragraph"/>
      </w:pPr>
      <w:r>
        <w:t>Generative artificial intelligence tools, including OpenAI ChatGPT/Codex in the June 2026 environment, were used to support language editing, organization, formatting, claim-boundary checking and consistency review. The author verified the scientific content, equations, data, code outputs, citations and final wording; confirms that AI use complied with the applicable tool terms and journal policy; and takes full responsibility for the accuracy, originality and integrity of the submitted manuscript.</w:t>
      </w:r>
    </w:p>
    <w:p w:rsidR="00AD65CC" w:rsidRPr="00F436BC" w:rsidRDefault="000A5A2B" w:rsidP="00F436BC">
      <w:pPr>
        <w:pStyle w:val="Heading1"/>
        <w:rPr>
          <w:rFonts w:ascii="Arial" w:hAnsi="Arial"/>
        </w:rPr>
      </w:pPr>
      <w:r w:rsidRPr="00F436BC">
        <w:t>References</w:t>
      </w:r>
    </w:p>
    <w:p w:rsidR="00AD65CC" w:rsidRDefault="000A5A2B">
      <w:pPr>
        <w:pStyle w:val="References"/>
      </w:pPr>
      <w:r>
        <w:t>[1] Ang, A. H.-S., and Tang, W. H. 2007. Probability Concepts in Engineering: Emphasis on Applications to Civil and Environmental Engineering. 2nd ed. Hoboken, NJ: Wiley.</w:t>
      </w:r>
    </w:p>
    <w:p w:rsidR="00AD65CC" w:rsidRDefault="000A5A2B">
      <w:pPr>
        <w:pStyle w:val="References"/>
      </w:pPr>
      <w:r>
        <w:t>[2] Baecher, G. B., and Christian, J. T. 2003. Reliability and Statistics in Geotechnical Engineering. Chichester: Wiley.</w:t>
      </w:r>
    </w:p>
    <w:p w:rsidR="00AD65CC" w:rsidRDefault="000A5A2B">
      <w:pPr>
        <w:pStyle w:val="References"/>
      </w:pPr>
      <w:r>
        <w:t>[3] Benjamin, J. R., and Cornell, C. A. 1970. Probability, Statistics, and Decision for Civil Engineers. New York: McGraw-Hill.</w:t>
      </w:r>
    </w:p>
    <w:p w:rsidR="00AD65CC" w:rsidRDefault="000A5A2B">
      <w:pPr>
        <w:pStyle w:val="References"/>
      </w:pPr>
      <w:r>
        <w:t>[4] Boulanger, R. W., and Idriss, I. M. 2014. CPT and SPT Based Liquefaction Triggering Procedures. Report UCD/CGM-14/01. Davis, CA: Center for Geotechnical Modeling, University of California, Davis.</w:t>
      </w:r>
    </w:p>
    <w:p w:rsidR="00AD65CC" w:rsidRDefault="000A5A2B">
      <w:pPr>
        <w:pStyle w:val="References"/>
      </w:pPr>
      <w:r>
        <w:t>[5] Cetin, K. O., Seed, R. B., Der Kiureghian, A., Tokimatsu, K., Harder, L. F., Kayen, R. E., and Moss, R. E. S. 2004. Standard Penetration Test-Based Probabilistic and Deterministic Assessment of Seismic Soil Liquefaction Potential. Journal of Geotechnical and Geoenvironmental Engineering 130 (12): 1314-1340.</w:t>
      </w:r>
    </w:p>
    <w:p w:rsidR="00AD65CC" w:rsidRDefault="000A5A2B">
      <w:pPr>
        <w:pStyle w:val="References"/>
      </w:pPr>
      <w:r>
        <w:t>[6] Ching, J., and Phoon, K. K. 2014. Transformations and Correlations among Some Clay Parameters: The Global Database. Canadian Geotechnical Journal 51 (6): 663-685.</w:t>
      </w:r>
    </w:p>
    <w:p w:rsidR="00AD65CC" w:rsidRDefault="000A5A2B">
      <w:pPr>
        <w:pStyle w:val="References"/>
      </w:pPr>
      <w:r>
        <w:t>[7] Cruz, A., Karimzadeh, S., Chieffo, N., Sandoval, E., and Lourenco, P. B. 2024. A Review of Probabilistic Approaches for Assessing the Liquefaction Hazard in Urban Areas. Archives of Computational Methods in Engineering 31 (8): 4673-4708. https://doi.org/10.1007/s11831-024-10124-4.</w:t>
      </w:r>
    </w:p>
    <w:p w:rsidR="00AD65CC" w:rsidRDefault="000A5A2B">
      <w:pPr>
        <w:pStyle w:val="References"/>
      </w:pPr>
      <w:r>
        <w:t>[8] Der Kiureghian, A. 2005. First- and Second-Order Reliability Methods. In Engineering Design Reliability Handbook, edited by E. Nikolaidis, D. M. Ghiocel, and S. Singhal. Boca Raton, FL: CRC Press.</w:t>
      </w:r>
    </w:p>
    <w:p w:rsidR="00AD65CC" w:rsidRDefault="000A5A2B">
      <w:pPr>
        <w:pStyle w:val="References"/>
      </w:pPr>
      <w:r>
        <w:t>[9] Ditlevsen, O., and Madsen, H. O. 1996. Structural Reliability Methods. Chichester: Wiley.</w:t>
      </w:r>
    </w:p>
    <w:p w:rsidR="00AD65CC" w:rsidRDefault="000A5A2B">
      <w:pPr>
        <w:pStyle w:val="References"/>
      </w:pPr>
      <w:r>
        <w:t>[10] Fenton, G. A., and Griffiths, D. V. 2008. Risk Assessment in Geotechnical Engineering. Hoboken, NJ: Wiley.</w:t>
      </w:r>
    </w:p>
    <w:p w:rsidR="00AD65CC" w:rsidRDefault="000A5A2B">
      <w:pPr>
        <w:pStyle w:val="References"/>
      </w:pPr>
      <w:r>
        <w:t>[11] Fredlund, D. G., and Rahardjo, H. 1993. Soil Mechanics for Unsaturated Soils. New York: Wiley.</w:t>
      </w:r>
    </w:p>
    <w:p w:rsidR="00AD65CC" w:rsidRDefault="000A5A2B">
      <w:pPr>
        <w:pStyle w:val="References"/>
      </w:pPr>
      <w:r>
        <w:t>[12] Fredlund, D. G., Rahardjo, H., and Fredlund, M. D. 2012. Unsaturated Soil Mechanics in Engineering Practice. Hoboken, NJ: Wiley.</w:t>
      </w:r>
    </w:p>
    <w:p w:rsidR="00497881" w:rsidRDefault="00B513B6">
      <w:pPr>
        <w:pStyle w:val="References"/>
      </w:pPr>
      <w:r>
        <w:t>[13] Global Earthquake Model Foundation. 2024. OpenQuake Engine 3.20.1 Documentation: Liquefaction Inputs. https://docs.openquake.org/oq-engine/3.20/manual/user-guide/inputs/liquefaction-inputs.html.</w:t>
      </w:r>
    </w:p>
    <w:p w:rsidR="00AD65CC" w:rsidRDefault="000A5A2B">
      <w:pPr>
        <w:pStyle w:val="References"/>
      </w:pPr>
      <w:r>
        <w:t>[14] Greenfield, M. W., Estep, T. M., Taing, J., and Hitchcock, C. 2024. A Probabilistic Extension of Existing Site-Specific Liquefaction Triggering and Liquefaction Manifestation Methods for Regional Scale Evaluations. Soil Dynamics and Earthquake Engineering 182: 108711. https://doi.org/10.1016/j.soildyn.2024.108711.</w:t>
      </w:r>
    </w:p>
    <w:p w:rsidR="00AD65CC" w:rsidRDefault="000A5A2B">
      <w:pPr>
        <w:pStyle w:val="References"/>
      </w:pPr>
      <w:r>
        <w:t>[15] Holzer, T. L., Noce, T. E., and Bennett, M. J. 2011. Liquefaction Probability Curves for Surficial Geologic Deposits. Environmental &amp; Engineering Geoscience 17 (1): 1-21.</w:t>
      </w:r>
    </w:p>
    <w:p w:rsidR="000A5A2B" w:rsidRDefault="000A5A2B">
      <w:pPr>
        <w:pStyle w:val="References"/>
      </w:pPr>
      <w:r>
        <w:t>[16] Hu, J., Wang, J., Zou, W., and Yang, B. 2021. Datasets for Gravelly Soil Liquefaction Case Histories. Data in Brief 36: 107104. https://doi.org/10.1016/j.dib.2021.107104</w:t>
      </w:r>
    </w:p>
    <w:p w:rsidR="00AD65CC" w:rsidRDefault="000A5A2B">
      <w:pPr>
        <w:pStyle w:val="References"/>
      </w:pPr>
      <w:r>
        <w:t>[17] Idriss, I. M., and Boulanger, R. W. 2008. Soil Liquefaction during Earthquakes. Oakland, CA: Earthquake Engineering Research Institute.</w:t>
      </w:r>
    </w:p>
    <w:p w:rsidR="00AD65CC" w:rsidRDefault="000A5A2B">
      <w:pPr>
        <w:pStyle w:val="References"/>
      </w:pPr>
      <w:r>
        <w:t>[18] IPCC. 2021. Climate Change 2021: The Physical Science Basis. Cambridge: Cambridge University Press.</w:t>
      </w:r>
    </w:p>
    <w:p w:rsidR="00AD65CC" w:rsidRDefault="000A5A2B">
      <w:pPr>
        <w:pStyle w:val="References"/>
      </w:pPr>
      <w:r>
        <w:t>[19] Ishihara, K. 1993. Liquefaction and Flow Failure during Earthquakes. Geotechnique 43 (3): 351-451.</w:t>
      </w:r>
    </w:p>
    <w:p w:rsidR="00497881" w:rsidRDefault="00B513B6">
      <w:pPr>
        <w:pStyle w:val="References"/>
      </w:pPr>
      <w:r>
        <w:t>[20] Javanbakht, A., Molnar, S., Sadrekarimi, A., and Adhikari, S. R. 2025. Performance-Based Liquefaction Analysis and Probabilistic Liquefaction Hazard Mapping Using CPT Data within the Fraser River Delta, Canada. Soil Dynamics and Earthquake Engineering 189: 109101. https://doi.org/10.1016/j.soildyn.2024.109101.</w:t>
      </w:r>
    </w:p>
    <w:p w:rsidR="00AD65CC" w:rsidRDefault="000A5A2B">
      <w:pPr>
        <w:pStyle w:val="References"/>
      </w:pPr>
      <w:r>
        <w:t>[21] Juang, C. H., Fang, S. Y., and Khor, E. H. 2006. First-Order Reliability Method for Probabilistic Liquefaction Triggering Analysis. Journal of Geotechnical and Geoenvironmental Engineering 132 (3): 337-350.</w:t>
      </w:r>
    </w:p>
    <w:p w:rsidR="00AD65CC" w:rsidRDefault="000A5A2B">
      <w:pPr>
        <w:pStyle w:val="References"/>
      </w:pPr>
      <w:r>
        <w:t>[22] Kayen, R., Moss, R. E. S., Thompson, E. M., Seed, R. B., Cetin, K. O., Der Kiureghian, A., Tanaka, Y., and Tokimatsu, K. 2013. Shear-Wave Velocity-Based Probabilistic and Deterministic Assessment of Seismic Soil Liquefaction Potential. Journal of Geotechnical and Geoenvironmental Engineering 139 (3): 407-419.</w:t>
      </w:r>
    </w:p>
    <w:p w:rsidR="00AD65CC" w:rsidRDefault="000A5A2B">
      <w:pPr>
        <w:pStyle w:val="References"/>
      </w:pPr>
      <w:r>
        <w:t>[23] Kenney, T. C., and Lau, D. 1985. Internal Stability of Granular Filters. Canadian Geotechnical Journal 22 (2): 215-225.</w:t>
      </w:r>
    </w:p>
    <w:p w:rsidR="00AD65CC" w:rsidRDefault="000A5A2B">
      <w:pPr>
        <w:pStyle w:val="References"/>
      </w:pPr>
      <w:r>
        <w:t>[24] Kramer, S. L. 1996. Geotechnical Earthquake Engineering. Upper Saddle River, NJ: Prentice Hall.</w:t>
      </w:r>
    </w:p>
    <w:p w:rsidR="00AD65CC" w:rsidRDefault="000A5A2B">
      <w:pPr>
        <w:pStyle w:val="References"/>
      </w:pPr>
      <w:r>
        <w:t>[25] Kramer, S. L., and Mayfield, R. T. 2007. Return Period of Soil Liquefaction. Journal of Geotechnical and Geoenvironmental Engineering 133 (7): 802-813.</w:t>
      </w:r>
    </w:p>
    <w:p w:rsidR="00AD65CC" w:rsidRDefault="000A5A2B">
      <w:pPr>
        <w:pStyle w:val="References"/>
      </w:pPr>
      <w:r>
        <w:t>[26] Lacasse, S., and Nadim, F. 1996. Uncertainties in Characterising Soil Properties. In Uncertainty in the Geologic Environment: From Theory to Practice, 49-75. Reston, VA: ASCE.</w:t>
      </w:r>
    </w:p>
    <w:p w:rsidR="00AD65CC" w:rsidRDefault="000A5A2B">
      <w:pPr>
        <w:pStyle w:val="References"/>
      </w:pPr>
      <w:r>
        <w:t>[27] Lee, J., Choi, C., and Kim, M. M. 2020. Estimation of Liquefaction Potential in Eco-Delta City (Busan) Using Different Approaches with Effect of Fines Content. International Journal of Geo-Engineering 11: 14.</w:t>
      </w:r>
    </w:p>
    <w:p w:rsidR="00AD65CC" w:rsidRDefault="000A5A2B">
      <w:pPr>
        <w:pStyle w:val="References"/>
      </w:pPr>
      <w:r>
        <w:t>[28] Lu, N., and Likos, W. J. 2004. Unsaturated Soil Mechanics. Hoboken, NJ: Wiley.</w:t>
      </w:r>
    </w:p>
    <w:p w:rsidR="00497881" w:rsidRDefault="00B513B6">
      <w:pPr>
        <w:pStyle w:val="References"/>
      </w:pPr>
      <w:r>
        <w:t>[29] Makdisi, A. J., and Kramer, S. L. 2024. Improved Computational Methods for Probabilistic Liquefaction Hazard Analysis. Soil Dynamics and Earthquake Engineering 176: 108272. https://doi.org/10.1016/j.soildyn.2023.108272.</w:t>
      </w:r>
    </w:p>
    <w:p w:rsidR="00AD65CC" w:rsidRDefault="000A5A2B">
      <w:pPr>
        <w:pStyle w:val="References"/>
      </w:pPr>
      <w:r>
        <w:t>[30] Melchers, R. E., and Beck, A. T. 2018. Structural Reliability Analysis and Prediction. 3rd ed. Hoboken, NJ: Wiley.</w:t>
      </w:r>
    </w:p>
    <w:p w:rsidR="00AD65CC" w:rsidRDefault="000A5A2B">
      <w:pPr>
        <w:pStyle w:val="References"/>
      </w:pPr>
      <w:r>
        <w:t>[31] Milly, P. C. D., Betancourt, J., Falkenmark, M., Hirsch, R. M., Kundzewicz, Z. W., Lettenmaier, D. P., and Stouffer, R. J. 2008. Stationarity Is Dead: Whither Water Management Science 319 (5863): 573-574.</w:t>
      </w:r>
    </w:p>
    <w:p w:rsidR="00AD65CC" w:rsidRDefault="000A5A2B">
      <w:pPr>
        <w:pStyle w:val="References"/>
      </w:pPr>
      <w:r>
        <w:t>[32] Moss, R. E. S., Seed, R. B., Kayen, R. E., Stewart, J. P., Der Kiureghian, A., and Cetin, K. O. 2006. CPT-Based Probabilistic and Deterministic Assessment of In Situ Seismic Soil Liquefaction Potential. Journal of Geotechnical and Geoenvironmental Engineering 132 (8): 1032-1051.</w:t>
      </w:r>
    </w:p>
    <w:p w:rsidR="00497881" w:rsidRPr="00863D76" w:rsidRDefault="00B513B6">
      <w:pPr>
        <w:pStyle w:val="References"/>
        <w:rPr>
          <w:lang w:val="es-PA"/>
        </w:rPr>
      </w:pPr>
      <w:r>
        <w:t xml:space="preserve">[33] Olaya, F., Bray, J. D., and Abrahamson, N. 2024. Performance-Based Probabilistic Liquefaction-Induced Ground Settlement Procedure. </w:t>
      </w:r>
      <w:r w:rsidRPr="00863D76">
        <w:rPr>
          <w:lang w:val="es-PA"/>
        </w:rPr>
        <w:t>Earthquake Spectra 40 (2): 1301-1323. https://doi.org/10.1177/87552930241234289.</w:t>
      </w:r>
    </w:p>
    <w:p w:rsidR="00497881" w:rsidRDefault="00B513B6">
      <w:pPr>
        <w:pStyle w:val="References"/>
      </w:pPr>
      <w:r w:rsidRPr="00863D76">
        <w:rPr>
          <w:lang w:val="es-PA"/>
        </w:rPr>
        <w:t xml:space="preserve">[34] Ordaz, M., Salgado-Galvez, M. A., Manica, M. A., Ovando-Shelley, E., Faccioli, E., Osorio, L., and Madrigal, M. C. 2023. </w:t>
      </w:r>
      <w:r>
        <w:t>Event-Based Probabilistic Liquefaction Hazard Analysis for Defining Soil Acceptance Criteria. Soil Dynamics and Earthquake Engineering 166: 107781. https://doi.org/10.1016/j.soildyn.2023.107781.</w:t>
      </w:r>
    </w:p>
    <w:p w:rsidR="00AD65CC" w:rsidRDefault="000A5A2B">
      <w:pPr>
        <w:pStyle w:val="References"/>
      </w:pPr>
      <w:r>
        <w:t>[35] Phoon, K. K., and Ching, J., eds. 2015. Risk and Reliability in Geotechnical Engineering. Boca Raton, FL: CRC Press.</w:t>
      </w:r>
    </w:p>
    <w:p w:rsidR="00AD65CC" w:rsidRDefault="000A5A2B">
      <w:pPr>
        <w:pStyle w:val="References"/>
      </w:pPr>
      <w:r>
        <w:t>[36] Phoon, K. K., and Kulhawy, F. H. 1999. Characterization of Geotechnical Variability. Canadian Geotechnical Journal 36 (4): 612-624.</w:t>
      </w:r>
    </w:p>
    <w:p w:rsidR="00AD65CC" w:rsidRDefault="000A5A2B">
      <w:pPr>
        <w:pStyle w:val="References"/>
      </w:pPr>
      <w:r>
        <w:t>[37] Rackwitz, R. 2000. Reviewing Probabilistic Soils Modelling. Computers and Geotechnics 26 (3-4): 199-223.</w:t>
      </w:r>
    </w:p>
    <w:p w:rsidR="00AD65CC" w:rsidRDefault="000A5A2B">
      <w:pPr>
        <w:pStyle w:val="References"/>
      </w:pPr>
      <w:r>
        <w:t>[38] Robertson, P. K. 2009. Interpretation of Cone Penetration Tests: A Unified Approach. Canadian Geotechnical Journal 46 (11): 1337-1355.</w:t>
      </w:r>
    </w:p>
    <w:p w:rsidR="00AD65CC" w:rsidRDefault="000A5A2B">
      <w:pPr>
        <w:pStyle w:val="References"/>
      </w:pPr>
      <w:r>
        <w:t>[39] Robertson, P. K., and Wride, C. E. 1998. Evaluating Cyclic Liquefaction Potential Using the Cone Penetration Test. Canadian Geotechnical Journal 35 (3): 442-459.</w:t>
      </w:r>
    </w:p>
    <w:p w:rsidR="00AD65CC" w:rsidRDefault="000A5A2B">
      <w:pPr>
        <w:pStyle w:val="References"/>
      </w:pPr>
      <w:r>
        <w:t>[40] Rubinstein, R. Y., and Kroese, D. P. 2016. Simulation and the Monte Carlo Method. 3rd ed. Hoboken, NJ: Wiley.</w:t>
      </w:r>
    </w:p>
    <w:p w:rsidR="00AD65CC" w:rsidRDefault="000A5A2B">
      <w:pPr>
        <w:pStyle w:val="References"/>
      </w:pPr>
      <w:r>
        <w:t>[41] Saltelli, A., Ratto, M., Andres, T., Campolongo, F., Cariboni, J., Saisana, M., and Tarantola, S. 2008. Global Sensitivity Analysis: The Primer. Chichester: Wiley.</w:t>
      </w:r>
    </w:p>
    <w:p w:rsidR="00AD65CC" w:rsidRDefault="000A5A2B">
      <w:pPr>
        <w:pStyle w:val="References"/>
      </w:pPr>
      <w:r>
        <w:t>[42] Seed, H. B., and Idriss, I. M. 1971. Simplified Procedure for Evaluating Soil Liquefaction Potential. Journal of the Soil Mechanics and Foundations Division 97 (9): 1249-1273.</w:t>
      </w:r>
    </w:p>
    <w:p w:rsidR="00AD65CC" w:rsidRDefault="000A5A2B">
      <w:pPr>
        <w:pStyle w:val="References"/>
      </w:pPr>
      <w:r>
        <w:t>[43] Seed, H. B., Tokimatsu, K., Harder, L. F., and Chung, R. M. 1985. Influence of SPT Procedures in Soil Liquefaction Resistance Evaluations. Journal of Geotechnical Engineering 111 (12): 1425-1445.</w:t>
      </w:r>
    </w:p>
    <w:p w:rsidR="00AD65CC" w:rsidRDefault="000A5A2B">
      <w:pPr>
        <w:pStyle w:val="References"/>
      </w:pPr>
      <w:r>
        <w:t>[44] Skempton, A. W., and Brogan, J. M. 1994. Experiments on Piping in Sandy Gravels. Geotechnique 44 (3): 449-460.</w:t>
      </w:r>
    </w:p>
    <w:p w:rsidR="00AD65CC" w:rsidRDefault="000A5A2B">
      <w:pPr>
        <w:pStyle w:val="References"/>
      </w:pPr>
      <w:r>
        <w:t>[45] Sobol, I. M. 2001. Global Sensitivity Indices for Nonlinear Mathematical Models and Their Monte Carlo Estimates. Mathematics and Computers in Simulation 55 (1-3): 271-280.</w:t>
      </w:r>
    </w:p>
    <w:p w:rsidR="00AD65CC" w:rsidRDefault="000A5A2B">
      <w:pPr>
        <w:pStyle w:val="References"/>
      </w:pPr>
      <w:r>
        <w:t>[46] USGS. 2025. Regional Probabilistic Liquefaction Hazard Mapping for the Sacramento-San Joaquin River Delta. Final Technical Report G21AP10019. Reston, VA: U.S. Geological Survey.</w:t>
      </w:r>
    </w:p>
    <w:p w:rsidR="00AD65CC" w:rsidRDefault="000A5A2B">
      <w:pPr>
        <w:pStyle w:val="References"/>
      </w:pPr>
      <w:r>
        <w:t>[47] Vanmarcke, E. H. 1977. Probabilistic Modeling of Soil Profiles. Journal of the Geotechnical Engineering Division 103 (11): 1227-1246.</w:t>
      </w:r>
    </w:p>
    <w:p w:rsidR="00AD65CC" w:rsidRDefault="000A5A2B">
      <w:pPr>
        <w:pStyle w:val="References"/>
      </w:pPr>
      <w:r>
        <w:t>[48] Wan, C. F., and Fell, R. 2008. Assessing the Potential of Internal Instability and Suffusion in Embankment Dams and Their Foundations. Journal of Geotechnical and Geoenvironmental Engineering 134 (3): 401-407.</w:t>
      </w:r>
    </w:p>
    <w:p w:rsidR="00AD65CC" w:rsidRDefault="000A5A2B">
      <w:pPr>
        <w:pStyle w:val="References"/>
      </w:pPr>
      <w:r>
        <w:t>[49] Yang, Y., and Wei, Y. 2024. A New Shear Wave Velocity-Based Liquefaction Probability Model Using Logistic Regression: Emphasizing Fines Content Optimization. Applied Sciences 14 (15): 6793. https://doi.org/10.3390/app14156793.</w:t>
      </w:r>
    </w:p>
    <w:p w:rsidR="00AD65CC" w:rsidRDefault="000A5A2B">
      <w:pPr>
        <w:pStyle w:val="References"/>
      </w:pPr>
      <w:r>
        <w:t>[50] Youd, T. L., Idriss, I. M., Andrus, R. D., Arango, I., Castro, G., Christian, J. T., Dobry, R., Finn, W. D. L., Harder, L. F., Hynes, M. E., Ishihara, K., Koester, J. P., Liao, S. S. C., Marcuson, W. F., Martin, G. R., Mitchell, J. K., Moriwaki, Y., Power, M. S., Robertson, P. K., Seed, R. B., and Stokoe, K. H. 2001. Liquefaction Resistance of Soils: Summary Report from the 1996 NCEER and 1998 NCEER/NSF Workshops. Journal of Geotechnical and Geoenvironmental Engineering 127 (10): 817-833.</w:t>
      </w:r>
    </w:p>
    <w:p w:rsidR="003B066E" w:rsidRDefault="003B066E"/>
    <w:p w:rsidR="003B066E" w:rsidRDefault="003B066E">
      <w:pPr>
        <w:pStyle w:val="References"/>
      </w:pPr>
      <w:r>
        <w:t>[51] Guan, Z., and Wang, Y. 2024. Risk-informed adaptive sampling strategy for liquefaction severity mapping. Georisk 18 (2): 526-539. https://doi.org/10.1080/17499518.2023.2225165.</w:t>
      </w:r>
    </w:p>
    <w:p w:rsidR="003B066E" w:rsidRDefault="003B066E">
      <w:pPr>
        <w:pStyle w:val="References"/>
      </w:pPr>
      <w:r>
        <w:t>[52] Zhai, S., Du, G., Zhao, T., Zhuang, Z., and Liu, S. 2025. Assessment of resonance compaction effects on site liquefaction probability by considering spatial variability. Georisk 19 (3): 593-612. https://doi.org/10.1080/17499518.2025.2478625.</w:t>
      </w:r>
    </w:p>
    <w:p w:rsidR="003B066E" w:rsidRDefault="003B066E">
      <w:pPr>
        <w:pStyle w:val="References"/>
      </w:pPr>
      <w:r>
        <w:t>[53] van Staveren, M. T. 2009. Extending to geotechnical risk management. Georisk 3 (3): 174-183. https://doi.org/10.1080/17499510902788835.</w:t>
      </w:r>
    </w:p>
    <w:p w:rsidR="00F55AF2" w:rsidRDefault="003B066E">
      <w:pPr>
        <w:pStyle w:val="References"/>
      </w:pPr>
      <w:r>
        <w:t>[54] Sousa, R. L., Karam, K., and Einstein, H. H. 2014. Exploration analysis for landslide risk management. Georisk 8 (3): 155-170. https://doi.org/10.1080/17499518.2014.958174.</w:t>
      </w:r>
    </w:p>
    <w:p w:rsidR="004546B7" w:rsidRDefault="004546B7" w:rsidP="00967A9A"/>
    <w:sectPr w:rsidR="004546B7" w:rsidSect="00034616">
      <w:pgSz w:w="11906" w:h="16839"/>
      <w:pgMar w:top="1418" w:right="1701" w:bottom="1418"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6"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42A0"/>
    <w:rsid w:val="00034616"/>
    <w:rsid w:val="0006063C"/>
    <w:rsid w:val="00067C14"/>
    <w:rsid w:val="00070D9A"/>
    <w:rsid w:val="000A5A2B"/>
    <w:rsid w:val="000B5833"/>
    <w:rsid w:val="000E1204"/>
    <w:rsid w:val="000E2F88"/>
    <w:rsid w:val="0012763A"/>
    <w:rsid w:val="0015074B"/>
    <w:rsid w:val="001D33E7"/>
    <w:rsid w:val="001E223A"/>
    <w:rsid w:val="00211A9B"/>
    <w:rsid w:val="00225FE4"/>
    <w:rsid w:val="0029639D"/>
    <w:rsid w:val="002B4616"/>
    <w:rsid w:val="00311A2C"/>
    <w:rsid w:val="0032076F"/>
    <w:rsid w:val="00326F90"/>
    <w:rsid w:val="003424D3"/>
    <w:rsid w:val="003672F9"/>
    <w:rsid w:val="00380D34"/>
    <w:rsid w:val="003861EC"/>
    <w:rsid w:val="003A4107"/>
    <w:rsid w:val="003B066E"/>
    <w:rsid w:val="003C2675"/>
    <w:rsid w:val="004166E7"/>
    <w:rsid w:val="004457B8"/>
    <w:rsid w:val="004546B7"/>
    <w:rsid w:val="0047040E"/>
    <w:rsid w:val="00485EEF"/>
    <w:rsid w:val="00497881"/>
    <w:rsid w:val="0054172B"/>
    <w:rsid w:val="00554E27"/>
    <w:rsid w:val="0060192A"/>
    <w:rsid w:val="006C2A15"/>
    <w:rsid w:val="00731CB2"/>
    <w:rsid w:val="00755DA9"/>
    <w:rsid w:val="00774445"/>
    <w:rsid w:val="0078267C"/>
    <w:rsid w:val="00863D76"/>
    <w:rsid w:val="00882B38"/>
    <w:rsid w:val="008963EB"/>
    <w:rsid w:val="008F6A0C"/>
    <w:rsid w:val="00904639"/>
    <w:rsid w:val="00923608"/>
    <w:rsid w:val="00946BE6"/>
    <w:rsid w:val="00967A9A"/>
    <w:rsid w:val="00971019"/>
    <w:rsid w:val="009851A2"/>
    <w:rsid w:val="009A6FC1"/>
    <w:rsid w:val="009B35E5"/>
    <w:rsid w:val="00A10A22"/>
    <w:rsid w:val="00A371C2"/>
    <w:rsid w:val="00A459E4"/>
    <w:rsid w:val="00AA1D8D"/>
    <w:rsid w:val="00AA6395"/>
    <w:rsid w:val="00AB200C"/>
    <w:rsid w:val="00AD65CC"/>
    <w:rsid w:val="00AF3F64"/>
    <w:rsid w:val="00AF723E"/>
    <w:rsid w:val="00B20FAF"/>
    <w:rsid w:val="00B47730"/>
    <w:rsid w:val="00B513B6"/>
    <w:rsid w:val="00C94AFF"/>
    <w:rsid w:val="00CB0664"/>
    <w:rsid w:val="00CD5D77"/>
    <w:rsid w:val="00D24E97"/>
    <w:rsid w:val="00D94886"/>
    <w:rsid w:val="00DB1D60"/>
    <w:rsid w:val="00E85228"/>
    <w:rsid w:val="00E92571"/>
    <w:rsid w:val="00E94320"/>
    <w:rsid w:val="00EA4422"/>
    <w:rsid w:val="00F31386"/>
    <w:rsid w:val="00F436BC"/>
    <w:rsid w:val="00F55AF2"/>
    <w:rsid w:val="00FB42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544F8D06-5E25-4794-B8BF-9ED74BDD1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1">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AE1ED4"/>
    <w:pPr>
      <w:keepNext/>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qFormat/>
    <w:rsid w:val="008D07FB"/>
    <w:pPr>
      <w:keepNext/>
      <w:spacing w:before="360" w:after="60" w:line="360" w:lineRule="auto"/>
      <w:ind w:right="567"/>
      <w:contextualSpacing/>
      <w:outlineLvl w:val="1"/>
    </w:pPr>
    <w:rPr>
      <w:rFonts w:cs="Arial"/>
      <w:b/>
      <w:bCs/>
      <w:i/>
      <w:iCs/>
      <w:szCs w:val="28"/>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310E13"/>
    <w:pPr>
      <w:spacing w:before="360" w:after="300" w:line="360" w:lineRule="auto"/>
      <w:ind w:left="720" w:right="567"/>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1B7681"/>
    <w:pPr>
      <w:widowControl w:val="0"/>
      <w:spacing w:before="240"/>
    </w:pPr>
  </w:style>
  <w:style w:type="paragraph" w:customStyle="1" w:styleId="Newparagraph">
    <w:name w:val="New paragraph"/>
    <w:basedOn w:val="Normal"/>
    <w:qFormat/>
    <w:rsid w:val="00AE2F8D"/>
    <w:pPr>
      <w:ind w:firstLine="720"/>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8D07FB"/>
    <w:rPr>
      <w:rFonts w:cs="Arial"/>
      <w:b/>
      <w:bCs/>
      <w:i/>
      <w:iCs/>
      <w:sz w:val="24"/>
      <w:szCs w:val="28"/>
    </w:rPr>
  </w:style>
  <w:style w:type="character" w:customStyle="1" w:styleId="Heading1Char">
    <w:name w:val="Heading 1 Char"/>
    <w:basedOn w:val="DefaultParagraphFont"/>
    <w:link w:val="Heading1"/>
    <w:rsid w:val="00AE1ED4"/>
    <w:rPr>
      <w:rFonts w:cs="Arial"/>
      <w:b/>
      <w:bCs/>
      <w:kern w:val="32"/>
      <w:sz w:val="24"/>
      <w:szCs w:val="32"/>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rsid w:val="006C19B2"/>
    <w:pPr>
      <w:ind w:left="284" w:hanging="284"/>
    </w:pPr>
    <w:rPr>
      <w:sz w:val="22"/>
      <w:szCs w:val="20"/>
    </w:rPr>
  </w:style>
  <w:style w:type="character" w:customStyle="1" w:styleId="FootnoteTextChar">
    <w:name w:val="Footnote Text Char"/>
    <w:basedOn w:val="DefaultParagraphFont"/>
    <w:link w:val="FootnoteText"/>
    <w:rsid w:val="006C19B2"/>
    <w:rPr>
      <w:sz w:val="22"/>
    </w:rPr>
  </w:style>
  <w:style w:type="character" w:styleId="FootnoteReference">
    <w:name w:val="footnote reference"/>
    <w:basedOn w:val="DefaultParagraphFont"/>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rsid w:val="003F193A"/>
    <w:rPr>
      <w:rFonts w:eastAsia="Times New Roman"/>
      <w:sz w:val="24"/>
      <w:szCs w:val="24"/>
      <w:lang w:eastAsia="en-GB"/>
    </w:rPr>
  </w:style>
  <w:style w:type="paragraph" w:styleId="Footer">
    <w:name w:val="footer"/>
    <w:basedOn w:val="Normal"/>
    <w:link w:val="FooterChar"/>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character" w:customStyle="1" w:styleId="Hyperlink1">
    <w:name w:val="Hyperlink1"/>
    <w:rPr>
      <w:u w:val="single"/>
    </w:rPr>
  </w:style>
  <w:style w:type="table" w:styleId="PlainTable2">
    <w:name w:val="Plain Table 2"/>
    <w:basedOn w:val="TableNormal"/>
    <w:uiPriority w:val="42"/>
    <w:rsid w:val="0078267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E3354D3-841C-45C7-A3B3-8C51693CAD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3</Pages>
  <Words>11177</Words>
  <Characters>61478</Characters>
  <Application>Microsoft Office Word</Application>
  <DocSecurity>0</DocSecurity>
  <Lines>512</Lines>
  <Paragraphs>145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72510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reliability benchmark for non-stationary liquefaction probability under groundwater and gradation-change scenarios</dc:title>
  <dc:subject/>
  <dc:creator>Gabriel J. Montufar Chiriboga</dc:creator>
  <cp:keywords/>
  <dc:description/>
  <cp:lastModifiedBy>yo yo</cp:lastModifiedBy>
  <cp:revision>18</cp:revision>
  <cp:lastPrinted>2026-05-10T07:41:00Z</cp:lastPrinted>
  <dcterms:created xsi:type="dcterms:W3CDTF">2013-12-23T23:15:00Z</dcterms:created>
  <dcterms:modified xsi:type="dcterms:W3CDTF">2026-06-07T10:56:00Z</dcterms:modified>
  <cp:category/>
</cp:coreProperties>
</file>