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Critical Water-Table Crossing as a Physical Switch for False-Negative-Aware Liquefaction Screening</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commonly checked as if the water table and soil state were frozen. This paper shows why that assumption can fail in a physically sharp way. The novelty is a critical water-table crossing mechanism: when a rising non-stationary water table crosses a shallow liquefiable layer, effective stress drops, CSR rises, deterministic FS falls and the computed probability of liquefaction can jump rather than drift. In the benchmark, the largest L1 crossing raises CSR by 25.3%, lowers FS by 19.7% and increases Pf by 0.149 between two adjacent time states. The mechanism is embedded in a reproducible Monte Carlo benchmark, then stress-tested against Hu case histories, Nisqually, SODO/UW and 15,890 Canterbury CPT-event states. The evidence supports a bounded claim: non-stationary groundwater can create a physical switching regime that matters for false-negative-aware screening. It does not establish a new universal constitutive law or repair-cost model.</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p>
      <w:pPr>
        <w:jc w:val="both"/>
      </w:pPr>
      <w:r>
        <w:t>The paper is organized as a short argument: first the physical problem, then the moving-state method, then the benchmark result, then the external tests that say how far the claim can go.</w:t>
      </w:r>
    </w:p>
    <w:p w:rsidR="00AD65CC" w:rsidRPr="00F436BC" w:rsidRDefault="000A5A2B" w:rsidP="00F436BC">
      <w:pPr>
        <w:pStyle w:val="Heading1"/>
        <w:rPr>
          <w:rFonts w:ascii="Arial" w:hAnsi="Arial"/>
        </w:rPr>
      </w:pPr>
      <w:r>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jc w:val="both"/>
        <w:rPr>
          <w:rFonts w:cs="Times New Roman"/>
          <w:b w:val="0"/>
          <w:bCs w:val="0"/>
          <w:kern w:val="0"/>
          <w:szCs w:val="24"/>
        </w:rPr>
      </w:pPr>
      <w:r>
        <w:t>The paper makes four contributions. First, it identifies and quantifies a critical water-table crossing mechanism: when groundwater crosses a shallow liquefiable layer, effective-stress loss amplifies CSR and can produce an abrupt Pf jump. Second, it treats groundwater depth and gradation as auditable state variables, not background constants. Third, it supplies a runnable Monte Carlo benchmark with stationary and non-stationary ablations. Fourth, it tests the resulting screening logic with external case histories, temporal Canterbury holdouts, severity triage and repair-cost-ratio plausibility checks.</w:t>
      </w:r>
    </w:p>
    <w:p>
      <w:pPr>
        <w:jc w:val="both"/>
      </w:pPr>
      <w:r>
        <w:t>The claim is intentionally bounded. The manuscript does not claim a new constitutive law, measured gradation evolution or universal superiority of the most complex model. It claims a narrower physical result: non-stationary groundwater can behave as a switch when it crosses a shallow liquefiable layer, and that switch changes the false-negative risk that stationary screening may hide.</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rsidR="00AD65CC" w:rsidRPr="00F436BC" w:rsidRDefault="000A5A2B" w:rsidP="00F436BC">
      <w:pPr>
        <w:pStyle w:val="Heading1"/>
        <w:rPr>
          <w:rFonts w:ascii="Arial" w:hAnsi="Arial"/>
        </w:rPr>
      </w:pPr>
      <w:r>
        <w:t>2. Why a fixed liquefaction check is not enough</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t>3. Method: let groundwater and gradation move</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t>4. What changes when the state variables move</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pPr/>
      <w:r>
        <w:t>The central physical result is not merely that probabilities change with time. It is that the change becomes sharp when the water table crosses a susceptible layer. Before the crossing, pore pressure does not act through the full layer thickness. After the crossing, effective stress drops inside the layer, so the simplified CSR term rises through sigma_v/sigma_v prime. In the extreme scenario, the L1 crossing from 2.21 m to 1.25 m raises CSR by 25.3%, lowers deterministic FS by 19.7% and increases Pf by 0.149 for fines accumulation. That is the physical switch tested by the benchmark.</w:t>
      </w:r>
    </w:p>
    <w:p>
      <w:pPr/>
      <w:r>
        <w:drawing>
          <wp:inline xmlns:a="http://schemas.openxmlformats.org/drawingml/2006/main" xmlns:pic="http://schemas.openxmlformats.org/drawingml/2006/picture">
            <wp:extent cx="5897880" cy="3931920"/>
            <wp:docPr id="15" name="Picture 15"/>
            <wp:cNvGraphicFramePr>
              <a:graphicFrameLocks noChangeAspect="1"/>
            </wp:cNvGraphicFramePr>
            <a:graphic>
              <a:graphicData uri="http://schemas.openxmlformats.org/drawingml/2006/picture">
                <pic:pic>
                  <pic:nvPicPr>
                    <pic:cNvPr id="0" name="fig15_critical_water_table_crossing_mechanism.png"/>
                    <pic:cNvPicPr/>
                  </pic:nvPicPr>
                  <pic:blipFill>
                    <a:blip r:embed="rId22"/>
                    <a:stretch>
                      <a:fillRect/>
                    </a:stretch>
                  </pic:blipFill>
                  <pic:spPr>
                    <a:xfrm>
                      <a:off x="0" y="0"/>
                      <a:ext cx="5897880" cy="3931920"/>
                    </a:xfrm>
                    <a:prstGeom prst="rect"/>
                  </pic:spPr>
                </pic:pic>
              </a:graphicData>
            </a:graphic>
          </wp:inline>
        </w:drawing>
      </w:r>
    </w:p>
    <w:p>
      <w:pPr/>
      <w:r>
        <w:t>Figure 15. Critical water-table crossing mechanism. The same groundwater transition that crosses L1 lowers effective stress, raises CSR, lowers FS and produces an abrupt Pf jump. Gradation trajectories modulate the resistance side, but the switch is the hydraulic crossing itself.</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t>5. Validation, decision rules and claim boundary</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t>5.1 External trend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pPr>
        <w:pStyle w:val="Paragraph"/>
      </w:pPr>
      <w:r>
        <w:t>A separate field-regime gate was also tested and intentionally kept as a guardrail: a simple hydraulic-leverage-plus-CPT-fabric index did not explain Canterbury false negatives by itself. This negative result prevents the paper from overselling the mechanism as a universal field classifier. The physical switch is demonstrated in the controlled benchmark; the field validations support screening discipline and claim boundaries.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t>5.2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t>5.3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 extension and out-of-sample stress tests</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meaning of gradation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Novelty and claim boundary</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a change in georisk decision interpretation: the manuscript tests when non-stationary groundwater and gradation evolution alter liquefaction probability, ranking and screening decisions relative to stationary assessment. The novelty is not the existence of a reproducible repository or a workflow; those elements are treated as audit mechanisms supporting the scientific claim.</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What the engineer should do with the result</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 A final Canterbury severity-triage check defines moderate-to-severe observed manifestation as manifestation_code &gt;= 3 and tests whether the top-20% inspection set captures more severe held-out event states; M2 improves severe-state capture over M0 in the two Canterbury events where severe manifestations occur. A separate DesignSafe PRJ-3126 repair-cost gate supports the plausibility of using false-negative cost ratios greater than one, while blocking any claim of direct repair-cost validation because PRJ-3126 has no shared CPT/event key with Canterbury.</w:t>
      </w:r>
    </w:p>
    <w:p w:rsidR="00AD65CC" w:rsidRPr="00F436BC" w:rsidRDefault="000A5A2B" w:rsidP="00F436BC">
      <w:pPr>
        <w:pStyle w:val="Heading1"/>
        <w:rPr>
          <w:rFonts w:ascii="Arial" w:hAnsi="Arial"/>
        </w:rPr>
      </w:pPr>
      <w:r>
        <w:t>6. Discussion and limits</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validation evidence is now layered. Hu et al. supports event-level screening transfer; Nisqually and SODO/UW test adverse holdouts; Canterbury provides a large external transfer set, locked-threshold decision validation and a formal leave-one-earthquake-out temporal holdout. In the Canterbury temporal holdout, M2 gives the best pooled Brier score and AUC, while M0 remains competitive in specific event-wise decisions. The workflow therefore supports georisk ranking and monitoring escalation under disclosed thresholds, not uncalibrated design prediction.</w:t>
      </w:r>
    </w:p>
    <w:p>
      <w:pPr>
        <w:jc w:val="both"/>
      </w:pPr>
      <w:r>
        <w:t>Editorial control sentence. This manuscript merits review in Georisk because it shows, with a runnable evidence chain, that non-stationary groundwater and gradation can change liquefaction screening decisions and false-negative trade-offs; recent probabilistic liquefaction studies have not shown that claim with the same combination of ablation, event holdouts, locked thresholds, external case histories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