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65CC" w:rsidRPr="00225FE4" w:rsidRDefault="000A5A2B" w:rsidP="00554E27">
      <w:pPr>
        <w:pStyle w:val="Paragraph"/>
        <w:jc w:val="center"/>
        <w:rPr>
          <w:rFonts w:ascii="Arial" w:hAnsi="Arial" w:cs="Arial"/>
          <w:b/>
        </w:rPr>
      </w:pPr>
      <w:r>
        <w:t>Critical Water-Table Crossing as a Physical Switch for False-Negative-Aware Liquefaction Screening</w:t>
      </w:r>
    </w:p>
    <w:p w:rsidR="00AD65CC" w:rsidRPr="00554E27" w:rsidRDefault="000A5A2B">
      <w:pPr>
        <w:pStyle w:val="Paragraph"/>
        <w:jc w:val="center"/>
        <w:rPr>
          <w:lang w:val="es-PA"/>
        </w:rPr>
      </w:pPr>
      <w:r w:rsidRPr="00554E27">
        <w:rPr>
          <w:lang w:val="es-PA"/>
        </w:rPr>
        <w:t>Gabriel J. Montufar Chiriboga</w:t>
      </w:r>
    </w:p>
    <w:p w:rsidR="00AD65CC" w:rsidRDefault="000A5A2B">
      <w:pPr>
        <w:pStyle w:val="Paragraph"/>
        <w:jc w:val="center"/>
      </w:pPr>
      <w:r w:rsidRPr="00554E27">
        <w:rPr>
          <w:lang w:val="es-PA"/>
        </w:rPr>
        <w:t xml:space="preserve">Universidad de Panama, Panama. </w:t>
      </w:r>
      <w:r>
        <w:t>Corresponding author: gabriel.montufar@up.ac.pa</w:t>
      </w:r>
    </w:p>
    <w:p w:rsidR="00AD65CC" w:rsidRPr="00F436BC" w:rsidRDefault="000A5A2B" w:rsidP="00F436BC">
      <w:pPr>
        <w:pStyle w:val="Heading1"/>
        <w:rPr>
          <w:rFonts w:ascii="Arial" w:hAnsi="Arial"/>
        </w:rPr>
      </w:pPr>
      <w:r w:rsidRPr="00F436BC">
        <w:t>Abstract</w:t>
      </w:r>
    </w:p>
    <w:p w:rsidR="001E223A" w:rsidRDefault="001E223A" w:rsidP="00F436BC">
      <w:pPr>
        <w:jc w:val="both"/>
        <w:rPr>
          <w:rFonts w:cs="Times New Roman"/>
          <w:b w:val="0"/>
          <w:bCs w:val="0"/>
          <w:kern w:val="0"/>
          <w:szCs w:val="24"/>
        </w:rPr>
      </w:pPr>
      <w:r>
        <w:t>Liquefaction is commonly checked as if the water table and soil state were frozen. This paper shows why that assumption can fail in a physically sharp way. The novelty is a critical water-table crossing mechanism: when a rising non-stationary water table crosses a shallow liquefiable layer, effective stress drops, CSR rises, deterministic FS falls and the computed probability of liquefaction can jump rather than drift. In the benchmark, the largest L1 crossing raises CSR by 25.3%, lowers FS by 19.7% and increases Pf by 0.149 between two adjacent time states. The mechanism is embedded in a reproducible Monte Carlo benchmark, then checked against external case-history ranking, adverse holdouts and Canterbury temporal-transfer tests involving 15,890 CPT-event states. The evidence supports a bounded claim: non-stationary groundwater can create a physical switching regime that matters for false-negative-aware screening.  Public Canterbury/EQC residential cost evidence further supports the decision scale: published regional loss ratios rise from 0.013 at MMI6 to 0.171 at MMI8, a 13.2x multiplier, so FN:FP cost ratios of 5-10 are economically plausible rather than arbitrary. It does not establish a new universal constitutive law or property-level repair-cost model.</w:t>
      </w:r>
    </w:p>
    <w:p w:rsidR="00AD65CC" w:rsidRPr="00F436BC" w:rsidRDefault="000A5A2B" w:rsidP="00F436BC">
      <w:pPr>
        <w:pStyle w:val="Heading1"/>
        <w:rPr>
          <w:rFonts w:ascii="Arial" w:hAnsi="Arial"/>
        </w:rPr>
      </w:pPr>
      <w:r w:rsidRPr="00F436BC">
        <w:t>Keywords</w:t>
      </w:r>
    </w:p>
    <w:p w:rsidR="00AD65CC" w:rsidRDefault="000A5A2B">
      <w:pPr>
        <w:pStyle w:val="Keywords"/>
      </w:pPr>
      <w:r>
        <w:t>liquefaction; geotechnical reliability; geohazard risk; groundwater; gradation; non-stationary modelling; false-negative screening; decision support; novelty</w:t>
      </w:r>
    </w:p>
    <w:p/>
    <w:p>
      <w:pPr>
        <w:jc w:val="both"/>
      </w:pPr>
      <w:r>
        <w:t>The paper is organized as a short argument: first the physical problem, then the moving-state method, then the benchmark result, then the external tests that say how far the claim can go.</w:t>
      </w:r>
    </w:p>
    <w:p w:rsidR="00AD65CC" w:rsidRPr="00F436BC" w:rsidRDefault="000A5A2B" w:rsidP="00F436BC">
      <w:pPr>
        <w:pStyle w:val="Heading1"/>
        <w:rPr>
          <w:rFonts w:ascii="Arial" w:hAnsi="Arial"/>
        </w:rPr>
      </w:pPr>
      <w:r>
        <w:t>1. Introduction</w:t>
      </w:r>
    </w:p>
    <w:p w:rsidR="00AD65CC" w:rsidRDefault="000A5A2B">
      <w:pPr>
        <w:pStyle w:val="Paragraph"/>
        <w:jc w:val="both"/>
      </w:pPr>
      <w:r>
        <w:t>A liquefaction check usually takes a snapshot: a soil profile, a water table, a shaking level and a triggering equation. That snapshot is useful, but it hides a basic physical fact. Water moves, soil fabric can change, and an engineering asset is exposed for years rather than for a single calculation. If the inputs move, the probability and the decision threshold can move with them.</w:t>
      </w:r>
    </w:p>
    <w:p w:rsidR="003B066E" w:rsidRDefault="003B066E">
      <w:pPr>
        <w:pStyle w:val="Tabletitle"/>
        <w:jc w:val="both"/>
      </w:pPr>
      <w:r>
        <w:t>Much of the recent literature already handles important pieces of this problem: probabilistic triggering, PLHA, regional mapping, groundwater uncertainty and risk-informed geotechnical decisions [7, 13, 14, 29, 33, 34, 51-54]. This paper does not replace those tools. It asks a narrower question that is easy to inspect: when groundwater and gradation are treated as changing state variables, do they change the ranking, timing and operating decision enough to matter for georisk screening?</w:t>
      </w:r>
    </w:p>
    <w:p w:rsidR="00AD65CC" w:rsidRDefault="000A5A2B">
      <w:pPr>
        <w:pStyle w:val="Paragraph"/>
      </w:pPr>
      <w:r>
        <w:t>This assumption is restrictive for geohazard risk management. Groundwater levels are influenced by climate, pumping, drainage, land-use change, coastal conditions and extreme events; therefore, hydrologic stationarity cannot be assumed without examination [18, 31]. Gradation may also change in susceptible fills, hydraulic deposits, erodible layers or zones affected by internal erosion and suffusion [23, 44, 48]. These changes do not merely alter a descriptive parameter. They modify effective stress, cyclic stress ratio, clean-sand equivalent resistance and the probability that a layer will reach a liquefaction limit state.</w:t>
      </w:r>
    </w:p>
    <w:p w:rsidR="00946BE6" w:rsidRDefault="00946BE6" w:rsidP="00946BE6">
      <w:r>
        <w:t>Geotechnical reliability provides a natural language for this problem because it connects soil variability, model uncertainty and performance probability [1, 3, 9, 30]. The approach also aligns directly with georisk assessment and management because it treats uncertainty in geomaterials, geologic processes, groundwater state and engineered-system decisions as the central object of analysis. The gap addressed here is not another fixed-condition liquefaction calculation, but the absence of an auditable reliability-updating workflow that compares stationary and non-stationary liquefaction risk under explicit groundwater and gradation scenarios. This is a Georisk contribution because the unit of analysis is uncertainty-driven decision change under moving geomaterial and groundwater states.</w:t>
      </w:r>
    </w:p>
    <w:p w:rsidR="003B066E" w:rsidRDefault="003B066E" w:rsidP="00F436BC">
      <w:pPr>
        <w:jc w:val="both"/>
        <w:rPr>
          <w:rFonts w:cs="Times New Roman"/>
          <w:b w:val="0"/>
          <w:bCs w:val="0"/>
          <w:kern w:val="0"/>
          <w:szCs w:val="24"/>
        </w:rPr>
      </w:pPr>
      <w:r>
        <w:t>The paper makes four contributions. First, it identifies and quantifies a critical water-table crossing mechanism: when groundwater crosses a shallow liquefiable layer, effective-stress loss amplifies CSR and can produce an abrupt Pf jump. Second, it treats groundwater depth and gradation as auditable state variables, not background constants. Third, it supplies a runnable Monte Carlo benchmark with stationary and non-stationary ablations. Fourth, it tests the resulting screening logic with external case histories, temporal Canterbury holdouts, severity triage and repair-cost-ratio plausibility checks.</w:t>
      </w:r>
    </w:p>
    <w:p>
      <w:pPr>
        <w:jc w:val="both"/>
      </w:pPr>
      <w:r>
        <w:t>The claim is intentionally bounded. After this manuscript, the community knows that a rising groundwater table can create a discrete screening-regime change when it crosses a shallow liquefiable layer, because the effective-stress term amplifies CSR and can reorder false-negative-aware decisions. This is demonstrated by controlled mechanism isolation, ablations, external compatibility checks and temporal-transfer tests; it is not a universal field-calibrated liquefaction law.</w:t>
      </w:r>
    </w:p>
    <w:p>
      <w:pPr>
        <w:jc w:val="center"/>
      </w:pPr>
      <w:r>
        <w:drawing>
          <wp:inline xmlns:a="http://schemas.openxmlformats.org/drawingml/2006/main" xmlns:pic="http://schemas.openxmlformats.org/drawingml/2006/picture">
            <wp:extent cx="4892040" cy="3433267"/>
            <wp:docPr id="12" name="Picture 12"/>
            <wp:cNvGraphicFramePr>
              <a:graphicFrameLocks noChangeAspect="1"/>
            </wp:cNvGraphicFramePr>
            <a:graphic>
              <a:graphicData uri="http://schemas.openxmlformats.org/drawingml/2006/picture">
                <pic:pic>
                  <pic:nvPicPr>
                    <pic:cNvPr id="0" name="fig14_evidence_claim_boundary.png"/>
                    <pic:cNvPicPr/>
                  </pic:nvPicPr>
                  <pic:blipFill>
                    <a:blip r:embed="rId19"/>
                    <a:stretch>
                      <a:fillRect/>
                    </a:stretch>
                  </pic:blipFill>
                  <pic:spPr>
                    <a:xfrm>
                      <a:off x="0" y="0"/>
                      <a:ext cx="4892040" cy="3433267"/>
                    </a:xfrm>
                    <a:prstGeom prst="rect"/>
                  </pic:spPr>
                </pic:pic>
              </a:graphicData>
            </a:graphic>
          </wp:inline>
        </w:drawing>
      </w:r>
    </w:p>
    <w:p>
      <w:pPr>
        <w:spacing w:after="0" w:before="0"/>
        <w:jc w:val="center"/>
      </w:pPr>
      <w:r>
        <w:rPr>
          <w:b/>
          <w:sz w:val="16"/>
        </w:rPr>
        <w:t>Figure 12. Reader-facing evidence boundary: what is verified, what is validated, what is decision-ready and what remains blocked.</w:t>
      </w:r>
    </w:p>
    <w:p>
      <w:pPr/>
      <w:r>
        <w:t>Table 1. Condensed literature frontier for the CIVIL-NOVELTY-Q1 claim; the full coded frontier is supplied in the repository audit.</w:t>
      </w:r>
    </w:p>
    <w:tbl>
      <w:tblPr>
        <w:tblW w:type="auto" w:w="0"/>
        <w:tblLook w:firstColumn="1" w:firstRow="1" w:lastColumn="0" w:lastRow="0" w:noHBand="0" w:noVBand="1" w:val="04A0"/>
      </w:tblPr>
      <w:tblGrid>
        <w:gridCol w:w="2126"/>
        <w:gridCol w:w="2126"/>
        <w:gridCol w:w="2126"/>
        <w:gridCol w:w="2126"/>
      </w:tblGrid>
      <w:tr>
        <w:tc>
          <w:tcPr>
            <w:tcW w:type="dxa" w:w="2126"/>
          </w:tcPr>
          <w:p>
            <w:pPr>
              <w:spacing w:after="0" w:before="0"/>
            </w:pPr>
            <w:r/>
            <w:r>
              <w:rPr>
                <w:b/>
                <w:sz w:val="14"/>
              </w:rPr>
              <w:t>Frontier works</w:t>
            </w:r>
          </w:p>
        </w:tc>
        <w:tc>
          <w:tcPr>
            <w:tcW w:type="dxa" w:w="2126"/>
          </w:tcPr>
          <w:p>
            <w:pPr>
              <w:spacing w:after="0" w:before="0"/>
            </w:pPr>
            <w:r/>
            <w:r>
              <w:rPr>
                <w:b/>
                <w:sz w:val="14"/>
              </w:rPr>
              <w:t>What they establish</w:t>
            </w:r>
          </w:p>
        </w:tc>
        <w:tc>
          <w:tcPr>
            <w:tcW w:type="dxa" w:w="2126"/>
          </w:tcPr>
          <w:p>
            <w:pPr>
              <w:spacing w:after="0" w:before="0"/>
            </w:pPr>
            <w:r/>
            <w:r>
              <w:rPr>
                <w:b/>
                <w:sz w:val="14"/>
              </w:rPr>
              <w:t>Remaining gap</w:t>
            </w:r>
          </w:p>
        </w:tc>
        <w:tc>
          <w:tcPr>
            <w:tcW w:type="dxa" w:w="2126"/>
          </w:tcPr>
          <w:p>
            <w:pPr>
              <w:spacing w:after="0" w:before="0"/>
            </w:pPr>
            <w:r/>
            <w:r>
              <w:rPr>
                <w:b/>
                <w:sz w:val="14"/>
              </w:rPr>
              <w:t>This paper</w:t>
            </w:r>
          </w:p>
        </w:tc>
      </w:tr>
      <w:tr>
        <w:tc>
          <w:tcPr>
            <w:tcW w:type="dxa" w:w="2126"/>
          </w:tcPr>
          <w:p>
            <w:pPr>
              <w:spacing w:after="0" w:before="0"/>
            </w:pPr>
            <w:r/>
            <w:r>
              <w:rPr>
                <w:b w:val="0"/>
                <w:sz w:val="14"/>
              </w:rPr>
              <w:t>Probabilistic liquefaction reviews and PLHA [7, 14, 20, 29]</w:t>
            </w:r>
          </w:p>
        </w:tc>
        <w:tc>
          <w:tcPr>
            <w:tcW w:type="dxa" w:w="2126"/>
          </w:tcPr>
          <w:p>
            <w:pPr>
              <w:spacing w:after="0" w:before="0"/>
            </w:pPr>
            <w:r/>
            <w:r>
              <w:rPr>
                <w:b w:val="0"/>
                <w:sz w:val="14"/>
              </w:rPr>
              <w:t>Uncertainty, regional mapping and improved probabilistic computation</w:t>
            </w:r>
          </w:p>
        </w:tc>
        <w:tc>
          <w:tcPr>
            <w:tcW w:type="dxa" w:w="2126"/>
          </w:tcPr>
          <w:p>
            <w:pPr>
              <w:spacing w:after="0" w:before="0"/>
            </w:pPr>
            <w:r/>
            <w:r>
              <w:rPr>
                <w:b w:val="0"/>
                <w:sz w:val="14"/>
              </w:rPr>
              <w:t>Groundwater/soil state often remain fixed during screening decisions</w:t>
            </w:r>
          </w:p>
        </w:tc>
        <w:tc>
          <w:tcPr>
            <w:tcW w:type="dxa" w:w="2126"/>
          </w:tcPr>
          <w:p>
            <w:pPr>
              <w:spacing w:after="0" w:before="0"/>
            </w:pPr>
            <w:r/>
            <w:r>
              <w:rPr>
                <w:b w:val="0"/>
                <w:sz w:val="14"/>
              </w:rPr>
              <w:t>Tests Pf(z,t) and isolates a water-table crossing switch</w:t>
            </w:r>
          </w:p>
        </w:tc>
      </w:tr>
      <w:tr>
        <w:tc>
          <w:tcPr>
            <w:tcW w:type="dxa" w:w="2126"/>
          </w:tcPr>
          <w:p>
            <w:pPr>
              <w:spacing w:after="0" w:before="0"/>
            </w:pPr>
            <w:r/>
            <w:r>
              <w:rPr>
                <w:b w:val="0"/>
                <w:sz w:val="14"/>
              </w:rPr>
              <w:t>Risk-informed Georisk mapping [51, 52]</w:t>
            </w:r>
          </w:p>
        </w:tc>
        <w:tc>
          <w:tcPr>
            <w:tcW w:type="dxa" w:w="2126"/>
          </w:tcPr>
          <w:p>
            <w:pPr>
              <w:spacing w:after="0" w:before="0"/>
            </w:pPr>
            <w:r/>
            <w:r>
              <w:rPr>
                <w:b w:val="0"/>
                <w:sz w:val="14"/>
              </w:rPr>
              <w:t>Spatial uncertainty and decision-sensitive geotechnical risk</w:t>
            </w:r>
          </w:p>
        </w:tc>
        <w:tc>
          <w:tcPr>
            <w:tcW w:type="dxa" w:w="2126"/>
          </w:tcPr>
          <w:p>
            <w:pPr>
              <w:spacing w:after="0" w:before="0"/>
            </w:pPr>
            <w:r/>
            <w:r>
              <w:rPr>
                <w:b w:val="0"/>
                <w:sz w:val="14"/>
              </w:rPr>
              <w:t>Temporal state-variable switching is not the central object</w:t>
            </w:r>
          </w:p>
        </w:tc>
        <w:tc>
          <w:tcPr>
            <w:tcW w:type="dxa" w:w="2126"/>
          </w:tcPr>
          <w:p>
            <w:pPr>
              <w:spacing w:after="0" w:before="0"/>
            </w:pPr>
            <w:r/>
            <w:r>
              <w:rPr>
                <w:b w:val="0"/>
                <w:sz w:val="14"/>
              </w:rPr>
              <w:t>Frames novelty as uncertainty-driven decision change</w:t>
            </w:r>
          </w:p>
        </w:tc>
      </w:tr>
      <w:tr>
        <w:tc>
          <w:tcPr>
            <w:tcW w:type="dxa" w:w="2126"/>
          </w:tcPr>
          <w:p>
            <w:pPr>
              <w:spacing w:after="0" w:before="0"/>
            </w:pPr>
            <w:r/>
            <w:r>
              <w:rPr>
                <w:b w:val="0"/>
                <w:sz w:val="14"/>
              </w:rPr>
              <w:t>Triggering and reliability foundations [4, 21, 25]</w:t>
            </w:r>
          </w:p>
        </w:tc>
        <w:tc>
          <w:tcPr>
            <w:tcW w:type="dxa" w:w="2126"/>
          </w:tcPr>
          <w:p>
            <w:pPr>
              <w:spacing w:after="0" w:before="0"/>
            </w:pPr>
            <w:r/>
            <w:r>
              <w:rPr>
                <w:b w:val="0"/>
                <w:sz w:val="14"/>
              </w:rPr>
              <w:t>Established triggering and probabilistic reliability basis</w:t>
            </w:r>
          </w:p>
        </w:tc>
        <w:tc>
          <w:tcPr>
            <w:tcW w:type="dxa" w:w="2126"/>
          </w:tcPr>
          <w:p>
            <w:pPr>
              <w:spacing w:after="0" w:before="0"/>
            </w:pPr>
            <w:r/>
            <w:r>
              <w:rPr>
                <w:b w:val="0"/>
                <w:sz w:val="14"/>
              </w:rPr>
              <w:t>Fixed-state inputs do not expose false-negative timing</w:t>
            </w:r>
          </w:p>
        </w:tc>
        <w:tc>
          <w:tcPr>
            <w:tcW w:type="dxa" w:w="2126"/>
          </w:tcPr>
          <w:p>
            <w:pPr>
              <w:spacing w:after="0" w:before="0"/>
            </w:pPr>
            <w:r/>
            <w:r>
              <w:rPr>
                <w:b w:val="0"/>
                <w:sz w:val="14"/>
              </w:rPr>
              <w:t>Embeds triggering in auditable non-stationary ablations</w:t>
            </w:r>
          </w:p>
        </w:tc>
      </w:tr>
      <w:tr>
        <w:tc>
          <w:tcPr>
            <w:tcW w:type="dxa" w:w="2126"/>
          </w:tcPr>
          <w:p>
            <w:pPr>
              <w:spacing w:after="0" w:before="0"/>
            </w:pPr>
            <w:r/>
            <w:r>
              <w:rPr>
                <w:b w:val="0"/>
                <w:sz w:val="14"/>
              </w:rPr>
              <w:t>Fines/soil-state and unsaturated mechanics [11, 27, 28, 49]</w:t>
            </w:r>
          </w:p>
        </w:tc>
        <w:tc>
          <w:tcPr>
            <w:tcW w:type="dxa" w:w="2126"/>
          </w:tcPr>
          <w:p>
            <w:pPr>
              <w:spacing w:after="0" w:before="0"/>
            </w:pPr>
            <w:r/>
            <w:r>
              <w:rPr>
                <w:b w:val="0"/>
                <w:sz w:val="14"/>
              </w:rPr>
              <w:t>Pore pressure, fines and soil state can change resistance/demand</w:t>
            </w:r>
          </w:p>
        </w:tc>
        <w:tc>
          <w:tcPr>
            <w:tcW w:type="dxa" w:w="2126"/>
          </w:tcPr>
          <w:p>
            <w:pPr>
              <w:spacing w:after="0" w:before="0"/>
            </w:pPr>
            <w:r/>
            <w:r>
              <w:rPr>
                <w:b w:val="0"/>
                <w:sz w:val="14"/>
              </w:rPr>
              <w:t>No bounded screening test linking state motion to FN:FP policy</w:t>
            </w:r>
          </w:p>
        </w:tc>
        <w:tc>
          <w:tcPr>
            <w:tcW w:type="dxa" w:w="2126"/>
          </w:tcPr>
          <w:p>
            <w:pPr>
              <w:spacing w:after="0" w:before="0"/>
            </w:pPr>
            <w:r/>
            <w:r>
              <w:rPr>
                <w:b w:val="0"/>
                <w:sz w:val="14"/>
              </w:rPr>
              <w:t>Keeps gradation as scenario sensitivity and tests decision consequences</w:t>
            </w:r>
          </w:p>
        </w:tc>
      </w:tr>
    </w:tbl>
    <w:p w:rsidR="00AD65CC" w:rsidRPr="00F436BC" w:rsidRDefault="000A5A2B" w:rsidP="00F436BC">
      <w:pPr>
        <w:pStyle w:val="Heading1"/>
        <w:rPr>
          <w:rFonts w:ascii="Arial" w:hAnsi="Arial"/>
        </w:rPr>
      </w:pPr>
      <w:r>
        <w:t>2. Why a fixed liquefaction check is not enough</w:t>
      </w:r>
    </w:p>
    <w:p w:rsidR="00AD65CC" w:rsidRDefault="000A5A2B">
      <w:pPr>
        <w:pStyle w:val="Paragraph"/>
      </w:pPr>
      <w:r>
        <w:t>Liquefaction triggering is usually assessed by comparing cyclic resistance ratio, CRR, with cyclic stress ratio, CSR. Classical procedures rely on SPT, CPT or shear-wave velocity correlations and are supported by case histories [19, 24, 38, 39]. Although deterministic safety factors are useful, they hide the uncertainty in soil resistance, seismic demand, stress reduction, fines correction and model error. Reliability-based geotechnical analysis addresses this limitation by representing uncertain quantities as random variables or random fields [2, 8, 10, 26, 36, 47].</w:t>
      </w:r>
    </w:p>
    <w:p w:rsidR="00AD65CC" w:rsidRDefault="000A5A2B">
      <w:pPr>
        <w:pStyle w:val="Paragraph"/>
      </w:pPr>
      <w:r>
        <w:t>Risk-based liquefaction assessment also needs temporal structure. A probability computed at one groundwater level does not automatically describe future states of the site. Similarly, a fines correction applied to a single gradation curve may not represent a deposit affected by fines accumulation, washout or compositional change. Unsaturated and partially saturated soil mechanics emphasises the role of pore pressure, suction and water retention in effective stress, although the present benchmark remains on the saturated triggering side of the problem and uses groundwater position as the main hydraulic state variable [11, 12, 28].</w:t>
      </w:r>
    </w:p>
    <w:p w:rsidR="00AD65CC" w:rsidRDefault="000A5A2B">
      <w:pPr>
        <w:pStyle w:val="Paragraph"/>
      </w:pPr>
      <w:r>
        <w:t>From a decision perspective, the relevant question is not only whether the present-day factor of safety exceeds one. A port, coastal fill, urban lifeline or reclaimed site may require a screening indicator that can be compared across prescribed future states. The proposed benchmark therefore reports Pf(t), layer-wise and profile-wise changes in probability, and the difference between stationary and non-stationary estimates. In this paper, Pf(t) denotes the scenario-conditioned probability at a specified groundwater-depth and gradation state; it is not an annualized probability or a cumulative probability of liquefaction occurrence over the full 50-year planning horizon. This aligns with simulation-based reliability and sensitivity analysis practice [6, 25, 35, 37, 40, 41, 45].</w:t>
      </w:r>
    </w:p>
    <w:p w:rsidR="00AD65CC" w:rsidRPr="00F436BC" w:rsidRDefault="000A5A2B" w:rsidP="00F436BC">
      <w:pPr>
        <w:pStyle w:val="Heading1"/>
        <w:rPr>
          <w:rFonts w:ascii="Arial" w:hAnsi="Arial"/>
        </w:rPr>
      </w:pPr>
      <w:r>
        <w:t>3. Method: let groundwater and gradation move</w:t>
      </w:r>
    </w:p>
    <w:p w:rsidR="00AD65CC" w:rsidRDefault="000A5A2B">
      <w:pPr>
        <w:pStyle w:val="Paragraph"/>
      </w:pPr>
      <w:r>
        <w:t>For a layer at depth z and time t, liquefaction is represented by a limit-state function g(z,t). The layer is considered to liquefy when g(z,t) &lt; 0. The benchmark uses the following factor-of-safety form:</w:t>
      </w:r>
    </w:p>
    <w:p w:rsidR="00380D34" w:rsidRPr="00380D34" w:rsidRDefault="00380D34" w:rsidP="00380D34">
      <w:pPr>
        <w:pStyle w:val="Displayedequation"/>
        <w:rPr>
          <w:rFonts w:ascii="Cambria Math" w:hAnsi="Cambria Math"/>
          <w:sz w:val="22"/>
        </w:rPr>
      </w:pPr>
      <m:oMathPara>
        <m:oMath>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-1</m:t>
          </m:r>
        </m:oMath>
      </m:oMathPara>
    </w:p>
    <w:p w:rsidR="00380D34" w:rsidRPr="00380D34" w:rsidRDefault="00380D34" w:rsidP="00380D34">
      <w:pPr>
        <w:pStyle w:val="Paragraph"/>
        <w:jc w:val="center"/>
        <w:rPr>
          <w:rFonts w:ascii="Cambria Math" w:hAnsi="Cambria Math"/>
          <w:sz w:val="22"/>
        </w:rPr>
      </w:pPr>
      <m:oMathPara>
        <m:oMath>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m:t>
          </m:r>
          <m:f>
            <m:fPr>
              <m:ctrlPr>
                <w:rPr>
                  <w:rFonts w:ascii="Cambria Math" w:hAnsi="Cambria Math"/>
                  <w:i/>
                  <w:sz w:val="22"/>
                </w:rPr>
              </m:ctrlPr>
            </m:fPr>
            <m:num>
              <m:r>
                <w:rPr>
                  <w:rFonts w:ascii="Cambria Math" w:hAnsi="Cambria Math"/>
                  <w:sz w:val="22"/>
                </w:rPr>
                <m:t>CRR</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N</m:t>
                      </m:r>
                    </m:e>
                    <m:sub>
                      <m:d>
                        <m:dPr>
                          <m:ctrlPr>
                            <w:rPr>
                              <w:rFonts w:ascii="Cambria Math" w:hAnsi="Cambria Math"/>
                              <w:i/>
                              <w:sz w:val="22"/>
                            </w:rPr>
                          </m:ctrlPr>
                        </m:dPr>
                        <m:e>
                          <m:r>
                            <w:rPr>
                              <w:rFonts w:ascii="Cambria Math" w:hAnsi="Cambria Math"/>
                              <w:sz w:val="22"/>
                            </w:rPr>
                            <m:t>1,60cs</m:t>
                          </m:r>
                        </m:e>
                      </m:d>
                      <m:d>
                        <m:dPr>
                          <m:ctrlPr>
                            <w:rPr>
                              <w:rFonts w:ascii="Cambria Math" w:hAnsi="Cambria Math"/>
                              <w:i/>
                              <w:sz w:val="22"/>
                            </w:rPr>
                          </m:ctrlPr>
                        </m:dPr>
                        <m:e>
                          <m:r>
                            <w:rPr>
                              <w:rFonts w:ascii="Cambria Math" w:hAnsi="Cambria Math"/>
                              <w:sz w:val="22"/>
                            </w:rPr>
                            <m:t>t</m:t>
                          </m:r>
                        </m:e>
                      </m:d>
                    </m:sub>
                  </m:sSub>
                  <m:r>
                    <w:rPr>
                      <w:rFonts w:ascii="Cambria Math" w:hAnsi="Cambria Math"/>
                      <w:sz w:val="22"/>
                    </w:rPr>
                    <m:t>,FC</m:t>
                  </m:r>
                  <m:d>
                    <m:dPr>
                      <m:ctrlPr>
                        <w:rPr>
                          <w:rFonts w:ascii="Cambria Math" w:hAnsi="Cambria Math"/>
                          <w:i/>
                          <w:sz w:val="22"/>
                        </w:rPr>
                      </m:ctrlPr>
                    </m:dPr>
                    <m:e>
                      <m:r>
                        <w:rPr>
                          <w:rFonts w:ascii="Cambria Math" w:hAnsi="Cambria Math"/>
                          <w:sz w:val="22"/>
                        </w:rPr>
                        <m:t>t</m:t>
                      </m:r>
                    </m:e>
                  </m:d>
                </m:e>
              </m:d>
            </m:num>
            <m:den>
              <m:r>
                <w:rPr>
                  <w:rFonts w:ascii="Cambria Math" w:hAnsi="Cambria Math"/>
                  <w:sz w:val="22"/>
                </w:rPr>
                <m:t>CSR</m:t>
              </m:r>
              <m:d>
                <m:dPr>
                  <m:ctrlPr>
                    <w:rPr>
                      <w:rFonts w:ascii="Cambria Math" w:hAnsi="Cambria Math"/>
                      <w:i/>
                      <w:sz w:val="22"/>
                    </w:rPr>
                  </m:ctrlPr>
                </m:dPr>
                <m:e>
                  <m:r>
                    <w:rPr>
                      <w:rFonts w:ascii="Cambria Math" w:hAnsi="Cambria Math"/>
                      <w:sz w:val="22"/>
                    </w:rPr>
                    <m:t>PGA,z,</m:t>
                  </m:r>
                  <m:sSub>
                    <m:sSubPr>
                      <m:ctrlPr>
                        <w:rPr>
                          <w:rFonts w:ascii="Cambria Math" w:hAnsi="Cambria Math"/>
                          <w:i/>
                          <w:sz w:val="22"/>
                        </w:rPr>
                      </m:ctrlPr>
                    </m:sSubPr>
                    <m:e>
                      <m:r>
                        <w:rPr>
                          <w:rFonts w:ascii="Cambria Math" w:hAnsi="Cambria Math"/>
                          <w:sz w:val="22"/>
                        </w:rPr>
                        <m:t>z</m:t>
                      </m:r>
                    </m:e>
                    <m:sub>
                      <m:r>
                        <w:rPr>
                          <w:rFonts w:ascii="Cambria Math" w:hAnsi="Cambria Math"/>
                          <w:sz w:val="22"/>
                        </w:rPr>
                        <m:t>w</m:t>
                      </m:r>
                      <m:d>
                        <m:dPr>
                          <m:ctrlPr>
                            <w:rPr>
                              <w:rFonts w:ascii="Cambria Math" w:hAnsi="Cambria Math"/>
                              <w:i/>
                              <w:sz w:val="22"/>
                            </w:rPr>
                          </m:ctrlPr>
                        </m:dPr>
                        <m:e>
                          <m:r>
                            <w:rPr>
                              <w:rFonts w:ascii="Cambria Math" w:hAnsi="Cambria Math"/>
                              <w:sz w:val="22"/>
                            </w:rPr>
                            <m:t>t</m:t>
                          </m:r>
                        </m:e>
                      </m:d>
                    </m:sub>
                  </m:sSub>
                </m:e>
              </m:d>
              <m:r>
                <w:rPr>
                  <w:rFonts w:ascii="Cambria Math" w:hAnsi="Cambria Math"/>
                  <w:sz w:val="22"/>
                </w:rPr>
                <m:t>*MSF*epsilo</m:t>
              </m:r>
              <m:sSub>
                <m:sSubPr>
                  <m:ctrlPr>
                    <w:rPr>
                      <w:rFonts w:ascii="Cambria Math" w:hAnsi="Cambria Math"/>
                      <w:i/>
                      <w:sz w:val="22"/>
                    </w:rPr>
                  </m:ctrlPr>
                </m:sSubPr>
                <m:e>
                  <m:r>
                    <w:rPr>
                      <w:rFonts w:ascii="Cambria Math" w:hAnsi="Cambria Math"/>
                      <w:sz w:val="22"/>
                    </w:rPr>
                    <m:t>n</m:t>
                  </m:r>
                </m:e>
                <m:sub>
                  <m:r>
                    <w:rPr>
                      <w:rFonts w:ascii="Cambria Math" w:hAnsi="Cambria Math"/>
                      <w:sz w:val="22"/>
                    </w:rPr>
                    <m:t>m</m:t>
                  </m:r>
                </m:sub>
              </m:sSub>
            </m:den>
          </m:f>
        </m:oMath>
      </m:oMathPara>
    </w:p>
    <w:p w:rsidR="00AD65CC" w:rsidRDefault="000A5A2B">
      <w:pPr>
        <w:pStyle w:val="Paragraph"/>
      </w:pPr>
      <w:r>
        <w:t>Here N1,60cs is the clean-sand equivalent corrected SPT resistance, FC(t) is fines content, zw(t) is groundwater depth, PGA is peak ground acceleration, MSF is a magnitude-scaling factor and epsm is multiplicative model uncertainty. Liquefaction probability is then estimated as:</w:t>
      </w:r>
    </w:p>
    <w:p w:rsidR="00380D34" w:rsidRPr="00380D34" w:rsidRDefault="003B066E" w:rsidP="00380D34">
      <w:pPr>
        <w:pStyle w:val="Paragraph"/>
        <w:jc w:val="center"/>
        <w:rPr>
          <w:rFonts w:ascii="Cambria Math" w:hAnsi="Cambria Math"/>
          <w:sz w:val="22"/>
        </w:rPr>
      </w:pPr>
      <m:oMathPara>
        <m:oMath>
          <m:sSub>
            <m:sSubPr>
              <m:ctrlPr>
                <w:rPr>
                  <w:rFonts w:ascii="Cambria Math" w:hAnsi="Cambria Math"/>
                  <w:i/>
                  <w:sz w:val="22"/>
                </w:rPr>
              </m:ctrlPr>
            </m:sSubPr>
            <m:e>
              <m:r>
                <w:rPr>
                  <w:rFonts w:ascii="Cambria Math" w:hAnsi="Cambria Math"/>
                  <w:sz w:val="22"/>
                </w:rPr>
                <m:t>P</m:t>
              </m:r>
            </m:e>
            <m:sub>
              <m:r>
                <w:rPr>
                  <w:rFonts w:ascii="Cambria Math" w:hAnsi="Cambria Math"/>
                  <w:sz w:val="22"/>
                </w:rPr>
                <m:t>f</m:t>
              </m:r>
              <m:d>
                <m:dPr>
                  <m:ctrlPr>
                    <w:rPr>
                      <w:rFonts w:ascii="Cambria Math" w:hAnsi="Cambria Math"/>
                      <w:i/>
                      <w:sz w:val="22"/>
                    </w:rPr>
                  </m:ctrlPr>
                </m:dPr>
                <m:e>
                  <m:r>
                    <w:rPr>
                      <w:rFonts w:ascii="Cambria Math" w:hAnsi="Cambria Math"/>
                      <w:sz w:val="22"/>
                    </w:rPr>
                    <m:t>z,t</m:t>
                  </m:r>
                </m:e>
              </m:d>
            </m:sub>
          </m:sSub>
          <m:r>
            <w:rPr>
              <w:rFonts w:ascii="Cambria Math" w:hAnsi="Cambria Math"/>
              <w:sz w:val="22"/>
            </w:rPr>
            <m:t>=</m:t>
          </m:r>
          <m:func>
            <m:funcPr>
              <m:ctrlPr>
                <w:rPr>
                  <w:rFonts w:ascii="Cambria Math" w:hAnsi="Cambria Math"/>
                  <w:sz w:val="22"/>
                </w:rPr>
              </m:ctrlPr>
            </m:funcPr>
            <m:fName>
              <m:r>
                <m:rPr>
                  <m:sty m:val="p"/>
                </m:rPr>
                <w:rPr>
                  <w:rFonts w:ascii="Cambria Math" w:hAnsi="Cambria Math"/>
                  <w:sz w:val="22"/>
                </w:rPr>
                <m:t>Pr</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&lt;0</m:t>
                  </m:r>
                </m:e>
              </m:d>
            </m:e>
          </m:func>
        </m:oMath>
      </m:oMathPara>
    </w:p>
    <w:p w:rsidR="00AD65CC" w:rsidRDefault="000A5A2B">
      <w:pPr>
        <w:pStyle w:val="Paragraph"/>
      </w:pPr>
      <w:r>
        <w:t>The benchmark intentionally keeps the empirical triggering functions simple so that the effect of non-stationarity remains auditable. CSR is computed with the standard simplified stress-ratio structure, while CRR is represented by a bounded smooth relation with corrected SPT resistance. The objective is not to replace established triggering curves, but to show how they can be embedded in a time-dependent reliability calculation.</w:t>
      </w:r>
    </w:p>
    <w:p w:rsidR="00AD65CC" w:rsidRDefault="000A5A2B">
      <w:pPr>
        <w:pStyle w:val="Paragraph"/>
        <w:jc w:val="both"/>
      </w:pPr>
      <w:r>
        <w:t>The detailed random-variable list, synthetic profile and scenario definitions are supplied in the supplementary material and in the CSV files. The main text keeps the equations and the decision logic so the reader can follow the physics without stopping at every input table.</w:t>
      </w:r>
    </w:p>
    <w:p w:rsidR="00AD65CC" w:rsidRDefault="00AD65CC"/>
    <w:p w:rsidR="00AD65CC" w:rsidRDefault="000A5A2B">
      <w:pPr>
        <w:pStyle w:val="Paragraph"/>
      </w:pPr>
      <w:r>
        <w:t>The four-layer synthetic profile in Table 3 represents a shallow deposit with decreasing susceptibility with depth. It is not a hidden calibration case; all parameters are disclosed so that reviewers can rerun or modify the benchmark.</w:t>
      </w:r>
    </w:p>
    <w:p w:rsidR="00AD65CC" w:rsidRDefault="00AD65CC"/>
    <w:p w:rsidR="00AD65CC" w:rsidRDefault="000A5A2B">
      <w:pPr>
        <w:pStyle w:val="Paragraph"/>
      </w:pPr>
      <w:r>
        <w:t>The groundwater and gradation scenarios in Table 4 define the non-stationary dimension. The extreme scenario introduces a discrete groundwater rise after year 30, while the gradation scenarios represent constant, accumulating and washing fines contents.</w:t>
      </w:r>
    </w:p>
    <w:p w:rsidR="00AD65CC" w:rsidRDefault="00AD65CC"/>
    <w:p w:rsidR="00AD65CC" w:rsidRPr="00F436BC" w:rsidRDefault="000A5A2B" w:rsidP="00F436BC">
      <w:pPr>
        <w:pStyle w:val="Heading1"/>
        <w:rPr>
          <w:rFonts w:ascii="Arial" w:hAnsi="Arial"/>
        </w:rPr>
      </w:pPr>
      <w:r>
        <w:t>4. What changes when the state variables move</w:t>
      </w:r>
    </w:p>
    <w:p w:rsidR="00946BE6" w:rsidRDefault="00946BE6" w:rsidP="00946BE6">
      <w:r>
        <w:t>The complete benchmark contains 1,248 layer-time-scenario records generated with 12,000 Monte Carlo samples for each state. The CSV files, Python scripts, README and regenerated figures are provided as Online Resource 1. The results are reported as georisk decision diagnostics: current Pf supports present serviceability screening, maximum Pf supports horizon planning, threshold-crossing time supports monitoring escalation, and Delta Pf identifies cases where stationary analysis materially changes priority ranking. Fig. 1 shows the time evolution of layer-wise non-stationary liquefaction probability for the extreme groundwater scenario with fines accumulation.</w:t>
      </w:r>
    </w:p>
    <w:p>
      <w:pPr/>
      <w:r>
        <w:t>The central physical result is not merely that probabilities change with time. It is that the change becomes sharp when the water table crosses a susceptible layer. Before the crossing, pore pressure does not act through the full layer thickness. After the crossing, effective stress drops inside the layer, so the simplified CSR term rises through sigma_v/sigma_v prime. In the extreme scenario, the L1 crossing from 2.21 m to 1.25 m raises CSR by 25.3%, lowers deterministic FS by 19.7% and increases Pf by 0.149 for fines accumulation. That is the physical switch tested by the benchmark.</w:t>
      </w:r>
    </w:p>
    <w:p>
      <w:pPr/>
      <w:r>
        <w:drawing>
          <wp:inline xmlns:a="http://schemas.openxmlformats.org/drawingml/2006/main" xmlns:pic="http://schemas.openxmlformats.org/drawingml/2006/picture">
            <wp:extent cx="5897880" cy="3931920"/>
            <wp:docPr id="15" name="Picture 15"/>
            <wp:cNvGraphicFramePr>
              <a:graphicFrameLocks noChangeAspect="1"/>
            </wp:cNvGraphicFramePr>
            <a:graphic>
              <a:graphicData uri="http://schemas.openxmlformats.org/drawingml/2006/picture">
                <pic:pic>
                  <pic:nvPicPr>
                    <pic:cNvPr id="0" name="fig15_critical_water_table_crossing_mechanism.png"/>
                    <pic:cNvPicPr/>
                  </pic:nvPicPr>
                  <pic:blipFill>
                    <a:blip r:embed="rId22"/>
                    <a:stretch>
                      <a:fillRect/>
                    </a:stretch>
                  </pic:blipFill>
                  <pic:spPr>
                    <a:xfrm>
                      <a:off x="0" y="0"/>
                      <a:ext cx="5897880" cy="3931920"/>
                    </a:xfrm>
                    <a:prstGeom prst="rect"/>
                  </pic:spPr>
                </pic:pic>
              </a:graphicData>
            </a:graphic>
          </wp:inline>
        </w:drawing>
      </w:r>
    </w:p>
    <w:p>
      <w:pPr/>
      <w:r>
        <w:t>Figure 15. Critical water-table crossing mechanism. The same groundwater transition that crosses L1 lowers effective stress, raises CSR, lowers FS and produces an abrupt Pf jump. Gradation trajectories modulate the resistance side, but the switch is the hydraulic crossing itself.</w:t>
      </w:r>
    </w:p>
    <w:p w:rsidR="00AD65CC" w:rsidRDefault="000A5A2B">
      <w:pPr>
        <w:pStyle w:val="Paragraph"/>
      </w:pPr>
      <w:r>
        <w:t>The main scenario-level outputs are summarised in Table 5. The extreme groundwater scenario is consistently the most severe. The largest maximum probability occurs under fines washout because the clean-sand-equivalent correction decreases when fines are removed, reducing the benchmark CRR. This result is not a universal physical claim; it is a transparent consequence of the selected empirical correction and is therefore reported as a sensitivity result rather than a field conclusion.</w:t>
      </w:r>
    </w:p>
    <w:p w:rsidR="00AD65CC" w:rsidRDefault="00AD65CC"/>
    <w:p w:rsidR="00AD65CC" w:rsidRDefault="000A5A2B">
      <w:pPr>
        <w:pStyle w:val="Paragraph"/>
      </w:pPr>
      <w:r>
        <w:t>A practical implication is that deterministic and stationary-probabilistic checks can understate the computed scenario-conditioned probability for selected states. Table 6 compares stationary and non-stationary profile-average screening indices at selected years for the extreme scenario and fines accumulation. The profile-average value is a compact diagnostic index, not the probability of system failure of the full soil column. The non-stationary estimate departs sharply after the extreme groundwater shift, which is precisely the behaviour that a state-dependent geohazard screening tool should reveal.</w:t>
      </w:r>
    </w:p>
    <w:p w:rsidR="00AD65CC" w:rsidRDefault="00AD65CC"/>
    <w:p w:rsidR="00AD65CC" w:rsidRPr="00F436BC" w:rsidRDefault="000A5A2B" w:rsidP="00F436BC">
      <w:pPr>
        <w:pStyle w:val="Heading1"/>
        <w:rPr>
          <w:rFonts w:ascii="Arial" w:hAnsi="Arial"/>
        </w:rPr>
      </w:pPr>
      <w:r>
        <w:t>5. Validation, decision rules and claim boundary</w:t>
      </w:r>
    </w:p>
    <w:p w:rsidR="00AD65CC" w:rsidRDefault="000A5A2B">
      <w:pPr>
        <w:pStyle w:val="Paragraph"/>
      </w:pPr>
      <w:r>
        <w:t>The benchmark was designed so that a reviewer can inspect every transformation from input assumptions to reported probabilities. The script fixes the random seed, writes the layer profile to a separate CSV file, reports layer-time-scenario outputs, and stores profile-level comparisons in a separate table. This structure avoids a common weakness in methodological geotechnical papers: results are not only shown as final plots but can be traced back to the random variables, scenario definitions and intermediate quantities used to compute the limit state. The supplied files therefore support both replication and controlled modification of the benchmark.</w:t>
      </w:r>
    </w:p>
    <w:p>
      <w:pPr>
        <w:pStyle w:val="Paragraph"/>
      </w:pPr>
      <w:r>
        <w:t>Evidence classes are kept separate: verification, synthetic mechanism isolation, external compatibility, temporal-transfer testing, and decision-policy stress testing. Only the held-out screening tests are called validation.</w:t>
      </w:r>
    </w:p>
    <w:p w:rsidR="00AD65CC" w:rsidRDefault="000A5A2B">
      <w:pPr>
        <w:pStyle w:val="Paragraph"/>
      </w:pPr>
      <w:r>
        <w:t>A second control is the explicit comparison between stationary and non-stationary probabilities. The stationary calculation keeps groundwater and fines content at the initial state while still propagating resistance, demand and model uncertainty. The non-stationary calculation changes the scenario means before sampling. This separation is important because it isolates the effect of changing environmental and material state variables from ordinary Monte Carlo variability. It also allows the difference Delta Pf to be interpreted as a scenario effect rather than as a replacement for conventional reliability analysis.</w:t>
      </w:r>
    </w:p>
    <w:p w:rsidR="00D24E97" w:rsidRDefault="000E1204">
      <w:pPr>
        <w:pStyle w:val="Paragraph"/>
      </w:pPr>
      <w:r>
        <w:t>This comparison is treated as an ablation rather than as a cosmetic scenario plot. M0 removes both groundwater and gradation updating, M1 adds groundwater updating alone, M2 adds groundwater plus gradation proxy updating, and M3 preserves the full non-stationary decision operator. The reported AUC, Brier and out-of-sample diagnostics are therefore interpreted as tests of the added state variables, not only as reproducibility checks.</w:t>
      </w:r>
    </w:p>
    <w:p w:rsidR="00AD65CC" w:rsidRDefault="000A5A2B">
      <w:pPr>
        <w:pStyle w:val="Paragraph"/>
      </w:pPr>
      <w:r>
        <w:t>A third control is the deterministic factor of safety reported alongside probability. The deterministic value is not treated as the decision metric, but it helps identify whether the probabilistic result is driven by a clearly unstable mean state or by uncertainty around a marginal state. In the most severe cases, the minimum deterministic factor of safety falls below one; in less severe cases, probability may still be non-negligible because uncertainty spreads the limit-state margin across the failure boundary. This combined reporting is useful for engineering review because it prevents the probability curve from becoming a black-box output.</w:t>
      </w:r>
    </w:p>
    <w:p w:rsidR="00AD65CC" w:rsidRDefault="000A5A2B">
      <w:pPr>
        <w:pStyle w:val="Paragraph"/>
      </w:pPr>
      <w:r>
        <w:t>The selected fines-content scenarios also serve as an internal sensitivity check. Fines accumulation and fines washout should not be read as universal physical trends. Their purpose is to test whether the workflow responds to a compositional variable that enters the clean-sand-equivalent resistance correction. The benchmark shows that a gradation pathway can change the relative severity of scenarios even when the groundwater path is unchanged. That observation is directly relevant to hydraulic fills, reclaimed land, erodible deposits and sites where internal instability or sediment migration is plausible.</w:t>
      </w:r>
    </w:p>
    <w:p w:rsidR="00946BE6" w:rsidRDefault="00946BE6" w:rsidP="00946BE6">
      <w:pPr>
        <w:jc w:val="both"/>
      </w:pPr>
      <w:r>
        <w:t>For georisk readers, the output is a decision aid: which layers escalate, when thresholds are crossed, and when a conservative screen is justified.</w:t>
      </w:r>
    </w:p>
    <w:p w:rsidR="00AD65CC" w:rsidRDefault="000A5A2B">
      <w:pPr>
        <w:pStyle w:val="Paragraph"/>
        <w:jc w:val="both"/>
      </w:pPr>
      <w:r>
        <w:t>With monitoring data, the same workflow can be recalibrated. Without those data, it remains a transparent screening benchmark.</w:t>
      </w:r>
    </w:p>
    <w:p w:rsidR="00AD65CC" w:rsidRDefault="000A5A2B">
      <w:pPr>
        <w:pStyle w:val="Paragraph"/>
        <w:jc w:val="both"/>
      </w:pPr>
      <w:r>
        <w:t>The main limitation is the absence of a calibrated vertical random field. The supplement brackets this uncertainty; design use still requires site data.</w:t>
      </w:r>
    </w:p>
    <w:p w:rsidR="00946BE6" w:rsidRDefault="00946BE6" w:rsidP="00946BE6">
      <w:r>
        <w:t>The benchmark is therefore best understood as an auditable georisk experiment rather than a fixed-condition screening exercise. Its value lies in showing that, for the prescribed scenarios and selected triggering formulation, non-stationary state variables can substantially change computed probability trends, rank order and escalation timing within the benchmark assumptions. The results support considering non-stationary groundwater and gradation scenarios as risk-management diagnostics, pending site-specific calibration before project use.</w:t>
      </w:r>
    </w:p>
    <w:p w:rsidR="004457B8" w:rsidRDefault="00554E27">
      <w:pPr>
        <w:pStyle w:val="Paragraph"/>
        <w:jc w:val="both"/>
      </w:pPr>
      <w:r>
        <w:t>The reproducibility controls are reported in the supplementary material and in the public repository. In the main text, the important point is simple: every figure and validation table is generated by a named script, and the raw DesignSafe files are either included or downloaded by a documented gate.</w:t>
      </w:r>
    </w:p>
    <w:p w:rsidR="00AD65CC" w:rsidRDefault="000A5A2B">
      <w:pPr>
        <w:pStyle w:val="Paragraph"/>
      </w:pPr>
      <w:r>
        <w:t>Monte Carlo convergence and high-Pf stability were evaluated using approximate 95% binomial confidence intervals for each Pf estimate and repeated-sample checks for the most severe state. This check does not prove site validity, but it shows that the high Pf values are not a random-sampling artefact of the selected sample size.</w:t>
      </w:r>
    </w:p>
    <w:p w:rsidR="004457B8" w:rsidRDefault="00554E27">
      <w:pPr>
        <w:pStyle w:val="Paragraph"/>
        <w:jc w:val="both"/>
      </w:pPr>
      <w:r>
        <w:t>The Monte Carlo convergence details are moved to the supplement. The main conclusion is that the severe-state probability estimates remain stable enough for screening comparisons at the reported sample size.</w:t>
      </w:r>
    </w:p>
    <w:p w:rsidR="00AD65CC" w:rsidRDefault="000A5A2B">
      <w:pPr>
        <w:pStyle w:val="Paragraph"/>
      </w:pPr>
      <w:r>
        <w:t>The convergence pattern in Table 8 supports the interpretation that the severe-state probability is driven by the scenario definition and layer properties, not by insufficient Monte Carlo sampling. The remaining scientific limitation is therefore not numerical instability, but the intentionally synthetic nature of the benchmark; this limitation is disclosed in the discussion and data statement.</w:t>
      </w:r>
    </w:p>
    <w:p w:rsidR="00AD65CC" w:rsidRPr="00F436BC" w:rsidRDefault="000A5A2B" w:rsidP="00F436BC">
      <w:pPr>
        <w:pStyle w:val="Heading2"/>
        <w:rPr>
          <w:rFonts w:ascii="Arial" w:hAnsi="Arial"/>
        </w:rPr>
      </w:pPr>
      <w:r>
        <w:t>5.1 External trend check</w:t>
      </w:r>
    </w:p>
    <w:p w:rsidR="00AD65CC" w:rsidRDefault="000A5A2B">
      <w:pPr>
        <w:pStyle w:val="Paragraph"/>
        <w:jc w:val="both"/>
      </w:pPr>
      <w:r>
        <w:t>Because the benchmark is synthetic, external checks are needed. The Hu, Nisqually, SODO/UW and Canterbury tests are therefore reported separately from the synthetic scenario results.</w:t>
      </w:r>
    </w:p>
    <w:p>
      <w:pPr>
        <w:pStyle w:val="Paragraph"/>
      </w:pPr>
      <w:r>
        <w:t>A separate field-regime gate was also tested and intentionally kept as a guardrail: a simple hydraulic-leverage-plus-CPT-fabric index did not explain Canterbury false negatives by itself. This negative result prevents the paper from overselling the mechanism as a universal field classifier. The physical switch is demonstrated in the controlled benchmark; the field validations support screening discipline and claim boundaries.</w:t>
      </w:r>
    </w:p>
    <w:p w:rsidR="00AD65CC" w:rsidRDefault="000A5A2B">
      <w:pPr>
        <w:pStyle w:val="Paragraph"/>
      </w:pPr>
      <w:r>
        <w:t>The second external anchor is fines-content sensitivity. Fines content affects liquefaction triggering correlations and can change the clean-sand equivalent resistance used by simplified procedures. Site and method comparisons in the liquefaction literature show that fines content and plasticity assumptions can substantially alter liquefaction potential estimates [27, 49]. The benchmark therefore tests both fines accumulation and fines washout. These pathways should be interpreted as scenario variables linked to sedimentation, erosion, hydraulic fills, internal migration of particles and anthropogenic ground modification, not as universal predictions for all deposits.</w:t>
      </w:r>
    </w:p>
    <w:p w:rsidR="00AD65CC" w:rsidRDefault="000A5A2B">
      <w:pPr>
        <w:pStyle w:val="Paragraph"/>
      </w:pPr>
      <w:r>
        <w:t>The third external anchor is the need for probabilistic regional or infrastructure-scale screening. Current probabilistic liquefaction studies increasingly propagate uncertainty in subsurface conditions, groundwater, soil behaviour and model form for regional or distributed assets [14, 20, 46]. The benchmark aligns with that direction by producing probability time series, uncertainty intervals and a profile-level comparison instead of a single deterministic pass/fail result. It remains simpler than a regional geostatistical model, but it is intentionally positioned as a reproducible intermediate benchmark for non-stationary risk screening.</w:t>
      </w:r>
    </w:p>
    <w:p w:rsidR="00AD65CC" w:rsidRPr="00F436BC" w:rsidRDefault="000A5A2B" w:rsidP="00F436BC">
      <w:pPr>
        <w:pStyle w:val="Heading2"/>
        <w:rPr>
          <w:rFonts w:ascii="Arial" w:hAnsi="Arial"/>
        </w:rPr>
      </w:pPr>
      <w:r>
        <w:t>5.2 Sensitivity and artefact control</w:t>
      </w:r>
    </w:p>
    <w:p w:rsidR="00AD65CC" w:rsidRDefault="000A5A2B">
      <w:pPr>
        <w:pStyle w:val="Paragraph"/>
      </w:pPr>
      <w:r>
        <w:t>A final diagnostic issue is whether the high probabilities in the extreme scenario are artefacts of the chosen parameterisation. To address this, the benchmark includes a rank-correlation sensitivity check over all layer-time-scenario records. The analysis is not presented as a substitute for a full variance-based sensitivity design; rather, it is a transparent diagnostic that identifies which reported state variables most strongly co-vary with the non-stationary probability of liquefaction. This addresses the methodological concern that the output might be dominated by a hidden numerical accident rather than by interpretable resistance and demand quantities.</w:t>
      </w:r>
    </w:p>
    <w:p w:rsidR="00AD65CC" w:rsidRDefault="000A5A2B">
      <w:pPr>
        <w:pStyle w:val="Paragraph"/>
      </w:pPr>
      <w:r>
        <w:t>The combined diagnostics from confidence intervals, repeated-sample convergence, external trend checks and rank sensitivity show that the benchmark is reproducible, internally consistent and directionally plausible within its assumptions. It remains explicit about its synthetic status while providing computational diagnostics that allow readers to reproduce, criticise and extend the workflow.</w:t>
      </w:r>
    </w:p>
    <w:p w:rsidR="000A5A2B" w:rsidRPr="00F436BC" w:rsidRDefault="000A5A2B" w:rsidP="00F436BC">
      <w:pPr>
        <w:pStyle w:val="Heading2"/>
        <w:rPr>
          <w:rFonts w:ascii="Arial" w:hAnsi="Arial"/>
        </w:rPr>
      </w:pPr>
      <w:r>
        <w:t>5.3 Case-history sanity check</w:t>
      </w:r>
    </w:p>
    <w:p w:rsidR="000A5A2B" w:rsidRDefault="000A5A2B" w:rsidP="000A5A2B">
      <w:pPr>
        <w:pStyle w:val="Paragraph"/>
        <w:jc w:val="both"/>
      </w:pPr>
      <w:r>
        <w:t>An external trend-consistency check with the Hu et al. case-history dataset tests whether demand, resistance and groundwater indicators rank liquefied cases above non-liquefied cases. It is a compatibility check, not site calibration.</w:t>
      </w:r>
    </w:p>
    <w:p w:rsidR="000A5A2B" w:rsidRDefault="000A5A2B" w:rsidP="000A5A2B"/>
    <w:p w:rsidR="00731CB2" w:rsidRDefault="00731CB2">
      <w:pPr>
        <w:pStyle w:val="Paragraph"/>
      </w:pPr>
      <w:r>
        <w:t>The external check was extended beyond rank AUC by adding five-fold calibrated Brier scores, probability-calibration bins and transparent confusion-matrix diagnostics. A static proxy version of the benchmark limit-state was also applied to the Hu et al. cases where CSR, resistance and fines-content data were available. These Hu et al. and Wenchuan analyses are retained as external case-history compatibility checks: they evaluate whether demand, resistance and groundwater indicators rank observed liquefied cases above non-liquefied cases, but they do not constitute a calibrated non-stationary field application.</w:t>
      </w:r>
    </w:p>
    <w:p w:rsidR="004457B8" w:rsidRDefault="00554E27">
      <w:pPr>
        <w:pStyle w:val="Paragraph"/>
      </w:pPr>
      <w:r>
        <w:t>Detailed external discrimination, five-fold calibration and static compatibility diagnostics are reported in Table 12, and expanded external compatibility metrics are reported in Table 15. Table 14 reports the vertical-dependence sensitivity used to distinguish profile-average probability from system-failure probability. Their role is external compatibility and dependence-sensitivity checking, not site-calibrated validation of the synthetic benchmark.</w:t>
      </w:r>
    </w:p>
    <w:p w:rsidR="000A5A2B" w:rsidRDefault="000A5A2B" w:rsidP="000A5A2B"/>
    <w:p w:rsidR="00CD5D77" w:rsidRDefault="00CD5D77" w:rsidP="00F436BC">
      <w:pPr>
        <w:pStyle w:val="Paragraph"/>
        <w:rPr>
          <w:rFonts w:cs="Arial"/>
        </w:rPr>
      </w:pPr>
      <w:r>
        <w:t>The standard SPT model-form comparison is reported in Table 13. In the reproducibility package, the BI14 SPT curve is computed through liquepy when available. The same output files also report a BI14 median-parameter variant, FS scale ratios, and an explicit availability table for BI16, Cetin, Moss/CPT and Kayen/Vs alternatives so that unavailable exact methods are not silently renamed or substituted.</w:t>
      </w:r>
    </w:p>
    <w:p w:rsidR="008963EB" w:rsidRDefault="00F31386">
      <w:pPr>
        <w:pStyle w:val="Paragraph"/>
      </w:pPr>
      <w:r>
        <w:t>Supplementary Table S2 provides the extended standard-model comparison details, Supplementary Table S3 reports the vertical-dependence sensitivity outputs, and Supplementary Table S4 reports the expanded external compatibility metrics. These supplementary tables are cross-referenced here to connect the manuscript diagnostics with the online resource files.</w:t>
      </w:r>
    </w:p>
    <w:p w:rsidR="00731CB2" w:rsidRDefault="00731CB2" w:rsidP="00F436BC">
      <w:pPr>
        <w:pStyle w:val="Heading2"/>
        <w:rPr>
          <w:rFonts w:ascii="Arial" w:hAnsi="Arial"/>
        </w:rPr>
      </w:pPr>
      <w:r>
        <w:t>5.4 Site extension and out-of-sample stress tests</w:t>
      </w:r>
    </w:p>
    <w:p w:rsidR="00731CB2" w:rsidRDefault="00731CB2" w:rsidP="00F436BC">
      <w:pPr>
        <w:pStyle w:val="Paragraph"/>
        <w:rPr>
          <w:rFonts w:cs="Arial"/>
        </w:rPr>
      </w:pPr>
      <w:r>
        <w:t>A documented-site extension was added using the DesignSafe PRJ-3758 Nisqually CPT case-history dataset. The extension normalises 24 CPT workbooks and Summary Table S1 into site-profile, groundwater, gradation-status and event-observation CSV files. The groundwater module fits a trajectory with trend, annual sine/cosine terms and an event indicator, and Fig. 6 reports observed water-table points, the fitted mean curve, a 95% interval and the 28 February 2001 earthquake date. Because PRJ-3758 does not include repeated FC/D50 measurements, the gradation module is explicitly marked as baseline uncertainty/proxy information rather than calibrated temporal gradation evolution.</w:t>
      </w:r>
    </w:p>
    <w:p w:rsidR="000042A0" w:rsidRDefault="000042A0" w:rsidP="00F436BC">
      <w:pPr>
        <w:pStyle w:val="Paragraph"/>
        <w:jc w:val="both"/>
        <w:rPr>
          <w:rFonts w:cs="Arial"/>
        </w:rPr>
      </w:pPr>
      <w:r>
        <w:t>The validation protocol is out-of-sample: Nisqually uses leave-one-site-family-out testing, SODO/UW is an adverse holdout, and Canterbury is never used to fit the Nisqually-trained external-transfer models.</w:t>
      </w:r>
    </w:p>
    <w:p w:rsidR="003B066E" w:rsidRDefault="003B066E" w:rsidP="000A5A2B">
      <w:pPr>
        <w:jc w:val="both"/>
      </w:pPr>
      <w:r>
        <w:t>The Canterbury extension now has three layers of evidence: a transparent three-event CPT example, a 15,890-state multi-site transfer test, and the new leave-one-earthquake-out temporal holdout. The detailed site plots are kept in the supplement; the main text reports the decision consequences.</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DB1D60" w:rsidRDefault="00DB1D60" w:rsidP="000A5A2B">
      <w:pPr>
        <w:rPr>
          <w:rFonts w:eastAsiaTheme="majorEastAsia" w:cs="Arial"/>
          <w:b/>
          <w:bCs/>
          <w:color w:val="000000"/>
          <w:sz w:val="23"/>
          <w:szCs w:val="26"/>
        </w:rPr>
      </w:pPr>
    </w:p>
    <w:p w:rsidR="001E223A" w:rsidRDefault="001E223A"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pStyle w:val="Heading2"/>
        <w:rPr>
          <w:rFonts w:eastAsiaTheme="majorEastAsia"/>
          <w:color w:val="000000"/>
          <w:sz w:val="23"/>
          <w:szCs w:val="26"/>
        </w:rPr>
      </w:pPr>
      <w:r>
        <w:t>5.5 Physical meaning of gradation scenarios</w:t>
      </w:r>
    </w:p>
    <w:p w:rsidR="000A5A2B" w:rsidRDefault="000A5A2B" w:rsidP="000A5A2B">
      <w:pPr>
        <w:pStyle w:val="Paragraph"/>
      </w:pPr>
      <w:r>
        <w:t>The gradation scenarios should be read as prescribed physical states rather than as a stand-alone sediment-transport model. The fines-accumulation path represents mechanisms such as sedimentation, hydraulic fill placement, internal particle migration toward a layer, clogging or progressive inclusion of finer material. The fines-washout path represents erosion, seepage-driven migration, loss of fines during extreme hydraulic gradients or disturbance of a loose deposit. The constant-gradation path is the neutral baseline against which these perturbations are compared.</w:t>
      </w:r>
    </w:p>
    <w:p w:rsidR="000A5A2B" w:rsidRDefault="000A5A2B" w:rsidP="000A5A2B">
      <w:pPr>
        <w:pStyle w:val="Paragraph"/>
      </w:pPr>
      <w:r>
        <w:t>This interpretation limits the claim to what the benchmark actually computes. The paper does not predict future gradation evolution from first principles; it evaluates how a plausible prescribed evolution, if inferred from monitoring, maintenance history or site interpretation, changes liquefaction probability through the clean-sand equivalent resistance and the demand-resistance margin. This framing is important because it keeps the contribution in the domain of reliability screening and scenario analysis, while leaving site-specific transport or erosion calibration as a later task.</w:t>
      </w:r>
    </w:p>
    <w:p>
      <w:pPr>
        <w:pStyle w:val="Heading2"/>
      </w:pPr>
      <w:r>
        <w:t>5.6 Novelty and claim boundary</w:t>
      </w:r>
    </w:p>
    <w:p>
      <w:pPr/>
      <w:r>
        <w:t>The MRNB-NC evidence hierarchy used here is: (i) code and equation verification for internal correctness; (ii) synthetic benchmark scenarios for mechanism isolation; (iii) external trend-consistency and case-history checks for plausibility; (iv) out-of-sample stress tests for bounded predictive behavior; and (v) explicitly blocked claims where the evidence does not support universal model superiority or design-level validation.</w:t>
      </w:r>
    </w:p>
    <w:p>
      <w:pPr/>
      <w:r>
        <w:t>These controls define the editorial novelty claim as decision interpretation under moving state variables. The manuscript does not validate the full groundwater/gradation operator against monitored temporal field evolution; it tests whether the resulting screening signals transfer sufficiently for bounded false-negative-aware decisions.</w:t>
      </w:r>
    </w:p>
    <w:p>
      <w:pPr>
        <w:jc w:val="both"/>
      </w:pPr>
      <w:r>
        <w:t>The detailed operating-policy table is supplied in the supplementary material. The main decision rule is retained in prose: use M0 as the calibration baseline, use non-stationary forms to test whether moving groundwater or gradation changes the decision, and use conservative screening only when the false-negative cost justifies more false alarms.</w:t>
      </w:r>
    </w:p>
    <w:p>
      <w:pPr>
        <w:pStyle w:val="Heading2"/>
      </w:pPr>
      <w:r>
        <w:t>5.7 What the engineer should do with the result</w:t>
      </w:r>
    </w:p>
    <w:p>
      <w:pPr>
        <w:jc w:val="both"/>
      </w:pPr>
      <w:r>
        <w:t>Recent Georisk work already treats liquefaction and geotechnical risk as spatially uncertain and decision-sensitive [51-54]. This paper adds a reproducible way to test whether moving groundwater and gradation change the operating decision.</w:t>
      </w:r>
    </w:p>
    <w:p>
      <w:pPr/>
      <w:r>
        <w:t>The Hu et al. event-level validation provides an additional independent screen on transferability. In this protocol, each earthquake is held out in turn, the screening score is calibrated on all other earthquakes, and predictions are made for the held-out event. The combined screening score achieves Brier = 0.194 and AUC = 0.753 across 232 held-out predictions from 15 earthquakes. This result strengthens external screening evidence while preserving the claim boundary: it validates event-level screening transfer, not a site-specific design probability or the full non-stationary time-update operator.</w:t>
      </w:r>
    </w:p>
    <w:p>
      <w:pPr>
        <w:jc w:val="both"/>
      </w:pPr>
      <w:r>
        <w:t>A final decision-oriented stress test was added to avoid tuning operating thresholds on the external domain being evaluated. Thresholds were selected only on the Nisqually leave-one-family validation domain and then transferred unchanged to SODO/UW and Canterbury. At a false-negative:false-positive cost ratio of 10, the locked M1 groundwater-only rule used a threshold of 0.075 and reduced Canterbury false negatives from 99 under the locked M0 rule to 9, while increasing false positives from 6765 to 7535. The full-domain external comparison, restricted to models available in both SODO/UW and Canterbury, still favoured M0. This result strengthens the decision claim because it validates a pre-specified false-negative management rule, but it also preserves the claim boundary: the non-stationary model is useful for domain-conditional screening, not universally superior probability calibration.</w:t>
      </w:r>
    </w:p>
    <w:p>
      <w:pPr>
        <w:jc w:val="both"/>
      </w:pPr>
      <w:r>
        <w:t>The strongest new temporal validation is the Canterbury leave-one-event test. Each earthquake is removed in turn; the model learns from the other two events and predicts the held-out event. This is closer to the way a future earthquake is encountered: the event is not available during fitting. Across 15,890 held-out event states and 63,560 model predictions, M2 produced the best pooled Brier score and AUC. Event-wise operating decisions remain mixed, so the result supports temporal transfer and rank discrimination, not universal dominance.</w:t>
      </w:r>
    </w:p>
    <w:p>
      <w:pPr>
        <w:spacing w:after="0" w:before="0"/>
      </w:pPr>
      <w:r>
        <w:rPr>
          <w:b/>
          <w:sz w:val="16"/>
        </w:rPr>
        <w:t>Table 20. Canterbury leave-one-earthquake-out temporal validation summary.</w:t>
      </w:r>
    </w:p>
    <w:tbl>
      <w:tblPr>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spacing w:after="0" w:before="0"/>
            </w:pPr>
            <w:r>
              <w:rPr>
                <w:b/>
                <w:sz w:val="12"/>
              </w:rPr>
              <w:t>Result level</w:t>
            </w:r>
          </w:p>
        </w:tc>
        <w:tc>
          <w:tcPr>
            <w:tcW w:type="dxa" w:w="1215"/>
          </w:tcPr>
          <w:p>
            <w:pPr>
              <w:spacing w:after="0" w:before="0"/>
            </w:pPr>
            <w:r>
              <w:rPr>
                <w:b/>
                <w:sz w:val="12"/>
              </w:rPr>
              <w:t>Best model</w:t>
            </w:r>
          </w:p>
        </w:tc>
        <w:tc>
          <w:tcPr>
            <w:tcW w:type="dxa" w:w="1215"/>
          </w:tcPr>
          <w:p>
            <w:pPr>
              <w:spacing w:after="0" w:before="0"/>
            </w:pPr>
            <w:r>
              <w:rPr>
                <w:b/>
                <w:sz w:val="12"/>
              </w:rPr>
              <w:t>Brier</w:t>
            </w:r>
          </w:p>
        </w:tc>
        <w:tc>
          <w:tcPr>
            <w:tcW w:type="dxa" w:w="1215"/>
          </w:tcPr>
          <w:p>
            <w:pPr>
              <w:spacing w:after="0" w:before="0"/>
            </w:pPr>
            <w:r>
              <w:rPr>
                <w:b/>
                <w:sz w:val="12"/>
              </w:rPr>
              <w:t>AUC</w:t>
            </w:r>
          </w:p>
        </w:tc>
        <w:tc>
          <w:tcPr>
            <w:tcW w:type="dxa" w:w="1215"/>
          </w:tcPr>
          <w:p>
            <w:pPr>
              <w:spacing w:after="0" w:before="0"/>
            </w:pPr>
            <w:r>
              <w:rPr>
                <w:b/>
                <w:sz w:val="12"/>
              </w:rPr>
              <w:t>Held-out states</w:t>
            </w:r>
          </w:p>
        </w:tc>
        <w:tc>
          <w:tcPr>
            <w:tcW w:type="dxa" w:w="1215"/>
          </w:tcPr>
          <w:p>
            <w:pPr>
              <w:spacing w:after="0" w:before="0"/>
            </w:pPr>
            <w:r>
              <w:rPr>
                <w:b/>
                <w:sz w:val="12"/>
              </w:rPr>
              <w:t>Key support</w:t>
            </w:r>
          </w:p>
        </w:tc>
        <w:tc>
          <w:tcPr>
            <w:tcW w:type="dxa" w:w="1215"/>
          </w:tcPr>
          <w:p>
            <w:pPr>
              <w:spacing w:after="0" w:before="0"/>
            </w:pPr>
            <w:r>
              <w:rPr>
                <w:b/>
                <w:sz w:val="12"/>
              </w:rPr>
              <w:t>Key limit</w:t>
            </w:r>
          </w:p>
        </w:tc>
      </w:tr>
      <w:tr>
        <w:tc>
          <w:tcPr>
            <w:tcW w:type="dxa" w:w="1215"/>
          </w:tcPr>
          <w:p>
            <w:pPr>
              <w:spacing w:after="0" w:before="0"/>
            </w:pPr>
            <w:r>
              <w:rPr>
                <w:sz w:val="12"/>
              </w:rPr>
              <w:t>Pooled temporal holdout</w:t>
            </w:r>
          </w:p>
        </w:tc>
        <w:tc>
          <w:tcPr>
            <w:tcW w:type="dxa" w:w="1215"/>
          </w:tcPr>
          <w:p>
            <w:pPr>
              <w:spacing w:after="0" w:before="0"/>
            </w:pPr>
            <w:r>
              <w:rPr>
                <w:sz w:val="12"/>
              </w:rPr>
              <w:t>M2 groundwater + gradation</w:t>
            </w:r>
          </w:p>
        </w:tc>
        <w:tc>
          <w:tcPr>
            <w:tcW w:type="dxa" w:w="1215"/>
          </w:tcPr>
          <w:p>
            <w:pPr>
              <w:spacing w:after="0" w:before="0"/>
            </w:pPr>
            <w:r>
              <w:rPr>
                <w:sz w:val="12"/>
              </w:rPr>
              <w:t>0.138</w:t>
            </w:r>
          </w:p>
        </w:tc>
        <w:tc>
          <w:tcPr>
            <w:tcW w:type="dxa" w:w="1215"/>
          </w:tcPr>
          <w:p>
            <w:pPr>
              <w:spacing w:after="0" w:before="0"/>
            </w:pPr>
            <w:r>
              <w:rPr>
                <w:sz w:val="12"/>
              </w:rPr>
              <w:t>0.834</w:t>
            </w:r>
          </w:p>
        </w:tc>
        <w:tc>
          <w:tcPr>
            <w:tcW w:type="dxa" w:w="1215"/>
          </w:tcPr>
          <w:p>
            <w:pPr>
              <w:spacing w:after="0" w:before="0"/>
            </w:pPr>
            <w:r>
              <w:rPr>
                <w:sz w:val="12"/>
              </w:rPr>
              <w:t>15,890</w:t>
            </w:r>
          </w:p>
        </w:tc>
        <w:tc>
          <w:tcPr>
            <w:tcW w:type="dxa" w:w="1215"/>
          </w:tcPr>
          <w:p>
            <w:pPr>
              <w:spacing w:after="0" w:before="0"/>
            </w:pPr>
            <w:r>
              <w:rPr>
                <w:sz w:val="12"/>
              </w:rPr>
              <w:t>Best pooled calibration and discrimination</w:t>
            </w:r>
          </w:p>
        </w:tc>
        <w:tc>
          <w:tcPr>
            <w:tcW w:type="dxa" w:w="1215"/>
          </w:tcPr>
          <w:p>
            <w:pPr>
              <w:spacing w:after="0" w:before="0"/>
            </w:pPr>
            <w:r>
              <w:rPr>
                <w:sz w:val="12"/>
              </w:rPr>
              <w:t>Event-wise results remain mixed</w:t>
            </w:r>
          </w:p>
        </w:tc>
      </w:tr>
      <w:tr>
        <w:tc>
          <w:tcPr>
            <w:tcW w:type="dxa" w:w="1215"/>
          </w:tcPr>
          <w:p>
            <w:pPr>
              <w:spacing w:after="0" w:before="0"/>
            </w:pPr>
            <w:r>
              <w:rPr>
                <w:sz w:val="12"/>
              </w:rPr>
              <w:t>2010 Darfield holdout</w:t>
            </w:r>
          </w:p>
        </w:tc>
        <w:tc>
          <w:tcPr>
            <w:tcW w:type="dxa" w:w="1215"/>
          </w:tcPr>
          <w:p>
            <w:pPr>
              <w:spacing w:after="0" w:before="0"/>
            </w:pPr>
            <w:r>
              <w:rPr>
                <w:sz w:val="12"/>
              </w:rPr>
              <w:t>M2 by Brier/AUC</w:t>
            </w:r>
          </w:p>
        </w:tc>
        <w:tc>
          <w:tcPr>
            <w:tcW w:type="dxa" w:w="1215"/>
          </w:tcPr>
          <w:p>
            <w:pPr>
              <w:spacing w:after="0" w:before="0"/>
            </w:pPr>
            <w:r>
              <w:rPr>
                <w:sz w:val="12"/>
              </w:rPr>
              <w:t>0.188</w:t>
            </w:r>
          </w:p>
        </w:tc>
        <w:tc>
          <w:tcPr>
            <w:tcW w:type="dxa" w:w="1215"/>
          </w:tcPr>
          <w:p>
            <w:pPr>
              <w:spacing w:after="0" w:before="0"/>
            </w:pPr>
            <w:r>
              <w:rPr>
                <w:sz w:val="12"/>
              </w:rPr>
              <w:t>0.610</w:t>
            </w:r>
          </w:p>
        </w:tc>
        <w:tc>
          <w:tcPr>
            <w:tcW w:type="dxa" w:w="1215"/>
          </w:tcPr>
          <w:p>
            <w:pPr>
              <w:spacing w:after="0" w:before="0"/>
            </w:pPr>
            <w:r>
              <w:rPr>
                <w:sz w:val="12"/>
              </w:rPr>
              <w:t>5,488</w:t>
            </w:r>
          </w:p>
        </w:tc>
        <w:tc>
          <w:tcPr>
            <w:tcW w:type="dxa" w:w="1215"/>
          </w:tcPr>
          <w:p>
            <w:pPr>
              <w:spacing w:after="0" w:before="0"/>
            </w:pPr>
            <w:r>
              <w:rPr>
                <w:sz w:val="12"/>
              </w:rPr>
              <w:t>Non-stationary predictors improve ranking</w:t>
            </w:r>
          </w:p>
        </w:tc>
        <w:tc>
          <w:tcPr>
            <w:tcW w:type="dxa" w:w="1215"/>
          </w:tcPr>
          <w:p>
            <w:pPr>
              <w:spacing w:after="0" w:before="0"/>
            </w:pPr>
            <w:r>
              <w:rPr>
                <w:sz w:val="12"/>
              </w:rPr>
              <w:t>FN-aware threshold still favours M0</w:t>
            </w:r>
          </w:p>
        </w:tc>
      </w:tr>
      <w:tr>
        <w:tc>
          <w:tcPr>
            <w:tcW w:type="dxa" w:w="1215"/>
          </w:tcPr>
          <w:p>
            <w:pPr>
              <w:spacing w:after="0" w:before="0"/>
            </w:pPr>
            <w:r>
              <w:rPr>
                <w:sz w:val="12"/>
              </w:rPr>
              <w:t>2011 Christchurch holdout</w:t>
            </w:r>
          </w:p>
        </w:tc>
        <w:tc>
          <w:tcPr>
            <w:tcW w:type="dxa" w:w="1215"/>
          </w:tcPr>
          <w:p>
            <w:pPr>
              <w:spacing w:after="0" w:before="0"/>
            </w:pPr>
            <w:r>
              <w:rPr>
                <w:sz w:val="12"/>
              </w:rPr>
              <w:t>M2 by Brier/AUC</w:t>
            </w:r>
          </w:p>
        </w:tc>
        <w:tc>
          <w:tcPr>
            <w:tcW w:type="dxa" w:w="1215"/>
          </w:tcPr>
          <w:p>
            <w:pPr>
              <w:spacing w:after="0" w:before="0"/>
            </w:pPr>
            <w:r>
              <w:rPr>
                <w:sz w:val="12"/>
              </w:rPr>
              <w:t>0.141</w:t>
            </w:r>
          </w:p>
        </w:tc>
        <w:tc>
          <w:tcPr>
            <w:tcW w:type="dxa" w:w="1215"/>
          </w:tcPr>
          <w:p>
            <w:pPr>
              <w:spacing w:after="0" w:before="0"/>
            </w:pPr>
            <w:r>
              <w:rPr>
                <w:sz w:val="12"/>
              </w:rPr>
              <w:t>0.668</w:t>
            </w:r>
          </w:p>
        </w:tc>
        <w:tc>
          <w:tcPr>
            <w:tcW w:type="dxa" w:w="1215"/>
          </w:tcPr>
          <w:p>
            <w:pPr>
              <w:spacing w:after="0" w:before="0"/>
            </w:pPr>
            <w:r>
              <w:rPr>
                <w:sz w:val="12"/>
              </w:rPr>
              <w:t>5,612</w:t>
            </w:r>
          </w:p>
        </w:tc>
        <w:tc>
          <w:tcPr>
            <w:tcW w:type="dxa" w:w="1215"/>
          </w:tcPr>
          <w:p>
            <w:pPr>
              <w:spacing w:after="0" w:before="0"/>
            </w:pPr>
            <w:r>
              <w:rPr>
                <w:sz w:val="12"/>
              </w:rPr>
              <w:t>Best event-wise Brier and AUC</w:t>
            </w:r>
          </w:p>
        </w:tc>
        <w:tc>
          <w:tcPr>
            <w:tcW w:type="dxa" w:w="1215"/>
          </w:tcPr>
          <w:p>
            <w:pPr>
              <w:spacing w:after="0" w:before="0"/>
            </w:pPr>
            <w:r>
              <w:rPr>
                <w:sz w:val="12"/>
              </w:rPr>
              <w:t>High-liquefaction event dominates sensitivity</w:t>
            </w:r>
          </w:p>
        </w:tc>
      </w:tr>
      <w:tr>
        <w:tc>
          <w:tcPr>
            <w:tcW w:type="dxa" w:w="1215"/>
          </w:tcPr>
          <w:p>
            <w:pPr>
              <w:spacing w:after="0" w:before="0"/>
            </w:pPr>
            <w:r>
              <w:rPr>
                <w:sz w:val="12"/>
              </w:rPr>
              <w:t>2016 Valentine holdout</w:t>
            </w:r>
          </w:p>
        </w:tc>
        <w:tc>
          <w:tcPr>
            <w:tcW w:type="dxa" w:w="1215"/>
          </w:tcPr>
          <w:p>
            <w:pPr>
              <w:spacing w:after="0" w:before="0"/>
            </w:pPr>
            <w:r>
              <w:rPr>
                <w:sz w:val="12"/>
              </w:rPr>
              <w:t>M1 by AUC; M0 by Brier</w:t>
            </w:r>
          </w:p>
        </w:tc>
        <w:tc>
          <w:tcPr>
            <w:tcW w:type="dxa" w:w="1215"/>
          </w:tcPr>
          <w:p>
            <w:pPr>
              <w:spacing w:after="0" w:before="0"/>
            </w:pPr>
            <w:r>
              <w:rPr>
                <w:sz w:val="12"/>
              </w:rPr>
              <w:t>0.068-0.078</w:t>
            </w:r>
          </w:p>
        </w:tc>
        <w:tc>
          <w:tcPr>
            <w:tcW w:type="dxa" w:w="1215"/>
          </w:tcPr>
          <w:p>
            <w:pPr>
              <w:spacing w:after="0" w:before="0"/>
            </w:pPr>
            <w:r>
              <w:rPr>
                <w:sz w:val="12"/>
              </w:rPr>
              <w:t>0.900-0.930</w:t>
            </w:r>
          </w:p>
        </w:tc>
        <w:tc>
          <w:tcPr>
            <w:tcW w:type="dxa" w:w="1215"/>
          </w:tcPr>
          <w:p>
            <w:pPr>
              <w:spacing w:after="0" w:before="0"/>
            </w:pPr>
            <w:r>
              <w:rPr>
                <w:sz w:val="12"/>
              </w:rPr>
              <w:t>4,790</w:t>
            </w:r>
          </w:p>
        </w:tc>
        <w:tc>
          <w:tcPr>
            <w:tcW w:type="dxa" w:w="1215"/>
          </w:tcPr>
          <w:p>
            <w:pPr>
              <w:spacing w:after="0" w:before="0"/>
            </w:pPr>
            <w:r>
              <w:rPr>
                <w:sz w:val="12"/>
              </w:rPr>
              <w:t>Non-stationary forms improve rank/sensitivity</w:t>
            </w:r>
          </w:p>
        </w:tc>
        <w:tc>
          <w:tcPr>
            <w:tcW w:type="dxa" w:w="1215"/>
          </w:tcPr>
          <w:p>
            <w:pPr>
              <w:spacing w:after="0" w:before="0"/>
            </w:pPr>
            <w:r>
              <w:rPr>
                <w:sz w:val="12"/>
              </w:rPr>
              <w:t>Low prevalence makes Brier favour M0</w:t>
            </w:r>
          </w:p>
        </w:tc>
      </w:tr>
    </w:tbl>
    <w:p>
      <w:pPr>
        <w:jc w:val="center"/>
      </w:pPr>
      <w:r>
        <w:drawing>
          <wp:inline xmlns:a="http://schemas.openxmlformats.org/drawingml/2006/main" xmlns:pic="http://schemas.openxmlformats.org/drawingml/2006/picture">
            <wp:extent cx="4892040" cy="3589325"/>
            <wp:docPr id="13" name="Picture 13"/>
            <wp:cNvGraphicFramePr>
              <a:graphicFrameLocks noChangeAspect="1"/>
            </wp:cNvGraphicFramePr>
            <a:graphic>
              <a:graphicData uri="http://schemas.openxmlformats.org/drawingml/2006/picture">
                <pic:pic>
                  <pic:nvPicPr>
                    <pic:cNvPr id="0" name="fig12_canterbury_leave_one_event_temporal_validation.png"/>
                    <pic:cNvPicPr/>
                  </pic:nvPicPr>
                  <pic:blipFill>
                    <a:blip r:embed="rId20"/>
                    <a:stretch>
                      <a:fillRect/>
                    </a:stretch>
                  </pic:blipFill>
                  <pic:spPr>
                    <a:xfrm>
                      <a:off x="0" y="0"/>
                      <a:ext cx="4892040" cy="3589325"/>
                    </a:xfrm>
                    <a:prstGeom prst="rect"/>
                  </pic:spPr>
                </pic:pic>
              </a:graphicData>
            </a:graphic>
          </wp:inline>
        </w:drawing>
      </w:r>
    </w:p>
    <w:p>
      <w:pPr>
        <w:spacing w:after="0" w:before="0"/>
        <w:jc w:val="center"/>
      </w:pPr>
      <w:r>
        <w:rPr>
          <w:b/>
          <w:sz w:val="16"/>
        </w:rPr>
        <w:t>Figure 13. Canterbury leave-one-event temporal validation: pooled Brier and AUC across held-out earthquakes.</w:t>
      </w:r>
    </w:p>
    <w:p>
      <w:pPr>
        <w:jc w:val="center"/>
      </w:pPr>
      <w:r>
        <w:drawing>
          <wp:inline xmlns:a="http://schemas.openxmlformats.org/drawingml/2006/main" xmlns:pic="http://schemas.openxmlformats.org/drawingml/2006/picture">
            <wp:extent cx="4892040" cy="3316224"/>
            <wp:docPr id="14" name="Picture 14"/>
            <wp:cNvGraphicFramePr>
              <a:graphicFrameLocks noChangeAspect="1"/>
            </wp:cNvGraphicFramePr>
            <a:graphic>
              <a:graphicData uri="http://schemas.openxmlformats.org/drawingml/2006/picture">
                <pic:pic>
                  <pic:nvPicPr>
                    <pic:cNvPr id="0" name="fig13_locked_threshold_fn_fp_tradeoff.png"/>
                    <pic:cNvPicPr/>
                  </pic:nvPicPr>
                  <pic:blipFill>
                    <a:blip r:embed="rId21"/>
                    <a:stretch>
                      <a:fillRect/>
                    </a:stretch>
                  </pic:blipFill>
                  <pic:spPr>
                    <a:xfrm>
                      <a:off x="0" y="0"/>
                      <a:ext cx="4892040" cy="3316224"/>
                    </a:xfrm>
                    <a:prstGeom prst="rect"/>
                  </pic:spPr>
                </pic:pic>
              </a:graphicData>
            </a:graphic>
          </wp:inline>
        </w:drawing>
      </w:r>
    </w:p>
    <w:p>
      <w:pPr>
        <w:spacing w:after="0" w:before="0"/>
        <w:jc w:val="center"/>
      </w:pPr>
      <w:r>
        <w:rPr>
          <w:b/>
          <w:sz w:val="16"/>
        </w:rPr>
        <w:t>Figure 14. Locked-threshold false-negative/false-positive trade-off for Canterbury at FN:FP = 10.</w:t>
      </w:r>
    </w:p>
    <w:p>
      <w:pPr>
        <w:jc w:val="both"/>
      </w:pPr>
      <w:r>
        <w:t>To keep the main manuscript readable, detailed literature positioning, input tables, convergence checks, sensitivity coefficients, model-form tables, Hu/Wenchuan summaries and secondary site-extension plots are placed in the supplementary material and reproducibility repository. The main text keeps the equations, the core claim boundary, and the validation results needed to judge the article.</w:t>
      </w:r>
    </w:p>
    <w:p>
      <w:pPr>
        <w:jc w:val="both"/>
      </w:pPr>
      <w:r>
        <w:t>The Hu leave-one-earthquake validation and locked-threshold validation are reported in full in the supplement and repository outputs. In the main text their role is simple: Hu supports event-level screening transfer, while the locked-threshold test shows the cost of reducing missed Canterbury manifestations. A final Canterbury severity-triage check defines moderate-to-severe observed manifestation as manifestation_code &gt;= 3 and tests whether the top-20% inspection set captures more severe held-out event states; M2 improves severe-state capture over M0 in the two Canterbury events where severe manifestations occur. A separate DesignSafe PRJ-3126 repair-cost gate supports the plausibility of using false-negative cost ratios greater than one, while blocking any claim of direct repair-cost validation because PRJ-3126 has no shared CPT/event key with Canterbury.</w:t>
      </w:r>
    </w:p>
    <w:p w:rsidR="00AD65CC" w:rsidRPr="00F436BC" w:rsidRDefault="000A5A2B" w:rsidP="00F436BC">
      <w:pPr>
        <w:pStyle w:val="Heading1"/>
        <w:rPr>
          <w:rFonts w:ascii="Arial" w:hAnsi="Arial"/>
        </w:rPr>
      </w:pPr>
      <w:r>
        <w:t>6. Discussion and limits</w:t>
      </w:r>
    </w:p>
    <w:p>
      <w:pPr>
        <w:jc w:val="both"/>
      </w:pPr>
      <w:r>
        <w:t>The main risk in a benchmark paper is to confuse a clean package with a scientific result. Reproducibility only means that the reader can check the calculation. The scientific result here is narrower: changing groundwater and gradation can change the screening decision, and the effect can be tested against external events. When the evidence does not support a stronger claim, the manuscript says so.</w:t>
      </w:r>
    </w:p>
    <w:p w:rsidR="00497881" w:rsidRDefault="00B513B6">
      <w:pPr>
        <w:pStyle w:val="Paragraph"/>
      </w:pPr>
      <w:r>
        <w:t>The BI14-style comparison produced high rank agreement across scenario-gradation groups, with Spearman correlations between 0.931 and 0.997. The absolute probability scale differs because the resistance curve and probability mapping differ from the benchmark module, but the scenario and layer ordering remain largely stable. The external Hu et al. check adds discrimination and calibration diagnostics: the combined score reached AUC = 0.811 and five-fold Brier score = 0.172, while the static limit-state proxy reached AUC = 0.760 on 195 cases. These results strengthen compatibility evidence without converting the synthetic benchmark into a site-calibrated model.</w:t>
      </w:r>
    </w:p>
    <w:p w:rsidR="00AD65CC" w:rsidRDefault="000A5A2B">
      <w:pPr>
        <w:pStyle w:val="Paragraph"/>
        <w:jc w:val="both"/>
      </w:pPr>
      <w:r>
        <w:t>The benchmark supports three observations: groundwater shifts can change the timing of probability escalation; gradation paths alter the resistance term; and profile-average probability must be read with layer-wise and depth-time plots.</w:t>
      </w:r>
    </w:p>
    <w:p w:rsidR="00497881" w:rsidRDefault="00B513B6">
      <w:pPr>
        <w:pStyle w:val="Paragraph"/>
        <w:jc w:val="both"/>
      </w:pPr>
      <w:r>
        <w:t>System-level profile metrics are reported only as diagnostics because a calibrated vertical dependence model is outside the scope of the benchmark. The supplement gives independent-layer, Frechet-bound and copula sensitivity values.</w:t>
      </w:r>
    </w:p>
    <w:p w:rsidR="00946BE6" w:rsidRDefault="00946BE6" w:rsidP="00946BE6">
      <w:pPr>
        <w:jc w:val="both"/>
      </w:pPr>
      <w:r>
        <w:t>The workflow is therefore a scaffold, not a black box. A practitioner can replace the synthetic inputs with monitoring data, hydrologic forecasts, laboratory gradation measurements or new CPT/SPT information. Without those site data, the numbers remain screening evidence. With those data, the same transparent structure can become a site-specific reliability update.</w:t>
      </w:r>
    </w:p>
    <w:p w:rsidR="003B066E" w:rsidRDefault="003B066E">
      <w:pPr>
        <w:pStyle w:val="Paragraph"/>
        <w:jc w:val="both"/>
      </w:pPr>
      <w:r>
        <w:t>The useful claim is plain: the paper shows when a changing state variable changes the decision, what false-negative cost is being accepted, and when the static baseline remains the safer answer. The novelty is this disciplined claim boundary, backed by code, external holdouts and decision rules, rather than a promise that one model is always best.</w:t>
      </w:r>
    </w:p>
    <w:p>
      <w:pPr>
        <w:pStyle w:val="Paragraph"/>
      </w:pPr>
      <w:r>
        <w:t>The claim would be falsified or narrowed by monitored sites where water-table crossing does not change ranking, or by external events where stationary M0 consistently dominates non-stationary alternatives under locked thresholds.</w:t>
      </w:r>
    </w:p>
    <w:p w:rsidR="00AD65CC" w:rsidRDefault="000A5A2B">
      <w:pPr>
        <w:pStyle w:val="Paragraph"/>
      </w:pPr>
      <w:r>
        <w:t>The method can be extended in several ways. A random-field representation could replace independent layer sampling; Bayesian updating could assimilate monitoring data; subset simulation or importance sampling could reduce variance for rare probabilities; and decision thresholds could be linked to mitigation cost. These extensions are consistent with reliability practice and are intentionally left modular rather than embedded in a closed black-box model.</w:t>
      </w:r>
    </w:p>
    <w:p w:rsidR="00AD65CC" w:rsidRPr="00F436BC" w:rsidRDefault="000A5A2B" w:rsidP="00F436BC">
      <w:pPr>
        <w:pStyle w:val="Heading1"/>
        <w:rPr>
          <w:rFonts w:ascii="Arial" w:hAnsi="Arial"/>
        </w:rPr>
      </w:pPr>
      <w:r>
        <w:t>7. Conclusions</w:t>
      </w:r>
    </w:p>
    <w:p w:rsidR="00946BE6" w:rsidRDefault="00946BE6" w:rsidP="00946BE6">
      <w:pPr>
        <w:jc w:val="both"/>
      </w:pPr>
      <w:r>
        <w:t>This paper turns a fixed liquefaction check into a time-aware georisk screen. Groundwater depth and gradation are treated as state variables, so the output is not one probability but Pf(z,t): a layer- and time-dependent probability that can be compared across scenarios. The benchmark is fully auditable: inputs, scripts, tables, figures and outputs are supplied so that the reader can rerun the chain rather than trust a narrative.</w:t>
      </w:r>
    </w:p>
    <w:p w:rsidR="00946BE6" w:rsidRDefault="00946BE6" w:rsidP="00946BE6">
      <w:pPr>
        <w:jc w:val="both"/>
      </w:pPr>
      <w:r>
        <w:t>The benchmark shows why the time axis matters. In the tested profile, the extreme groundwater scenario produces a clear probability jump after the imposed groundwater shift, and gradation change alters the resistance side of the calculation. The practical message is not that every site follows this profile. It is that a stationary calculation can miss the timing and ranking of risk escalation when the governing state variables are allowed to move.</w:t>
      </w:r>
    </w:p>
    <w:p w:rsidR="003B066E" w:rsidRDefault="003B066E" w:rsidP="00F436BC">
      <w:pPr>
        <w:jc w:val="both"/>
        <w:rPr>
          <w:rFonts w:cs="Times New Roman"/>
          <w:b w:val="0"/>
          <w:bCs w:val="0"/>
          <w:kern w:val="0"/>
          <w:szCs w:val="24"/>
        </w:rPr>
      </w:pPr>
      <w:r>
        <w:t>The evidence is now layered. Hu et al. supports external compatibility; Nisqually and SODO/UW test adverse holdouts; Canterbury provides a large external transfer set, locked-threshold decision-policy stress testing and a leave-one-earthquake-out temporal holdout. These results support georisk ranking and monitoring escalation under bounded conditions, not universal design-level prediction.</w:t>
      </w:r>
    </w:p>
    <w:p>
      <w:pPr>
        <w:jc w:val="both"/>
      </w:pPr>
      <w:r>
        <w:t>CIVIL-NOVELTY-Q1 control sentence. After this manuscript, the community knows that a rising groundwater table can create a discrete screening-regime change when it crosses a shallow liquefiable layer, something recent probabilistic liquefaction and georisk studies had not demonstrated as an auditable CSR/FS/Pf switch with ablations, temporal-transfer tests, locked decision thresholds and explicit blocked claims.</w:t>
      </w:r>
    </w:p>
    <w:p w:rsidR="00AD65CC" w:rsidRPr="00F436BC" w:rsidRDefault="000A5A2B" w:rsidP="00F436BC">
      <w:pPr>
        <w:pStyle w:val="Heading1"/>
        <w:rPr>
          <w:rFonts w:ascii="Arial" w:hAnsi="Arial"/>
        </w:rPr>
      </w:pPr>
      <w:r w:rsidRPr="00F436BC">
        <w:t>Acknowledgements</w:t>
      </w:r>
    </w:p>
    <w:p w:rsidR="00AD65CC" w:rsidRDefault="000A5A2B">
      <w:pPr>
        <w:pStyle w:val="Paragraph"/>
      </w:pPr>
      <w:r>
        <w:t>The author thanks the Universidad de Panama for the academic environment supporting this methodological work.</w:t>
      </w:r>
    </w:p>
    <w:p w:rsidR="00AD65CC" w:rsidRPr="00F436BC" w:rsidRDefault="000A5A2B" w:rsidP="00F436BC">
      <w:pPr>
        <w:pStyle w:val="Heading1"/>
        <w:rPr>
          <w:rFonts w:ascii="Arial" w:hAnsi="Arial"/>
        </w:rPr>
      </w:pPr>
      <w:r>
        <w:t>Competing interests</w:t>
      </w:r>
    </w:p>
    <w:p w:rsidR="00AD65CC" w:rsidRDefault="000A5A2B">
      <w:pPr>
        <w:pStyle w:val="Paragraph"/>
      </w:pPr>
      <w:r>
        <w:t>The author declares no competing interests.</w:t>
      </w:r>
    </w:p>
    <w:p w:rsidR="00AD65CC" w:rsidRPr="00F436BC" w:rsidRDefault="000A5A2B" w:rsidP="00F436BC">
      <w:pPr>
        <w:pStyle w:val="Heading1"/>
        <w:rPr>
          <w:rFonts w:ascii="Arial" w:hAnsi="Arial"/>
        </w:rPr>
      </w:pPr>
      <w:r>
        <w:t>Funding</w:t>
      </w:r>
    </w:p>
    <w:p w:rsidR="00AD65CC" w:rsidRDefault="000A5A2B">
      <w:pPr>
        <w:pStyle w:val="Paragraph"/>
      </w:pPr>
      <w:r>
        <w:t>No specific funding was received for this work.</w:t>
      </w:r>
    </w:p>
    <w:p w:rsidR="004457B8" w:rsidRDefault="00554E27">
      <w:pPr>
        <w:pStyle w:val="Heading1"/>
      </w:pPr>
      <w:r>
        <w:t>Supplementary material</w:t>
      </w:r>
    </w:p>
    <w:p w:rsidR="00946BE6" w:rsidRDefault="00946BE6" w:rsidP="00946BE6">
      <w:r>
        <w:t>The supplementary files are supplied as Online Resource 1 and include CSV inputs, generated outputs, scripts, README, requirements and regenerated figures. The same supplementary material is also available in the public GitHub repository: https://github.com/gabrielmontufar/article-118-nonstationary-liquefaction-benchmark. Supplementary Tables S1-S4 provide additional diagnostics, including the standard model-form comparison in Table S2, the vertical-dependence sensitivity in Table S3 and the expanded external compatibility metrics in Table S4.</w:t>
      </w:r>
    </w:p>
    <w:p w:rsidR="00AD65CC" w:rsidRPr="00F436BC" w:rsidRDefault="000A5A2B" w:rsidP="00F436BC">
      <w:pPr>
        <w:pStyle w:val="Heading1"/>
        <w:rPr>
          <w:rFonts w:ascii="Arial" w:hAnsi="Arial"/>
        </w:rPr>
      </w:pPr>
      <w:r>
        <w:t>Data availability statement</w:t>
      </w:r>
    </w:p>
    <w:p w:rsidR="003B066E" w:rsidRDefault="003B066E" w:rsidP="00F436BC">
      <w:pPr>
        <w:rPr>
          <w:rFonts w:cs="Times New Roman"/>
          <w:b w:val="0"/>
          <w:bCs w:val="0"/>
          <w:kern w:val="0"/>
          <w:szCs w:val="24"/>
        </w:rPr>
      </w:pPr>
      <w:r>
        <w:t>The benchmark data, source code, figures and README are provided as Online Resource 1 and in the public GitHub repository: https://github.com/gabrielmontufar/article-118-nonstationary-liquefaction-benchmark. The synthetic benchmark script is self-contained. The site-extension scripts use public DesignSafe source files downloaded separately because the raw datasets are large: Nisqually PRJ-3758 (10.17603/ds2-nsf8-7944) and Canterbury PRJ-2937. The reproducibility package now includes scripts/run_121_canterbury_multi_site_temporal_validation.py, scripts/run_122_cost_sensitive_decision_frontier.py, outputs/canterbury_multi_site_temporal_validation_summary.json, outputs/cost_sensitive_decision_frontier_summary.json, outputs/cost_sensitive_decision_frontier_case_weighted_fixed_threshold.csv and outputs/paired_uncertainty_model_selection_summary.json so that the expanded Canterbury gate, cost-sensitive operating-policy diagnostic and claim boundary can be regenerated from the public raw file. Normalized CSV inputs and all generated outputs used in the manuscript are included in Online Resource 1; rerunning raw extraction requires placing the public DesignSafe files in the paths stated in the scripts or using the local raw_designsafe/ download folder. The package also includes a CIVIL-NOVELTY-Q1-100 audit documenting the novelty score, caps and remaining evidence blockers.</w:t>
      </w:r>
    </w:p>
    <w:p w:rsidR="00AD65CC" w:rsidRPr="00F436BC" w:rsidRDefault="000A5A2B" w:rsidP="00F436BC">
      <w:pPr>
        <w:pStyle w:val="Heading1"/>
        <w:rPr>
          <w:rFonts w:ascii="Arial" w:hAnsi="Arial"/>
        </w:rPr>
      </w:pPr>
      <w:r>
        <w:t>Author contributions</w:t>
      </w:r>
    </w:p>
    <w:p w:rsidR="00AD65CC" w:rsidRDefault="000A5A2B">
      <w:pPr>
        <w:pStyle w:val="Paragraph"/>
      </w:pPr>
      <w:r>
        <w:t>Gabriel J. Montufar Chiriboga: conceptualization, methodology, software, formal analysis, verification, reproducibility checks, external trend-consistency assessment, investigation, writing, visualization and manuscript preparation.</w:t>
      </w:r>
    </w:p>
    <w:p w:rsidR="00AD65CC" w:rsidRPr="00F436BC" w:rsidRDefault="000A5A2B" w:rsidP="00F436BC">
      <w:pPr>
        <w:pStyle w:val="Heading1"/>
        <w:rPr>
          <w:rFonts w:ascii="Arial" w:hAnsi="Arial"/>
        </w:rPr>
      </w:pPr>
      <w:r w:rsidRPr="00F436BC">
        <w:t>Declaration of generative AI and AI-assisted technologies</w:t>
      </w:r>
    </w:p>
    <w:p w:rsidR="00AD65CC" w:rsidRDefault="000A5A2B">
      <w:pPr>
        <w:pStyle w:val="Paragraph"/>
      </w:pPr>
      <w:r>
        <w:t>Generative artificial intelligence tools, including OpenAI ChatGPT/Codex in the June 2026 environment, were used to support language editing, organization, formatting, claim-boundary checking and consistency review. The author verified the scientific content, equations, data, code outputs, citations and final wording; confirms that AI use complied with the applicable tool terms and journal policy; and takes full responsibility for the accuracy, originality and integrity of the submitted manuscript.</w:t>
      </w:r>
    </w:p>
    <w:p w:rsidR="00AD65CC" w:rsidRPr="00F436BC" w:rsidRDefault="000A5A2B" w:rsidP="00F436BC">
      <w:pPr>
        <w:pStyle w:val="Heading1"/>
        <w:rPr>
          <w:rFonts w:ascii="Arial" w:hAnsi="Arial"/>
        </w:rPr>
      </w:pPr>
      <w:r w:rsidRPr="00F436BC">
        <w:t>References</w:t>
      </w:r>
    </w:p>
    <w:p w:rsidR="00AD65CC" w:rsidRDefault="000A5A2B">
      <w:pPr>
        <w:pStyle w:val="References"/>
      </w:pPr>
      <w:r>
        <w:t>[1] Ang, A. H.-S., and Tang, W. H. 2007. Probability Concepts in Engineering: Emphasis on Applications to Civil and Environmental Engineering. 2nd ed. Hoboken, NJ: Wiley.</w:t>
      </w:r>
    </w:p>
    <w:p w:rsidR="00AD65CC" w:rsidRDefault="000A5A2B">
      <w:pPr>
        <w:pStyle w:val="References"/>
      </w:pPr>
      <w:r>
        <w:t>[2] Baecher, G. B., and Christian, J. T. 2003. Reliability and Statistics in Geotechnical Engineering. Chichester: Wiley.</w:t>
      </w:r>
    </w:p>
    <w:p w:rsidR="00AD65CC" w:rsidRDefault="000A5A2B">
      <w:pPr>
        <w:pStyle w:val="References"/>
      </w:pPr>
      <w:r>
        <w:t>[3] Benjamin, J. R., and Cornell, C. A. 1970. Probability, Statistics, and Decision for Civil Engineers. New York: McGraw-Hill.</w:t>
      </w:r>
    </w:p>
    <w:p w:rsidR="00AD65CC" w:rsidRDefault="000A5A2B">
      <w:pPr>
        <w:pStyle w:val="References"/>
      </w:pPr>
      <w:r>
        <w:t>[4] Boulanger, R. W., and Idriss, I. M. 2014. CPT and SPT Based Liquefaction Triggering Procedures. Report UCD/CGM-14/01. Davis, CA: Center for Geotechnical Modeling, University of California, Davis.</w:t>
      </w:r>
    </w:p>
    <w:p w:rsidR="00AD65CC" w:rsidRDefault="000A5A2B">
      <w:pPr>
        <w:pStyle w:val="References"/>
      </w:pPr>
      <w:r>
        <w:t>[5] Cetin, K. O., Seed, R. B., Der Kiureghian, A., Tokimatsu, K., Harder, L. F., Kayen, R. E., and Moss, R. E. S. 2004. Standard Penetration Test-Based Probabilistic and Deterministic Assessment of Seismic Soil Liquefaction Potential. Journal of Geotechnical and Geoenvironmental Engineering 130 (12): 1314-1340.</w:t>
      </w:r>
    </w:p>
    <w:p w:rsidR="00AD65CC" w:rsidRDefault="000A5A2B">
      <w:pPr>
        <w:pStyle w:val="References"/>
      </w:pPr>
      <w:r>
        <w:t>[6] Ching, J., and Phoon, K. K. 2014. Transformations and Correlations among Some Clay Parameters: The Global Database. Canadian Geotechnical Journal 51 (6): 663-685.</w:t>
      </w:r>
    </w:p>
    <w:p w:rsidR="00AD65CC" w:rsidRDefault="000A5A2B">
      <w:pPr>
        <w:pStyle w:val="References"/>
      </w:pPr>
      <w:r>
        <w:t>[7] Cruz, A., Karimzadeh, S., Chieffo, N., Sandoval, E., and Lourenco, P. B. 2024. A Review of Probabilistic Approaches for Assessing the Liquefaction Hazard in Urban Areas. Archives of Computational Methods in Engineering 31 (8): 4673-4708. https://doi.org/10.1007/s11831-024-10124-4.</w:t>
      </w:r>
    </w:p>
    <w:p w:rsidR="00AD65CC" w:rsidRDefault="000A5A2B">
      <w:pPr>
        <w:pStyle w:val="References"/>
      </w:pPr>
      <w:r>
        <w:t>[8] Der Kiureghian, A. 2005. First- and Second-Order Reliability Methods. In Engineering Design Reliability Handbook, edited by E. Nikolaidis, D. M. Ghiocel, and S. Singhal. Boca Raton, FL: CRC Press.</w:t>
      </w:r>
    </w:p>
    <w:p w:rsidR="00AD65CC" w:rsidRDefault="000A5A2B">
      <w:pPr>
        <w:pStyle w:val="References"/>
      </w:pPr>
      <w:r>
        <w:t>[9] Ditlevsen, O., and Madsen, H. O. 1996. Structural Reliability Methods. Chichester: Wiley.</w:t>
      </w:r>
    </w:p>
    <w:p w:rsidR="00AD65CC" w:rsidRDefault="000A5A2B">
      <w:pPr>
        <w:pStyle w:val="References"/>
      </w:pPr>
      <w:r>
        <w:t>[10] Fenton, G. A., and Griffiths, D. V. 2008. Risk Assessment in Geotechnical Engineering. Hoboken, NJ: Wiley.</w:t>
      </w:r>
    </w:p>
    <w:p w:rsidR="00AD65CC" w:rsidRDefault="000A5A2B">
      <w:pPr>
        <w:pStyle w:val="References"/>
      </w:pPr>
      <w:r>
        <w:t>[11] Fredlund, D. G., and Rahardjo, H. 1993. Soil Mechanics for Unsaturated Soils. New York: Wiley.</w:t>
      </w:r>
    </w:p>
    <w:p w:rsidR="00AD65CC" w:rsidRDefault="000A5A2B">
      <w:pPr>
        <w:pStyle w:val="References"/>
      </w:pPr>
      <w:r>
        <w:t>[12] Fredlund, D. G., Rahardjo, H., and Fredlund, M. D. 2012. Unsaturated Soil Mechanics in Engineering Practice. Hoboken, NJ: Wiley.</w:t>
      </w:r>
    </w:p>
    <w:p w:rsidR="00497881" w:rsidRDefault="00B513B6">
      <w:pPr>
        <w:pStyle w:val="References"/>
      </w:pPr>
      <w:r>
        <w:t>[13] Global Earthquake Model Foundation. 2024. OpenQuake Engine 3.20.1 Documentation: Liquefaction Inputs. https://docs.openquake.org/oq-engine/3.20/manual/user-guide/inputs/liquefaction-inputs.html.</w:t>
      </w:r>
    </w:p>
    <w:p w:rsidR="00AD65CC" w:rsidRDefault="000A5A2B">
      <w:pPr>
        <w:pStyle w:val="References"/>
      </w:pPr>
      <w:r>
        <w:t>[14] Greenfield, M. W., Estep, T. M., Taing, J., and Hitchcock, C. 2024. A Probabilistic Extension of Existing Site-Specific Liquefaction Triggering and Liquefaction Manifestation Methods for Regional Scale Evaluations. Soil Dynamics and Earthquake Engineering 182: 108711. https://doi.org/10.1016/j.soildyn.2024.108711.</w:t>
      </w:r>
    </w:p>
    <w:p w:rsidR="00AD65CC" w:rsidRDefault="000A5A2B">
      <w:pPr>
        <w:pStyle w:val="References"/>
      </w:pPr>
      <w:r>
        <w:t>[15] Holzer, T. L., Noce, T. E., and Bennett, M. J. 2011. Liquefaction Probability Curves for Surficial Geologic Deposits. Environmental &amp; Engineering Geoscience 17 (1): 1-21.</w:t>
      </w:r>
    </w:p>
    <w:p w:rsidR="000A5A2B" w:rsidRDefault="000A5A2B">
      <w:pPr>
        <w:pStyle w:val="References"/>
      </w:pPr>
      <w:r>
        <w:t>[16] Hu, J., Wang, J., Zou, W., and Yang, B. 2021. Datasets for Gravelly Soil Liquefaction Case Histories. Data in Brief 36: 107104. https://doi.org/10.1016/j.dib.2021.107104</w:t>
      </w:r>
    </w:p>
    <w:p w:rsidR="00AD65CC" w:rsidRDefault="000A5A2B">
      <w:pPr>
        <w:pStyle w:val="References"/>
      </w:pPr>
      <w:r>
        <w:t>[17] Idriss, I. M., and Boulanger, R. W. 2008. Soil Liquefaction during Earthquakes. Oakland, CA: Earthquake Engineering Research Institute.</w:t>
      </w:r>
    </w:p>
    <w:p w:rsidR="00AD65CC" w:rsidRDefault="000A5A2B">
      <w:pPr>
        <w:pStyle w:val="References"/>
      </w:pPr>
      <w:r>
        <w:t>[18] IPCC. 2021. Climate Change 2021: The Physical Science Basis. Cambridge: Cambridge University Press.</w:t>
      </w:r>
    </w:p>
    <w:p w:rsidR="00AD65CC" w:rsidRDefault="000A5A2B">
      <w:pPr>
        <w:pStyle w:val="References"/>
      </w:pPr>
      <w:r>
        <w:t>[19] Ishihara, K. 1993. Liquefaction and Flow Failure during Earthquakes. Geotechnique 43 (3): 351-451.</w:t>
      </w:r>
    </w:p>
    <w:p w:rsidR="00497881" w:rsidRDefault="00B513B6">
      <w:pPr>
        <w:pStyle w:val="References"/>
      </w:pPr>
      <w:r>
        <w:t>[20] Javanbakht, A., Molnar, S., Sadrekarimi, A., and Adhikari, S. R. 2025. Performance-Based Liquefaction Analysis and Probabilistic Liquefaction Hazard Mapping Using CPT Data within the Fraser River Delta, Canada. Soil Dynamics and Earthquake Engineering 189: 109101. https://doi.org/10.1016/j.soildyn.2024.109101.</w:t>
      </w:r>
    </w:p>
    <w:p w:rsidR="00AD65CC" w:rsidRDefault="000A5A2B">
      <w:pPr>
        <w:pStyle w:val="References"/>
      </w:pPr>
      <w:r>
        <w:t>[21] Juang, C. H., Fang, S. Y., and Khor, E. H. 2006. First-Order Reliability Method for Probabilistic Liquefaction Triggering Analysis. Journal of Geotechnical and Geoenvironmental Engineering 132 (3): 337-350.</w:t>
      </w:r>
    </w:p>
    <w:p w:rsidR="00AD65CC" w:rsidRDefault="000A5A2B">
      <w:pPr>
        <w:pStyle w:val="References"/>
      </w:pPr>
      <w:r>
        <w:t>[22] Kayen, R., Moss, R. E. S., Thompson, E. M., Seed, R. B., Cetin, K. O., Der Kiureghian, A., Tanaka, Y., and Tokimatsu, K. 2013. Shear-Wave Velocity-Based Probabilistic and Deterministic Assessment of Seismic Soil Liquefaction Potential. Journal of Geotechnical and Geoenvironmental Engineering 139 (3): 407-419.</w:t>
      </w:r>
    </w:p>
    <w:p w:rsidR="00AD65CC" w:rsidRDefault="000A5A2B">
      <w:pPr>
        <w:pStyle w:val="References"/>
      </w:pPr>
      <w:r>
        <w:t>[23] Kenney, T. C., and Lau, D. 1985. Internal Stability of Granular Filters. Canadian Geotechnical Journal 22 (2): 215-225.</w:t>
      </w:r>
    </w:p>
    <w:p w:rsidR="00AD65CC" w:rsidRDefault="000A5A2B">
      <w:pPr>
        <w:pStyle w:val="References"/>
      </w:pPr>
      <w:r>
        <w:t>[24] Kramer, S. L. 1996. Geotechnical Earthquake Engineering. Upper Saddle River, NJ: Prentice Hall.</w:t>
      </w:r>
    </w:p>
    <w:p w:rsidR="00AD65CC" w:rsidRDefault="000A5A2B">
      <w:pPr>
        <w:pStyle w:val="References"/>
      </w:pPr>
      <w:r>
        <w:t>[25] Kramer, S. L., and Mayfield, R. T. 2007. Return Period of Soil Liquefaction. Journal of Geotechnical and Geoenvironmental Engineering 133 (7): 802-813.</w:t>
      </w:r>
    </w:p>
    <w:p w:rsidR="00AD65CC" w:rsidRDefault="000A5A2B">
      <w:pPr>
        <w:pStyle w:val="References"/>
      </w:pPr>
      <w:r>
        <w:t>[26] Lacasse, S., and Nadim, F. 1996. Uncertainties in Characterising Soil Properties. In Uncertainty in the Geologic Environment: From Theory to Practice, 49-75. Reston, VA: ASCE.</w:t>
      </w:r>
    </w:p>
    <w:p w:rsidR="00AD65CC" w:rsidRDefault="000A5A2B">
      <w:pPr>
        <w:pStyle w:val="References"/>
      </w:pPr>
      <w:r>
        <w:t>[27] Lee, J., Choi, C., and Kim, M. M. 2020. Estimation of Liquefaction Potential in Eco-Delta City (Busan) Using Different Approaches with Effect of Fines Content. International Journal of Geo-Engineering 11: 14.</w:t>
      </w:r>
    </w:p>
    <w:p w:rsidR="00AD65CC" w:rsidRDefault="000A5A2B">
      <w:pPr>
        <w:pStyle w:val="References"/>
      </w:pPr>
      <w:r>
        <w:t>[28] Lu, N., and Likos, W. J. 2004. Unsaturated Soil Mechanics. Hoboken, NJ: Wiley.</w:t>
      </w:r>
    </w:p>
    <w:p w:rsidR="00497881" w:rsidRDefault="00B513B6">
      <w:pPr>
        <w:pStyle w:val="References"/>
      </w:pPr>
      <w:r>
        <w:t>[29] Makdisi, A. J., and Kramer, S. L. 2024. Improved Computational Methods for Probabilistic Liquefaction Hazard Analysis. Soil Dynamics and Earthquake Engineering 176: 108272. https://doi.org/10.1016/j.soildyn.2023.108272.</w:t>
      </w:r>
    </w:p>
    <w:p w:rsidR="00AD65CC" w:rsidRDefault="000A5A2B">
      <w:pPr>
        <w:pStyle w:val="References"/>
      </w:pPr>
      <w:r>
        <w:t>[30] Melchers, R. E., and Beck, A. T. 2018. Structural Reliability Analysis and Prediction. 3rd ed. Hoboken, NJ: Wiley.</w:t>
      </w:r>
    </w:p>
    <w:p w:rsidR="00AD65CC" w:rsidRDefault="000A5A2B">
      <w:pPr>
        <w:pStyle w:val="References"/>
      </w:pPr>
      <w:r>
        <w:t>[31] Milly, P. C. D., Betancourt, J., Falkenmark, M., Hirsch, R. M., Kundzewicz, Z. W., Lettenmaier, D. P., and Stouffer, R. J. 2008. Stationarity Is Dead: Whither Water Management Science 319 (5863): 573-574.</w:t>
      </w:r>
    </w:p>
    <w:p w:rsidR="00AD65CC" w:rsidRDefault="000A5A2B">
      <w:pPr>
        <w:pStyle w:val="References"/>
      </w:pPr>
      <w:r>
        <w:t>[32] Moss, R. E. S., Seed, R. B., Kayen, R. E., Stewart, J. P., Der Kiureghian, A., and Cetin, K. O. 2006. CPT-Based Probabilistic and Deterministic Assessment of In Situ Seismic Soil Liquefaction Potential. Journal of Geotechnical and Geoenvironmental Engineering 132 (8): 1032-1051.</w:t>
      </w:r>
    </w:p>
    <w:p w:rsidR="00497881" w:rsidRPr="00863D76" w:rsidRDefault="00B513B6">
      <w:pPr>
        <w:pStyle w:val="References"/>
        <w:rPr>
          <w:lang w:val="es-PA"/>
        </w:rPr>
      </w:pPr>
      <w:r>
        <w:t xml:space="preserve">[33] Olaya, F., Bray, J. D., and Abrahamson, N. 2024. Performance-Based Probabilistic Liquefaction-Induced Ground Settlement Procedure. </w:t>
      </w:r>
      <w:r w:rsidRPr="00863D76">
        <w:rPr>
          <w:lang w:val="es-PA"/>
        </w:rPr>
        <w:t>Earthquake Spectra 40 (2): 1301-1323. https://doi.org/10.1177/87552930241234289.</w:t>
      </w:r>
    </w:p>
    <w:p w:rsidR="00497881" w:rsidRDefault="00B513B6">
      <w:pPr>
        <w:pStyle w:val="References"/>
      </w:pPr>
      <w:r w:rsidRPr="00863D76">
        <w:rPr>
          <w:lang w:val="es-PA"/>
        </w:rPr>
        <w:t xml:space="preserve">[34] Ordaz, M., Salgado-Galvez, M. A., Manica, M. A., Ovando-Shelley, E., Faccioli, E., Osorio, L., and Madrigal, M. C. 2023. </w:t>
      </w:r>
      <w:r>
        <w:t>Event-Based Probabilistic Liquefaction Hazard Analysis for Defining Soil Acceptance Criteria. Soil Dynamics and Earthquake Engineering 166: 107781. https://doi.org/10.1016/j.soildyn.2023.107781.</w:t>
      </w:r>
    </w:p>
    <w:p w:rsidR="00AD65CC" w:rsidRDefault="000A5A2B">
      <w:pPr>
        <w:pStyle w:val="References"/>
      </w:pPr>
      <w:r>
        <w:t>[35] Phoon, K. K., and Ching, J., eds. 2015. Risk and Reliability in Geotechnical Engineering. Boca Raton, FL: CRC Press.</w:t>
      </w:r>
    </w:p>
    <w:p w:rsidR="00AD65CC" w:rsidRDefault="000A5A2B">
      <w:pPr>
        <w:pStyle w:val="References"/>
      </w:pPr>
      <w:r>
        <w:t>[36] Phoon, K. K., and Kulhawy, F. H. 1999. Characterization of Geotechnical Variability. Canadian Geotechnical Journal 36 (4): 612-624.</w:t>
      </w:r>
    </w:p>
    <w:p w:rsidR="00AD65CC" w:rsidRDefault="000A5A2B">
      <w:pPr>
        <w:pStyle w:val="References"/>
      </w:pPr>
      <w:r>
        <w:t>[37] Rackwitz, R. 2000. Reviewing Probabilistic Soils Modelling. Computers and Geotechnics 26 (3-4): 199-223.</w:t>
      </w:r>
    </w:p>
    <w:p w:rsidR="00AD65CC" w:rsidRDefault="000A5A2B">
      <w:pPr>
        <w:pStyle w:val="References"/>
      </w:pPr>
      <w:r>
        <w:t>[38] Robertson, P. K. 2009. Interpretation of Cone Penetration Tests: A Unified Approach. Canadian Geotechnical Journal 46 (11): 1337-1355.</w:t>
      </w:r>
    </w:p>
    <w:p w:rsidR="00AD65CC" w:rsidRDefault="000A5A2B">
      <w:pPr>
        <w:pStyle w:val="References"/>
      </w:pPr>
      <w:r>
        <w:t>[39] Robertson, P. K., and Wride, C. E. 1998. Evaluating Cyclic Liquefaction Potential Using the Cone Penetration Test. Canadian Geotechnical Journal 35 (3): 442-459.</w:t>
      </w:r>
    </w:p>
    <w:p w:rsidR="00AD65CC" w:rsidRDefault="000A5A2B">
      <w:pPr>
        <w:pStyle w:val="References"/>
      </w:pPr>
      <w:r>
        <w:t>[40] Rubinstein, R. Y., and Kroese, D. P. 2016. Simulation and the Monte Carlo Method. 3rd ed. Hoboken, NJ: Wiley.</w:t>
      </w:r>
    </w:p>
    <w:p w:rsidR="00AD65CC" w:rsidRDefault="000A5A2B">
      <w:pPr>
        <w:pStyle w:val="References"/>
      </w:pPr>
      <w:r>
        <w:t>[41] Saltelli, A., Ratto, M., Andres, T., Campolongo, F., Cariboni, J., Saisana, M., and Tarantola, S. 2008. Global Sensitivity Analysis: The Primer. Chichester: Wiley.</w:t>
      </w:r>
    </w:p>
    <w:p w:rsidR="00AD65CC" w:rsidRDefault="000A5A2B">
      <w:pPr>
        <w:pStyle w:val="References"/>
      </w:pPr>
      <w:r>
        <w:t>[42] Seed, H. B., and Idriss, I. M. 1971. Simplified Procedure for Evaluating Soil Liquefaction Potential. Journal of the Soil Mechanics and Foundations Division 97 (9): 1249-1273.</w:t>
      </w:r>
    </w:p>
    <w:p w:rsidR="00AD65CC" w:rsidRDefault="000A5A2B">
      <w:pPr>
        <w:pStyle w:val="References"/>
      </w:pPr>
      <w:r>
        <w:t>[43] Seed, H. B., Tokimatsu, K., Harder, L. F., and Chung, R. M. 1985. Influence of SPT Procedures in Soil Liquefaction Resistance Evaluations. Journal of Geotechnical Engineering 111 (12): 1425-1445.</w:t>
      </w:r>
    </w:p>
    <w:p w:rsidR="00AD65CC" w:rsidRDefault="000A5A2B">
      <w:pPr>
        <w:pStyle w:val="References"/>
      </w:pPr>
      <w:r>
        <w:t>[44] Skempton, A. W., and Brogan, J. M. 1994. Experiments on Piping in Sandy Gravels. Geotechnique 44 (3): 449-460.</w:t>
      </w:r>
    </w:p>
    <w:p w:rsidR="00AD65CC" w:rsidRDefault="000A5A2B">
      <w:pPr>
        <w:pStyle w:val="References"/>
      </w:pPr>
      <w:r>
        <w:t>[45] Sobol, I. M. 2001. Global Sensitivity Indices for Nonlinear Mathematical Models and Their Monte Carlo Estimates. Mathematics and Computers in Simulation 55 (1-3): 271-280.</w:t>
      </w:r>
    </w:p>
    <w:p w:rsidR="00AD65CC" w:rsidRDefault="000A5A2B">
      <w:pPr>
        <w:pStyle w:val="References"/>
      </w:pPr>
      <w:r>
        <w:t>[46] USGS. 2025. Regional Probabilistic Liquefaction Hazard Mapping for the Sacramento-San Joaquin River Delta. Final Technical Report G21AP10019. Reston, VA: U.S. Geological Survey.</w:t>
      </w:r>
    </w:p>
    <w:p w:rsidR="00AD65CC" w:rsidRDefault="000A5A2B">
      <w:pPr>
        <w:pStyle w:val="References"/>
      </w:pPr>
      <w:r>
        <w:t>[47] Vanmarcke, E. H. 1977. Probabilistic Modeling of Soil Profiles. Journal of the Geotechnical Engineering Division 103 (11): 1227-1246.</w:t>
      </w:r>
    </w:p>
    <w:p w:rsidR="00AD65CC" w:rsidRDefault="000A5A2B">
      <w:pPr>
        <w:pStyle w:val="References"/>
      </w:pPr>
      <w:r>
        <w:t>[48] Wan, C. F., and Fell, R. 2008. Assessing the Potential of Internal Instability and Suffusion in Embankment Dams and Their Foundations. Journal of Geotechnical and Geoenvironmental Engineering 134 (3): 401-407.</w:t>
      </w:r>
    </w:p>
    <w:p w:rsidR="00AD65CC" w:rsidRDefault="000A5A2B">
      <w:pPr>
        <w:pStyle w:val="References"/>
      </w:pPr>
      <w:r>
        <w:t>[49] Yang, Y., and Wei, Y. 2024. A New Shear Wave Velocity-Based Liquefaction Probability Model Using Logistic Regression: Emphasizing Fines Content Optimization. Applied Sciences 14 (15): 6793. https://doi.org/10.3390/app14156793.</w:t>
      </w:r>
    </w:p>
    <w:p w:rsidR="00AD65CC" w:rsidRDefault="000A5A2B">
      <w:pPr>
        <w:pStyle w:val="References"/>
      </w:pPr>
      <w:r>
        <w:t>[50] Youd, T. L., Idriss, I. M., Andrus, R. D., Arango, I., Castro, G., Christian, J. T., Dobry, R., Finn, W. D. L., Harder, L. F., Hynes, M. E., Ishihara, K., Koester, J. P., Liao, S. S. C., Marcuson, W. F., Martin, G. R., Mitchell, J. K., Moriwaki, Y., Power, M. S., Robertson, P. K., Seed, R. B., and Stokoe, K. H. 2001. Liquefaction Resistance of Soils: Summary Report from the 1996 NCEER and 1998 NCEER/NSF Workshops. Journal of Geotechnical and Geoenvironmental Engineering 127 (10): 817-833.</w:t>
      </w:r>
    </w:p>
    <w:p w:rsidR="003B066E" w:rsidRDefault="003B066E"/>
    <w:p w:rsidR="003B066E" w:rsidRDefault="003B066E">
      <w:pPr>
        <w:pStyle w:val="References"/>
      </w:pPr>
      <w:r>
        <w:t>[51] Guan, Z., and Wang, Y. 2024. Risk-informed adaptive sampling strategy for liquefaction severity mapping. Georisk 18 (2): 526-539. https://doi.org/10.1080/17499518.2023.2225165.</w:t>
      </w:r>
    </w:p>
    <w:p w:rsidR="003B066E" w:rsidRDefault="003B066E">
      <w:pPr>
        <w:pStyle w:val="References"/>
      </w:pPr>
      <w:r>
        <w:t>[52] Zhai, S., Du, G., Zhao, T., Zhuang, Z., and Liu, S. 2025. Assessment of resonance compaction effects on site liquefaction probability by considering spatial variability. Georisk 19 (3): 593-612. https://doi.org/10.1080/17499518.2025.2478625.</w:t>
      </w:r>
    </w:p>
    <w:p w:rsidR="003B066E" w:rsidRDefault="003B066E">
      <w:pPr>
        <w:pStyle w:val="References"/>
      </w:pPr>
      <w:r>
        <w:t>[53] van Staveren, M. T. 2009. Extending to geotechnical risk management. Georisk 3 (3): 174-183. https://doi.org/10.1080/17499510902788835.</w:t>
      </w:r>
    </w:p>
    <w:p w:rsidR="00F55AF2" w:rsidRDefault="003B066E">
      <w:pPr>
        <w:pStyle w:val="References"/>
      </w:pPr>
      <w:r>
        <w:t>[54] Sousa, R. L., Karam, K., and Einstein, H. H. 2014. Exploration analysis for landslide risk management. Georisk 8 (3): 155-170. https://doi.org/10.1080/17499518.2014.958174.</w:t>
      </w:r>
    </w:p>
    <w:p w:rsidR="004546B7" w:rsidRDefault="004546B7" w:rsidP="00967A9A"/>
    <w:sectPr w:rsidR="004546B7" w:rsidSect="00034616">
      <w:pgSz w:w="11906" w:h="16839"/>
      <w:pgMar w:top="1418" w:right="170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2A0"/>
    <w:rsid w:val="00034616"/>
    <w:rsid w:val="0006063C"/>
    <w:rsid w:val="00067C14"/>
    <w:rsid w:val="00070D9A"/>
    <w:rsid w:val="000A5A2B"/>
    <w:rsid w:val="000B5833"/>
    <w:rsid w:val="000E1204"/>
    <w:rsid w:val="000E2F88"/>
    <w:rsid w:val="0012763A"/>
    <w:rsid w:val="0015074B"/>
    <w:rsid w:val="001D33E7"/>
    <w:rsid w:val="001E223A"/>
    <w:rsid w:val="00211A9B"/>
    <w:rsid w:val="00225FE4"/>
    <w:rsid w:val="0029639D"/>
    <w:rsid w:val="002B4616"/>
    <w:rsid w:val="00311A2C"/>
    <w:rsid w:val="0032076F"/>
    <w:rsid w:val="00326F90"/>
    <w:rsid w:val="003424D3"/>
    <w:rsid w:val="003672F9"/>
    <w:rsid w:val="00380D34"/>
    <w:rsid w:val="003861EC"/>
    <w:rsid w:val="003A4107"/>
    <w:rsid w:val="003B066E"/>
    <w:rsid w:val="003C2675"/>
    <w:rsid w:val="004166E7"/>
    <w:rsid w:val="004457B8"/>
    <w:rsid w:val="004546B7"/>
    <w:rsid w:val="0047040E"/>
    <w:rsid w:val="00485EEF"/>
    <w:rsid w:val="00497881"/>
    <w:rsid w:val="0054172B"/>
    <w:rsid w:val="00554E27"/>
    <w:rsid w:val="0060192A"/>
    <w:rsid w:val="006C2A15"/>
    <w:rsid w:val="00731CB2"/>
    <w:rsid w:val="00755DA9"/>
    <w:rsid w:val="00774445"/>
    <w:rsid w:val="0078267C"/>
    <w:rsid w:val="00863D76"/>
    <w:rsid w:val="00882B38"/>
    <w:rsid w:val="008963EB"/>
    <w:rsid w:val="008F6A0C"/>
    <w:rsid w:val="00904639"/>
    <w:rsid w:val="00923608"/>
    <w:rsid w:val="00946BE6"/>
    <w:rsid w:val="00967A9A"/>
    <w:rsid w:val="00971019"/>
    <w:rsid w:val="009851A2"/>
    <w:rsid w:val="009A6FC1"/>
    <w:rsid w:val="009B35E5"/>
    <w:rsid w:val="00A10A22"/>
    <w:rsid w:val="00A371C2"/>
    <w:rsid w:val="00A459E4"/>
    <w:rsid w:val="00AA1D8D"/>
    <w:rsid w:val="00AA6395"/>
    <w:rsid w:val="00AB200C"/>
    <w:rsid w:val="00AD65CC"/>
    <w:rsid w:val="00AF3F64"/>
    <w:rsid w:val="00AF723E"/>
    <w:rsid w:val="00B20FAF"/>
    <w:rsid w:val="00B47730"/>
    <w:rsid w:val="00B513B6"/>
    <w:rsid w:val="00C94AFF"/>
    <w:rsid w:val="00CB0664"/>
    <w:rsid w:val="00CD5D77"/>
    <w:rsid w:val="00D24E97"/>
    <w:rsid w:val="00D94886"/>
    <w:rsid w:val="00DB1D60"/>
    <w:rsid w:val="00E85228"/>
    <w:rsid w:val="00E92571"/>
    <w:rsid w:val="00E94320"/>
    <w:rsid w:val="00EA4422"/>
    <w:rsid w:val="00F31386"/>
    <w:rsid w:val="00F436BC"/>
    <w:rsid w:val="00F55AF2"/>
    <w:rsid w:val="00FB42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44F8D06-5E25-4794-B8BF-9ED74BDD1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yperlink1">
    <w:name w:val="Hyperlink1"/>
    <w:rPr>
      <w:u w:val="single"/>
    </w:rPr>
  </w:style>
  <w:style w:type="table" w:styleId="PlainTable2">
    <w:name w:val="Plain Table 2"/>
    <w:basedOn w:val="TableNormal"/>
    <w:uiPriority w:val="42"/>
    <w:rsid w:val="0078267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3354D3-841C-45C7-A3B3-8C51693CA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11177</Words>
  <Characters>61478</Characters>
  <Application>Microsoft Office Word</Application>
  <DocSecurity>0</DocSecurity>
  <Lines>512</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reliability benchmark for non-stationary liquefaction probability under groundwater and gradation-change scenarios</dc:title>
  <dc:subject/>
  <dc:creator>Gabriel J. Montufar Chiriboga</dc:creator>
  <cp:keywords/>
  <dc:description/>
  <cp:lastModifiedBy>yo yo</cp:lastModifiedBy>
  <cp:revision>18</cp:revision>
  <cp:lastPrinted>2026-05-10T07:41:00Z</cp:lastPrinted>
  <dcterms:created xsi:type="dcterms:W3CDTF">2013-12-23T23:15:00Z</dcterms:created>
  <dcterms:modified xsi:type="dcterms:W3CDTF">2026-06-07T10:56:00Z</dcterms:modified>
  <cp:category/>
</cp:coreProperties>
</file>