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B1" w:rsidRDefault="00B13DB1">
      <w:bookmarkStart w:id="0" w:name="_GoBack"/>
      <w:bookmarkEnd w:id="0"/>
      <w:r>
        <w:t>Highlights</w:t>
      </w:r>
    </w:p>
    <w:p w:rsidR="00B13DB1" w:rsidRDefault="00B13DB1">
      <w:r>
        <w:t>User-implemented FEM-Dijkstra-DEM activation algorithm for earth dams.</w:t>
      </w:r>
    </w:p>
    <w:p w:rsidR="00B13DB1" w:rsidRDefault="00B13DB1">
      <w:r>
        <w:t>Lee A/B holdout ranks the full screening model first.</w:t>
      </w:r>
    </w:p>
    <w:p w:rsidR="00B13DB1" w:rsidRDefault="00B13DB1">
      <w:r>
        <w:t>Ke-Takahashi residual endpoint gives MAE 0.321 percentage points.</w:t>
      </w:r>
    </w:p>
    <w:p w:rsidR="00B13DB1" w:rsidRDefault="00B13DB1">
      <w:r>
        <w:t>Älvkarleby test-bed comparison gives centroid error 0.042.</w:t>
      </w:r>
    </w:p>
    <w:p w:rsidR="00B13DB1" w:rsidRDefault="00B13DB1">
      <w:r>
        <w:t>Claims remain bounded to pathway-screening transferability.</w:t>
      </w:r>
    </w:p>
    <w:p w:rsidR="00C371B6" w:rsidRDefault="00C371B6"/>
    <w:sectPr w:rsidR="00C371B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B1"/>
    <w:rsid w:val="00B13DB1"/>
    <w:rsid w:val="00C3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D4EA1-40CC-4755-819C-42DD76E8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yo</dc:creator>
  <cp:keywords/>
  <dc:description/>
  <cp:lastModifiedBy>yo yo</cp:lastModifiedBy>
  <cp:revision>1</cp:revision>
  <dcterms:created xsi:type="dcterms:W3CDTF">2026-06-07T13:04:00Z</dcterms:created>
  <dcterms:modified xsi:type="dcterms:W3CDTF">2026-06-07T13:04:00Z</dcterms:modified>
</cp:coreProperties>
</file>