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Title"/>
        <w:jc w:val="center"/>
      </w:pPr>
      <w:r>
        <w:rPr>
          <w:b/>
        </w:rPr>
        <w:t>Supplementary material</w:t>
      </w:r>
    </w:p>
    <w:p>
      <w:pPr>
        <w:pStyle w:val="Subtitle"/>
        <w:jc w:val="center"/>
      </w:pPr>
      <w:r>
        <w:t>Moved tables and figure for Canadian Geotechnical Journal article-type limits</w:t>
      </w:r>
    </w:p>
    <w:p>
      <w:pPr/>
      <w:r>
        <w:t>This supplementary Word file contains tables and one figure moved from the main manuscript to keep the research-article file within the CGJ limit of 12,000 words and a maximum of 20 combined figures/tables. Numbering is supplementary and does not alter the underlying reproducibility package.</w:t>
      </w:r>
    </w:p>
    <w:p w:rsidR="008C351E" w:rsidRPr="00E32609" w:rsidRDefault="00CF1714" w:rsidP="005632B0">
      <w:pPr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S1 summarizes the corresponding evidence or audit item moved from the main manuscript.</w:t>
      </w:r>
    </w:p>
    <w:p w:rsidR="00E6378A" w:rsidRPr="00E32609" w:rsidRDefault="003364A9" w:rsidP="005632B0">
      <w:pPr>
        <w:keepNext/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S1. Contribution matrix relative to established modelling components.</w:t>
      </w: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E6378A" w:rsidRPr="00344DB5" w:rsidTr="00344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Existing modelling element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Representative basis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Limitation addressed here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Added contribution</w:t>
            </w:r>
          </w:p>
        </w:tc>
      </w:tr>
      <w:tr w:rsidR="00E6378A" w:rsidRPr="004C581C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Suction-dependent strength</w:t>
            </w:r>
          </w:p>
        </w:tc>
        <w:tc>
          <w:tcPr>
            <w:tcW w:w="1250" w:type="pct"/>
          </w:tcPr>
          <w:p w:rsidR="00E6378A" w:rsidRPr="00E32609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Bishop stress and independent stress variables</w:t>
            </w:r>
          </w:p>
        </w:tc>
        <w:tc>
          <w:tcPr>
            <w:tcW w:w="1250" w:type="pct"/>
          </w:tcPr>
          <w:p w:rsidR="00E6378A" w:rsidRPr="00E32609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Often evaluated without explicit hydraulic path memory</w:t>
            </w:r>
          </w:p>
        </w:tc>
        <w:tc>
          <w:tcPr>
            <w:tcW w:w="1250" w:type="pct"/>
          </w:tcPr>
          <w:p w:rsidR="00E6378A" w:rsidRPr="00E32609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Path-dependent chi and saturation branch selection</w:t>
            </w:r>
          </w:p>
        </w:tc>
      </w:tr>
      <w:tr w:rsidR="00E6378A" w:rsidRPr="004C581C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Elastoplastic unsaturated soil model</w:t>
            </w:r>
          </w:p>
        </w:tc>
        <w:tc>
          <w:tcPr>
            <w:tcW w:w="1250" w:type="pct"/>
          </w:tcPr>
          <w:p w:rsidR="00E6378A" w:rsidRPr="00E32609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BBM and related suction-hardening models</w:t>
            </w:r>
          </w:p>
        </w:tc>
        <w:tc>
          <w:tcPr>
            <w:tcW w:w="1250" w:type="pct"/>
          </w:tcPr>
          <w:p w:rsidR="00E6378A" w:rsidRPr="00E32609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Usually presented without a compact seismic benchmark</w:t>
            </w:r>
          </w:p>
        </w:tc>
        <w:tc>
          <w:tcPr>
            <w:tcW w:w="1250" w:type="pct"/>
          </w:tcPr>
          <w:p w:rsidR="00E6378A" w:rsidRPr="00E32609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Material-point cyclic benchmark with simplified comparators</w:t>
            </w:r>
          </w:p>
        </w:tc>
      </w:tr>
      <w:tr w:rsidR="00E6378A" w:rsidRPr="004C581C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lastRenderedPageBreak/>
              <w:t>Water-retention hysteresis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Drying/wetting retention branches</w:t>
            </w:r>
          </w:p>
        </w:tc>
        <w:tc>
          <w:tcPr>
            <w:tcW w:w="1250" w:type="pct"/>
          </w:tcPr>
          <w:p w:rsidR="00E6378A" w:rsidRPr="00E32609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Often treated hydraulically but not propagated to cyclic damage</w:t>
            </w:r>
          </w:p>
        </w:tc>
        <w:tc>
          <w:tcPr>
            <w:tcW w:w="1250" w:type="pct"/>
          </w:tcPr>
          <w:p w:rsidR="00E6378A" w:rsidRPr="00E32609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Hysteresis affects stiffness, preconsolidation and plastic strain accumulation</w:t>
            </w:r>
          </w:p>
        </w:tc>
      </w:tr>
      <w:tr w:rsidR="00E6378A" w:rsidRPr="004C581C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Cyclic degradation</w:t>
            </w:r>
          </w:p>
        </w:tc>
        <w:tc>
          <w:tcPr>
            <w:tcW w:w="1250" w:type="pct"/>
          </w:tcPr>
          <w:p w:rsidR="00E6378A" w:rsidRPr="00E32609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Kinematic hardening and seismic demand indices</w:t>
            </w:r>
          </w:p>
        </w:tc>
        <w:tc>
          <w:tcPr>
            <w:tcW w:w="1250" w:type="pct"/>
          </w:tcPr>
          <w:p w:rsidR="00E6378A" w:rsidRPr="00E32609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Often separated from unsaturated hydraulic history</w:t>
            </w:r>
          </w:p>
        </w:tc>
        <w:tc>
          <w:tcPr>
            <w:tcW w:w="1250" w:type="pct"/>
          </w:tcPr>
          <w:p w:rsidR="00E6378A" w:rsidRPr="00E32609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Hydraulic and seismic damage variables interact in one algorithm</w:t>
            </w:r>
          </w:p>
        </w:tc>
      </w:tr>
    </w:tbl>
    <w:p w:rsidR="008C351E" w:rsidRPr="00E32609" w:rsidRDefault="00CF1714" w:rsidP="005632B0">
      <w:pPr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S2 summarizes the corresponding evidence or audit item moved from the main manuscript.</w:t>
      </w:r>
    </w:p>
    <w:p w:rsidR="008C351E" w:rsidRPr="00E32609" w:rsidRDefault="00CF1714" w:rsidP="005632B0">
      <w:pPr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S2. Theoretical admissibility propositions for the hydraulic-memory benchmark.</w:t>
      </w: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2043"/>
        <w:gridCol w:w="2910"/>
        <w:gridCol w:w="2222"/>
        <w:gridCol w:w="2067"/>
      </w:tblGrid>
      <w:tr w:rsidR="00772DA5" w:rsidRPr="00344DB5" w:rsidTr="00344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" w:type="pct"/>
          </w:tcPr>
          <w:p w:rsidR="00772DA5" w:rsidRPr="00344DB5" w:rsidRDefault="00D27612" w:rsidP="00344DB5">
            <w:pPr>
              <w:spacing w:after="120" w:line="276" w:lineRule="auto"/>
              <w:rPr>
                <w:noProof/>
                <w:sz w:val="20"/>
              </w:rPr>
            </w:pPr>
            <w:r w:rsidRPr="00344DB5">
              <w:rPr>
                <w:noProof/>
                <w:sz w:val="20"/>
              </w:rPr>
              <w:t>Proposition</w:t>
            </w:r>
          </w:p>
        </w:tc>
        <w:tc>
          <w:tcPr>
            <w:tcW w:w="1574" w:type="pct"/>
          </w:tcPr>
          <w:p w:rsidR="00772DA5" w:rsidRPr="00344DB5" w:rsidRDefault="00D27612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noProof/>
                <w:sz w:val="20"/>
              </w:rPr>
              <w:t>Statement</w:t>
            </w:r>
          </w:p>
        </w:tc>
        <w:tc>
          <w:tcPr>
            <w:tcW w:w="1202" w:type="pct"/>
          </w:tcPr>
          <w:p w:rsidR="00772DA5" w:rsidRPr="00344DB5" w:rsidRDefault="00D27612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noProof/>
                <w:sz w:val="20"/>
              </w:rPr>
              <w:t>Short Proof</w:t>
            </w:r>
          </w:p>
        </w:tc>
        <w:tc>
          <w:tcPr>
            <w:tcW w:w="1118" w:type="pct"/>
          </w:tcPr>
          <w:p w:rsidR="00772DA5" w:rsidRPr="00344DB5" w:rsidRDefault="00D27612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noProof/>
                <w:sz w:val="20"/>
              </w:rPr>
              <w:t>Manuscript Use</w:t>
            </w:r>
          </w:p>
        </w:tc>
      </w:tr>
      <w:tr w:rsidR="00772DA5" w:rsidRPr="004C581C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" w:type="pct"/>
          </w:tcPr>
          <w:p w:rsidR="00772DA5" w:rsidRPr="00344DB5" w:rsidRDefault="00D27612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b w:val="0"/>
                <w:noProof/>
                <w:sz w:val="20"/>
              </w:rPr>
              <w:t>P1 HMAI bounded</w:t>
            </w:r>
          </w:p>
        </w:tc>
        <w:tc>
          <w:tcPr>
            <w:tcW w:w="1574" w:type="pct"/>
          </w:tcPr>
          <w:p w:rsidR="00772DA5" w:rsidRPr="00E32609" w:rsidRDefault="00D27612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noProof/>
                <w:sz w:val="20"/>
                <w:lang w:val="en-US"/>
              </w:rPr>
              <w:t>If every component is clipped to [0,1] and non-negative weights sum to one, then 0 &lt;= HMAI &lt;= 1.</w:t>
            </w:r>
          </w:p>
        </w:tc>
        <w:tc>
          <w:tcPr>
            <w:tcW w:w="1202" w:type="pct"/>
          </w:tcPr>
          <w:p w:rsidR="00772DA5" w:rsidRPr="00E32609" w:rsidRDefault="00D27612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noProof/>
                <w:sz w:val="20"/>
                <w:lang w:val="en-US"/>
              </w:rPr>
              <w:t>HMAI is a convex combination of clipped unit components; a convex combination of unit-interval values remains in the unit interval.</w:t>
            </w:r>
          </w:p>
        </w:tc>
        <w:tc>
          <w:tcPr>
            <w:tcW w:w="1118" w:type="pct"/>
          </w:tcPr>
          <w:p w:rsidR="00772DA5" w:rsidRPr="00E32609" w:rsidRDefault="00D27612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noProof/>
                <w:sz w:val="20"/>
                <w:lang w:val="en-US"/>
              </w:rPr>
              <w:t>Supports bounded diagnostic phase-map interpretation.</w:t>
            </w:r>
          </w:p>
        </w:tc>
      </w:tr>
      <w:tr w:rsidR="00772DA5" w:rsidRPr="004C581C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" w:type="pct"/>
          </w:tcPr>
          <w:p w:rsidR="00772DA5" w:rsidRPr="00E32609" w:rsidRDefault="00D27612" w:rsidP="00344DB5">
            <w:pPr>
              <w:spacing w:after="120" w:line="276" w:lineRule="auto"/>
              <w:rPr>
                <w:b w:val="0"/>
                <w:noProof/>
                <w:sz w:val="20"/>
                <w:lang w:val="en-US"/>
              </w:rPr>
            </w:pPr>
            <w:r w:rsidRPr="00E32609">
              <w:rPr>
                <w:b w:val="0"/>
                <w:noProof/>
                <w:sz w:val="20"/>
                <w:lang w:val="en-US"/>
              </w:rPr>
              <w:t>P2 HMN dimensionless and non-negative</w:t>
            </w:r>
          </w:p>
        </w:tc>
        <w:tc>
          <w:tcPr>
            <w:tcW w:w="1574" w:type="pct"/>
          </w:tcPr>
          <w:p w:rsidR="00772DA5" w:rsidRPr="00E32609" w:rsidRDefault="00D27612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noProof/>
                <w:sz w:val="20"/>
                <w:lang w:val="en-US"/>
              </w:rPr>
              <w:t>HMN is a dimensionless ratio of hydraulic-history intensity to cyclic demand; all factors are non-negative in the declared domain.</w:t>
            </w:r>
          </w:p>
        </w:tc>
        <w:tc>
          <w:tcPr>
            <w:tcW w:w="1202" w:type="pct"/>
          </w:tcPr>
          <w:p w:rsidR="00772DA5" w:rsidRPr="00E32609" w:rsidRDefault="00D27612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noProof/>
                <w:sz w:val="20"/>
                <w:lang w:val="en-US"/>
              </w:rPr>
              <w:t>Each factor is a ratio of like units or dimensionless saturation/strain quantities; all factors are non-negative by construction.</w:t>
            </w:r>
          </w:p>
        </w:tc>
        <w:tc>
          <w:tcPr>
            <w:tcW w:w="1118" w:type="pct"/>
          </w:tcPr>
          <w:p w:rsidR="00772DA5" w:rsidRPr="00E32609" w:rsidRDefault="00D27612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noProof/>
                <w:sz w:val="20"/>
                <w:lang w:val="en-US"/>
              </w:rPr>
              <w:t>Prevents treating HMN as an empirical dimensional fit coefficient.</w:t>
            </w:r>
          </w:p>
        </w:tc>
      </w:tr>
      <w:tr w:rsidR="00772DA5" w:rsidRPr="004C581C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" w:type="pct"/>
          </w:tcPr>
          <w:p w:rsidR="00772DA5" w:rsidRPr="00344DB5" w:rsidRDefault="00D27612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b w:val="0"/>
                <w:noProof/>
                <w:sz w:val="20"/>
              </w:rPr>
              <w:t>P3 Damage monotonicity</w:t>
            </w:r>
          </w:p>
        </w:tc>
        <w:tc>
          <w:tcPr>
            <w:tcW w:w="1574" w:type="pct"/>
          </w:tcPr>
          <w:p w:rsidR="00772DA5" w:rsidRPr="00E32609" w:rsidRDefault="00D27612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noProof/>
                <w:sz w:val="20"/>
                <w:lang w:val="en-US"/>
              </w:rPr>
              <w:t>Hydraulic and seismic damage variables are non-negative and non-decreasing within each simulated case.</w:t>
            </w:r>
          </w:p>
        </w:tc>
        <w:tc>
          <w:tcPr>
            <w:tcW w:w="1202" w:type="pct"/>
          </w:tcPr>
          <w:p w:rsidR="00772DA5" w:rsidRPr="00E32609" w:rsidRDefault="00D27612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noProof/>
                <w:sz w:val="20"/>
                <w:lang w:val="en-US"/>
              </w:rPr>
              <w:t>The update accumulates non-negative reversal or overstress increments and then clips to a non-negative bounded interval.</w:t>
            </w:r>
          </w:p>
        </w:tc>
        <w:tc>
          <w:tcPr>
            <w:tcW w:w="1118" w:type="pct"/>
          </w:tcPr>
          <w:p w:rsidR="00772DA5" w:rsidRPr="00E32609" w:rsidRDefault="00D27612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noProof/>
                <w:sz w:val="20"/>
                <w:lang w:val="en-US"/>
              </w:rPr>
              <w:t>Supports physical admissibility of internal degradation variables.</w:t>
            </w:r>
          </w:p>
        </w:tc>
      </w:tr>
      <w:tr w:rsidR="00772DA5" w:rsidRPr="004C581C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" w:type="pct"/>
          </w:tcPr>
          <w:p w:rsidR="00772DA5" w:rsidRPr="00344DB5" w:rsidRDefault="00D27612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b w:val="0"/>
                <w:noProof/>
                <w:sz w:val="20"/>
              </w:rPr>
              <w:t>P4 Positive stiffness</w:t>
            </w:r>
          </w:p>
        </w:tc>
        <w:tc>
          <w:tcPr>
            <w:tcW w:w="1574" w:type="pct"/>
          </w:tcPr>
          <w:p w:rsidR="00772DA5" w:rsidRPr="00E32609" w:rsidRDefault="00D27612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noProof/>
                <w:sz w:val="20"/>
                <w:lang w:val="en-US"/>
              </w:rPr>
              <w:t>Secant stiffness remains positive for the declared damage bounds and positive effective stress.</w:t>
            </w:r>
          </w:p>
        </w:tc>
        <w:tc>
          <w:tcPr>
            <w:tcW w:w="1202" w:type="pct"/>
          </w:tcPr>
          <w:p w:rsidR="00772DA5" w:rsidRPr="00E32609" w:rsidRDefault="00D27612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noProof/>
                <w:sz w:val="20"/>
                <w:lang w:val="en-US"/>
              </w:rPr>
              <w:t>The stiffness update preserves positive G when G0&gt;0, p_eff&gt;0 and the damage variables remain below unity.</w:t>
            </w:r>
          </w:p>
        </w:tc>
        <w:tc>
          <w:tcPr>
            <w:tcW w:w="1118" w:type="pct"/>
          </w:tcPr>
          <w:p w:rsidR="00772DA5" w:rsidRPr="00E32609" w:rsidRDefault="00D27612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noProof/>
                <w:sz w:val="20"/>
                <w:lang w:val="en-US"/>
              </w:rPr>
              <w:t>Rules out nonphysical negative stiffness in the benchmark envelope.</w:t>
            </w:r>
          </w:p>
        </w:tc>
      </w:tr>
      <w:tr w:rsidR="00772DA5" w:rsidRPr="004C581C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" w:type="pct"/>
          </w:tcPr>
          <w:p w:rsidR="00772DA5" w:rsidRPr="00E32609" w:rsidRDefault="00D27612" w:rsidP="00344DB5">
            <w:pPr>
              <w:spacing w:after="120" w:line="276" w:lineRule="auto"/>
              <w:rPr>
                <w:b w:val="0"/>
                <w:noProof/>
                <w:sz w:val="20"/>
                <w:lang w:val="en-US"/>
              </w:rPr>
            </w:pPr>
            <w:r w:rsidRPr="00E32609">
              <w:rPr>
                <w:b w:val="0"/>
                <w:noProof/>
                <w:sz w:val="20"/>
                <w:lang w:val="en-US"/>
              </w:rPr>
              <w:t>P5 Reduction without hydraulic memory</w:t>
            </w:r>
          </w:p>
        </w:tc>
        <w:tc>
          <w:tcPr>
            <w:tcW w:w="1574" w:type="pct"/>
          </w:tcPr>
          <w:p w:rsidR="00772DA5" w:rsidRPr="00E32609" w:rsidRDefault="00D27612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noProof/>
                <w:sz w:val="20"/>
                <w:lang w:val="en-US"/>
              </w:rPr>
              <w:t xml:space="preserve">If the hydraulic-memory gate is zero, the composite HMAI is zero; full mechanical equivalence with the baseline also requires </w:t>
            </w:r>
            <w:r w:rsidRPr="00E32609">
              <w:rPr>
                <w:noProof/>
                <w:sz w:val="20"/>
                <w:lang w:val="en-US"/>
              </w:rPr>
              <w:lastRenderedPageBreak/>
              <w:t>cyclic damage to be inactive.</w:t>
            </w:r>
          </w:p>
        </w:tc>
        <w:tc>
          <w:tcPr>
            <w:tcW w:w="1202" w:type="pct"/>
          </w:tcPr>
          <w:p w:rsidR="00772DA5" w:rsidRPr="00E32609" w:rsidRDefault="00D27612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noProof/>
                <w:sz w:val="20"/>
                <w:lang w:val="en-US"/>
              </w:rPr>
              <w:lastRenderedPageBreak/>
              <w:t xml:space="preserve">The HMAI definition multiplies the component contrast by the hydraulic-history </w:t>
            </w:r>
            <w:r w:rsidRPr="00E32609">
              <w:rPr>
                <w:noProof/>
                <w:sz w:val="20"/>
                <w:lang w:val="en-US"/>
              </w:rPr>
              <w:lastRenderedPageBreak/>
              <w:t>gate; the mechanical model still differs if seismic damage remains active.</w:t>
            </w:r>
          </w:p>
        </w:tc>
        <w:tc>
          <w:tcPr>
            <w:tcW w:w="1118" w:type="pct"/>
          </w:tcPr>
          <w:p w:rsidR="00772DA5" w:rsidRPr="00E32609" w:rsidRDefault="00D27612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noProof/>
                <w:sz w:val="20"/>
                <w:lang w:val="en-US"/>
              </w:rPr>
              <w:lastRenderedPageBreak/>
              <w:t xml:space="preserve">Separates a true memory limit from a broader no-damage/no-memory </w:t>
            </w:r>
            <w:r w:rsidRPr="00E32609">
              <w:rPr>
                <w:noProof/>
                <w:sz w:val="20"/>
                <w:lang w:val="en-US"/>
              </w:rPr>
              <w:lastRenderedPageBreak/>
              <w:t>baseline.</w:t>
            </w:r>
          </w:p>
        </w:tc>
      </w:tr>
      <w:tr w:rsidR="00772DA5" w:rsidRPr="004C581C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" w:type="pct"/>
          </w:tcPr>
          <w:p w:rsidR="00772DA5" w:rsidRPr="00344DB5" w:rsidRDefault="00D27612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b w:val="0"/>
                <w:noProof/>
                <w:sz w:val="20"/>
              </w:rPr>
              <w:lastRenderedPageBreak/>
              <w:t>P6 Unique phase class</w:t>
            </w:r>
          </w:p>
        </w:tc>
        <w:tc>
          <w:tcPr>
            <w:tcW w:w="1574" w:type="pct"/>
          </w:tcPr>
          <w:p w:rsidR="00772DA5" w:rsidRPr="00E32609" w:rsidRDefault="00D27612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noProof/>
                <w:sz w:val="20"/>
                <w:lang w:val="en-US"/>
              </w:rPr>
              <w:t>Every computed HMAI value belongs to exactly one of negligible, relevant or dominant.</w:t>
            </w:r>
          </w:p>
        </w:tc>
        <w:tc>
          <w:tcPr>
            <w:tcW w:w="1202" w:type="pct"/>
          </w:tcPr>
          <w:p w:rsidR="00772DA5" w:rsidRPr="00E32609" w:rsidRDefault="00D27612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noProof/>
                <w:sz w:val="20"/>
                <w:lang w:val="en-US"/>
              </w:rPr>
              <w:t>The intervals [0,0.10), [0.10,0.30] and (0.30,1] are mutually exclusive and cover the bounded HMAI range.</w:t>
            </w:r>
          </w:p>
        </w:tc>
        <w:tc>
          <w:tcPr>
            <w:tcW w:w="1118" w:type="pct"/>
          </w:tcPr>
          <w:p w:rsidR="00772DA5" w:rsidRPr="00E32609" w:rsidRDefault="00D27612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noProof/>
                <w:sz w:val="20"/>
                <w:lang w:val="en-US"/>
              </w:rPr>
              <w:t>Makes the phase-map classification mathematically unambiguous.</w:t>
            </w:r>
          </w:p>
        </w:tc>
      </w:tr>
    </w:tbl>
    <w:p w:rsidR="008C351E" w:rsidRPr="00E32609" w:rsidRDefault="00CF1714" w:rsidP="005632B0">
      <w:pPr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S3 summarizes the corresponding evidence or audit item moved from the main manuscript.</w:t>
      </w:r>
    </w:p>
    <w:p w:rsidR="00E6378A" w:rsidRPr="00E32609" w:rsidRDefault="003364A9" w:rsidP="005632B0">
      <w:pPr>
        <w:keepNext/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S3. Reproducible material-point update used in the controlled study.</w:t>
      </w: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3082"/>
        <w:gridCol w:w="3081"/>
        <w:gridCol w:w="3079"/>
      </w:tblGrid>
      <w:tr w:rsidR="00E6378A" w:rsidRPr="00344DB5" w:rsidTr="00344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E6378A" w:rsidRPr="00344DB5" w:rsidRDefault="00D6580A" w:rsidP="00344DB5">
            <w:pPr>
              <w:spacing w:after="120" w:line="276" w:lineRule="auto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Step</w:t>
            </w:r>
          </w:p>
        </w:tc>
        <w:tc>
          <w:tcPr>
            <w:tcW w:w="1667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Operation</w:t>
            </w:r>
          </w:p>
        </w:tc>
        <w:tc>
          <w:tcPr>
            <w:tcW w:w="1666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Diagnostic output</w:t>
            </w:r>
          </w:p>
        </w:tc>
      </w:tr>
      <w:tr w:rsidR="00E6378A" w:rsidRPr="00344DB5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1</w:t>
            </w:r>
          </w:p>
        </w:tc>
        <w:tc>
          <w:tcPr>
            <w:tcW w:w="1667" w:type="pct"/>
          </w:tcPr>
          <w:p w:rsidR="00E6378A" w:rsidRPr="00E32609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Read imposed suction and cyclic strain increments</w:t>
            </w:r>
          </w:p>
        </w:tc>
        <w:tc>
          <w:tcPr>
            <w:tcW w:w="1666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suction (kPa), shear strain</w:t>
            </w:r>
          </w:p>
        </w:tc>
      </w:tr>
      <w:tr w:rsidR="00E6378A" w:rsidRPr="004C581C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lastRenderedPageBreak/>
              <w:t>2</w:t>
            </w:r>
          </w:p>
        </w:tc>
        <w:tc>
          <w:tcPr>
            <w:tcW w:w="1667" w:type="pct"/>
          </w:tcPr>
          <w:p w:rsidR="00E6378A" w:rsidRPr="00E32609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Select drying or wetting branch</w:t>
            </w:r>
          </w:p>
        </w:tc>
        <w:tc>
          <w:tcPr>
            <w:tcW w:w="1666" w:type="pct"/>
          </w:tcPr>
          <w:p w:rsidR="00E6378A" w:rsidRPr="00E32609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degree of saturation, Bishop chi</w:t>
            </w:r>
          </w:p>
        </w:tc>
      </w:tr>
      <w:tr w:rsidR="00E6378A" w:rsidRPr="004C581C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3</w:t>
            </w:r>
          </w:p>
        </w:tc>
        <w:tc>
          <w:tcPr>
            <w:tcW w:w="1667" w:type="pct"/>
          </w:tcPr>
          <w:p w:rsidR="00E6378A" w:rsidRPr="00E32609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Update effective stress and preconsolidation</w:t>
            </w:r>
          </w:p>
        </w:tc>
        <w:tc>
          <w:tcPr>
            <w:tcW w:w="1666" w:type="pct"/>
          </w:tcPr>
          <w:p w:rsidR="00E6378A" w:rsidRPr="00E32609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mean effective stress (kPa), preconsolidation pressure (kPa)</w:t>
            </w:r>
          </w:p>
        </w:tc>
      </w:tr>
      <w:tr w:rsidR="00E6378A" w:rsidRPr="00344DB5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4</w:t>
            </w:r>
          </w:p>
        </w:tc>
        <w:tc>
          <w:tcPr>
            <w:tcW w:w="1667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Evaluate demand/yield ratio</w:t>
            </w:r>
          </w:p>
        </w:tc>
        <w:tc>
          <w:tcPr>
            <w:tcW w:w="1666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overstress diagnostic in script</w:t>
            </w:r>
          </w:p>
        </w:tc>
      </w:tr>
      <w:tr w:rsidR="00E6378A" w:rsidRPr="00344DB5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5</w:t>
            </w:r>
          </w:p>
        </w:tc>
        <w:tc>
          <w:tcPr>
            <w:tcW w:w="1667" w:type="pct"/>
          </w:tcPr>
          <w:p w:rsidR="00E6378A" w:rsidRPr="00E32609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Update hydraulic and seismic damage</w:t>
            </w:r>
          </w:p>
        </w:tc>
        <w:tc>
          <w:tcPr>
            <w:tcW w:w="1666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hydraulic damage, seismic damage</w:t>
            </w:r>
          </w:p>
        </w:tc>
      </w:tr>
      <w:tr w:rsidR="00E6378A" w:rsidRPr="004C581C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6</w:t>
            </w:r>
          </w:p>
        </w:tc>
        <w:tc>
          <w:tcPr>
            <w:tcW w:w="1667" w:type="pct"/>
          </w:tcPr>
          <w:p w:rsidR="00E6378A" w:rsidRPr="00E32609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Compute stiffness, stress and plastic strain index</w:t>
            </w:r>
          </w:p>
        </w:tc>
        <w:tc>
          <w:tcPr>
            <w:tcW w:w="1666" w:type="pct"/>
          </w:tcPr>
          <w:p w:rsidR="00E6378A" w:rsidRPr="00E32609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secant stiffness (MPa), shear stress (kPa), plastic-strain index</w:t>
            </w:r>
          </w:p>
        </w:tc>
      </w:tr>
    </w:tbl>
    <w:p w:rsidR="008C351E" w:rsidRPr="00E32609" w:rsidRDefault="00CF1714" w:rsidP="005632B0">
      <w:pPr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S4 summarizes the corresponding evidence or audit item moved from the main manuscript.</w:t>
      </w:r>
    </w:p>
    <w:p w:rsidR="00E6378A" w:rsidRPr="00E32609" w:rsidRDefault="003364A9" w:rsidP="005632B0">
      <w:pPr>
        <w:keepNext/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S4. Benchmark parameters and units used in the reproducible script.</w:t>
      </w: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E6378A" w:rsidRPr="00344DB5" w:rsidTr="00344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Parameter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Description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Unit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Value</w:t>
            </w:r>
          </w:p>
        </w:tc>
      </w:tr>
      <w:tr w:rsidR="00E6378A" w:rsidRPr="00344DB5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p</w:t>
            </w:r>
            <w:r w:rsidRPr="00344DB5">
              <w:rPr>
                <w:rFonts w:cs="Times New Roman"/>
                <w:b w:val="0"/>
                <w:noProof/>
                <w:sz w:val="20"/>
                <w:vertAlign w:val="subscript"/>
              </w:rPr>
              <w:t>0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reference mean stress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kPa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100.0</w:t>
            </w:r>
          </w:p>
        </w:tc>
      </w:tr>
      <w:tr w:rsidR="00E6378A" w:rsidRPr="00344DB5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b w:val="0"/>
                <w:noProof/>
                <w:sz w:val="20"/>
              </w:rPr>
              <w:t>p</w:t>
            </w:r>
            <w:r w:rsidRPr="00344DB5">
              <w:rPr>
                <w:b w:val="0"/>
                <w:noProof/>
                <w:sz w:val="20"/>
                <w:vertAlign w:val="subscript"/>
              </w:rPr>
              <w:t>c0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initial preconsolidation pressure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kPa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120.0</w:t>
            </w:r>
          </w:p>
        </w:tc>
      </w:tr>
      <w:tr w:rsidR="00E6378A" w:rsidRPr="00344DB5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e</w:t>
            </w:r>
            <w:r w:rsidRPr="00344DB5">
              <w:rPr>
                <w:rFonts w:cs="Times New Roman"/>
                <w:b w:val="0"/>
                <w:noProof/>
                <w:sz w:val="20"/>
                <w:vertAlign w:val="subscript"/>
              </w:rPr>
              <w:t>0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initial void ratio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-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0.72</w:t>
            </w:r>
          </w:p>
        </w:tc>
      </w:tr>
      <w:tr w:rsidR="00E6378A" w:rsidRPr="00344DB5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S</w:t>
            </w:r>
            <w:r w:rsidRPr="00344DB5">
              <w:rPr>
                <w:rFonts w:cs="Times New Roman"/>
                <w:b w:val="0"/>
                <w:noProof/>
                <w:sz w:val="20"/>
                <w:vertAlign w:val="subscript"/>
              </w:rPr>
              <w:t>r,res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residual degree of saturation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-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0.08</w:t>
            </w:r>
          </w:p>
        </w:tc>
      </w:tr>
      <w:tr w:rsidR="00E6378A" w:rsidRPr="00344DB5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S</w:t>
            </w:r>
            <w:r w:rsidRPr="00344DB5">
              <w:rPr>
                <w:rFonts w:cs="Times New Roman"/>
                <w:b w:val="0"/>
                <w:noProof/>
                <w:sz w:val="20"/>
                <w:vertAlign w:val="subscript"/>
              </w:rPr>
              <w:t>r,sat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saturated degree of saturation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-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0.98</w:t>
            </w:r>
          </w:p>
        </w:tc>
      </w:tr>
      <w:tr w:rsidR="00E6378A" w:rsidRPr="00344DB5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alpha</w:t>
            </w:r>
            <w:r w:rsidRPr="00344DB5">
              <w:rPr>
                <w:rFonts w:cs="Times New Roman"/>
                <w:b w:val="0"/>
                <w:noProof/>
                <w:sz w:val="20"/>
                <w:vertAlign w:val="subscript"/>
              </w:rPr>
              <w:t>dry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drying retention parameter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1/kPa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0.03</w:t>
            </w:r>
          </w:p>
        </w:tc>
      </w:tr>
      <w:tr w:rsidR="00E6378A" w:rsidRPr="00344DB5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alpha</w:t>
            </w:r>
            <w:r w:rsidRPr="00344DB5">
              <w:rPr>
                <w:rFonts w:cs="Times New Roman"/>
                <w:b w:val="0"/>
                <w:noProof/>
                <w:sz w:val="20"/>
                <w:vertAlign w:val="subscript"/>
              </w:rPr>
              <w:t>wet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wetting retention parameter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1/kPa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0.018</w:t>
            </w:r>
          </w:p>
        </w:tc>
      </w:tr>
      <w:tr w:rsidR="00E6378A" w:rsidRPr="00344DB5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n</w:t>
            </w:r>
            <w:r w:rsidRPr="00344DB5">
              <w:rPr>
                <w:rFonts w:cs="Times New Roman"/>
                <w:b w:val="0"/>
                <w:noProof/>
                <w:sz w:val="20"/>
                <w:vertAlign w:val="subscript"/>
              </w:rPr>
              <w:t>dry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drying van Genuchten exponent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-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1.7</w:t>
            </w:r>
          </w:p>
        </w:tc>
      </w:tr>
      <w:tr w:rsidR="00E6378A" w:rsidRPr="00344DB5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n</w:t>
            </w:r>
            <w:r w:rsidRPr="00344DB5">
              <w:rPr>
                <w:rFonts w:cs="Times New Roman"/>
                <w:b w:val="0"/>
                <w:noProof/>
                <w:sz w:val="20"/>
                <w:vertAlign w:val="subscript"/>
              </w:rPr>
              <w:t>wet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wetting van Genuchten exponent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-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1.45</w:t>
            </w:r>
          </w:p>
        </w:tc>
      </w:tr>
      <w:tr w:rsidR="00E6378A" w:rsidRPr="00344DB5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k</w:t>
            </w:r>
            <w:r w:rsidRPr="00344DB5">
              <w:rPr>
                <w:rFonts w:cs="Times New Roman"/>
                <w:b w:val="0"/>
                <w:noProof/>
                <w:sz w:val="20"/>
                <w:vertAlign w:val="subscript"/>
              </w:rPr>
              <w:t>suction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suction hardening coefficient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-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0.52</w:t>
            </w:r>
          </w:p>
        </w:tc>
      </w:tr>
      <w:tr w:rsidR="00E6378A" w:rsidRPr="00344DB5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h</w:t>
            </w:r>
            <w:r w:rsidRPr="00344DB5">
              <w:rPr>
                <w:rFonts w:cs="Times New Roman"/>
                <w:b w:val="0"/>
                <w:noProof/>
                <w:sz w:val="20"/>
                <w:vertAlign w:val="subscript"/>
              </w:rPr>
              <w:t>suction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wetting-collapse coefficient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-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0.38</w:t>
            </w:r>
          </w:p>
        </w:tc>
      </w:tr>
      <w:tr w:rsidR="00E6378A" w:rsidRPr="00344DB5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b w:val="0"/>
                <w:noProof/>
                <w:sz w:val="20"/>
              </w:rPr>
              <w:t>beta</w:t>
            </w:r>
            <w:r w:rsidRPr="00344DB5">
              <w:rPr>
                <w:b w:val="0"/>
                <w:noProof/>
                <w:sz w:val="20"/>
                <w:vertAlign w:val="subscript"/>
              </w:rPr>
              <w:t>h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maximum hydraulic damage factor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-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0.2</w:t>
            </w:r>
          </w:p>
        </w:tc>
      </w:tr>
      <w:tr w:rsidR="00E6378A" w:rsidRPr="00344DB5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b w:val="0"/>
                <w:noProof/>
                <w:sz w:val="20"/>
              </w:rPr>
              <w:t>beta</w:t>
            </w:r>
            <w:r w:rsidRPr="00344DB5">
              <w:rPr>
                <w:b w:val="0"/>
                <w:noProof/>
                <w:sz w:val="20"/>
                <w:vertAlign w:val="subscript"/>
              </w:rPr>
              <w:t>c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maximum cyclic damage factor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-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0.26</w:t>
            </w:r>
          </w:p>
        </w:tc>
      </w:tr>
      <w:tr w:rsidR="00E6378A" w:rsidRPr="00344DB5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G</w:t>
            </w:r>
            <w:r w:rsidRPr="00344DB5">
              <w:rPr>
                <w:rFonts w:cs="Times New Roman"/>
                <w:b w:val="0"/>
                <w:noProof/>
                <w:sz w:val="20"/>
                <w:vertAlign w:val="subscript"/>
              </w:rPr>
              <w:t>0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reference shear stiffness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MPa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42.0</w:t>
            </w:r>
          </w:p>
        </w:tc>
      </w:tr>
      <w:tr w:rsidR="00E6378A" w:rsidRPr="00344DB5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m</w:t>
            </w:r>
            <w:r w:rsidRPr="00344DB5">
              <w:rPr>
                <w:rFonts w:cs="Times New Roman"/>
                <w:b w:val="0"/>
                <w:noProof/>
                <w:sz w:val="20"/>
                <w:vertAlign w:val="subscript"/>
              </w:rPr>
              <w:t>cc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cyclic threshold multiplier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-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1.25</w:t>
            </w:r>
          </w:p>
        </w:tc>
      </w:tr>
      <w:tr w:rsidR="00E6378A" w:rsidRPr="00344DB5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b w:val="0"/>
                <w:noProof/>
                <w:sz w:val="20"/>
              </w:rPr>
              <w:t>gamma</w:t>
            </w:r>
            <w:r w:rsidRPr="00344DB5">
              <w:rPr>
                <w:b w:val="0"/>
                <w:noProof/>
                <w:sz w:val="20"/>
                <w:vertAlign w:val="subscript"/>
              </w:rPr>
              <w:t>y0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reference yield shear strain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-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0.006</w:t>
            </w:r>
          </w:p>
        </w:tc>
      </w:tr>
    </w:tbl>
    <w:p w:rsidR="008C351E" w:rsidRPr="00E32609" w:rsidRDefault="00CF1714" w:rsidP="005632B0">
      <w:pPr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S5 summarizes the corresponding evidence or audit item moved from the main manuscript.</w:t>
      </w:r>
    </w:p>
    <w:p w:rsidR="00E6378A" w:rsidRPr="00E32609" w:rsidRDefault="003364A9" w:rsidP="005632B0">
      <w:pPr>
        <w:keepNext/>
        <w:pageBreakBefore/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lastRenderedPageBreak/>
        <w:t>Supplementary Table S5. Highest plastic-strain cases in the controlled study.</w:t>
      </w: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1849"/>
        <w:gridCol w:w="1849"/>
        <w:gridCol w:w="1848"/>
        <w:gridCol w:w="1848"/>
        <w:gridCol w:w="1848"/>
      </w:tblGrid>
      <w:tr w:rsidR="00E6378A" w:rsidRPr="00344DB5" w:rsidTr="00344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="00E6378A" w:rsidRPr="00344DB5" w:rsidRDefault="00D6580A" w:rsidP="00344DB5">
            <w:pPr>
              <w:spacing w:after="120" w:line="276" w:lineRule="auto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Model</w:t>
            </w:r>
          </w:p>
        </w:tc>
        <w:tc>
          <w:tcPr>
            <w:tcW w:w="1000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Suction amplitude (kPa)</w:t>
            </w:r>
          </w:p>
        </w:tc>
        <w:tc>
          <w:tcPr>
            <w:tcW w:w="1000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Cyclic amplitude</w:t>
            </w:r>
          </w:p>
        </w:tc>
        <w:tc>
          <w:tcPr>
            <w:tcW w:w="1000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Stiffness loss (%)</w:t>
            </w:r>
          </w:p>
        </w:tc>
        <w:tc>
          <w:tcPr>
            <w:tcW w:w="1000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Final plastic-strain index</w:t>
            </w:r>
          </w:p>
        </w:tc>
      </w:tr>
      <w:tr w:rsidR="00E6378A" w:rsidRPr="00344DB5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="00E6378A" w:rsidRPr="00344DB5" w:rsidRDefault="00EB5E03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full hysteretic damage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100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0.20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18.39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0.004521</w:t>
            </w:r>
          </w:p>
        </w:tc>
      </w:tr>
      <w:tr w:rsidR="00E6378A" w:rsidRPr="00344DB5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="00E6378A" w:rsidRPr="00344DB5" w:rsidRDefault="00EB5E03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hysteresis only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100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0.20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0.00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0.004234</w:t>
            </w:r>
          </w:p>
        </w:tc>
      </w:tr>
      <w:tr w:rsidR="00E6378A" w:rsidRPr="00344DB5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="00E6378A" w:rsidRPr="00344DB5" w:rsidRDefault="00EB5E03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full hysteretic damage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75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0.20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17.10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0.003276</w:t>
            </w:r>
          </w:p>
        </w:tc>
      </w:tr>
      <w:tr w:rsidR="00E6378A" w:rsidRPr="00344DB5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="00E6378A" w:rsidRPr="00344DB5" w:rsidRDefault="00EB5E03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hysteresis only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75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0.20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0.00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0.003068</w:t>
            </w:r>
          </w:p>
        </w:tc>
      </w:tr>
      <w:tr w:rsidR="00E6378A" w:rsidRPr="00344DB5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="00E6378A" w:rsidRPr="00344DB5" w:rsidRDefault="00EB5E03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full hysteretic damage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100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0.16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17.76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0.002470</w:t>
            </w:r>
          </w:p>
        </w:tc>
      </w:tr>
      <w:tr w:rsidR="00E6378A" w:rsidRPr="00344DB5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="00E6378A" w:rsidRPr="00344DB5" w:rsidRDefault="00EB5E03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hysteresis only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100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0.16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0.00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0.002376</w:t>
            </w:r>
          </w:p>
        </w:tc>
      </w:tr>
    </w:tbl>
    <w:p w:rsidR="008C351E" w:rsidRPr="00E32609" w:rsidRDefault="00CF1714" w:rsidP="005632B0">
      <w:pPr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S6 summarizes the corresponding evidence or audit item moved from the main manuscript.</w:t>
      </w:r>
    </w:p>
    <w:p w:rsidR="00E6378A" w:rsidRPr="00E32609" w:rsidRDefault="003364A9" w:rsidP="005632B0">
      <w:pPr>
        <w:keepNext/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S6. Ablation logic used to interpret the controlled study.</w:t>
      </w: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E6378A" w:rsidRPr="00344DB5" w:rsidTr="00344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Simplified model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Mechanism removed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Expected consequence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Observed diagnostic use</w:t>
            </w:r>
          </w:p>
        </w:tc>
      </w:tr>
      <w:tr w:rsidR="00E6378A" w:rsidRPr="004C581C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constant suction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All hydraulic path variation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Suppresses wetting-drying memory</w:t>
            </w:r>
          </w:p>
        </w:tc>
        <w:tc>
          <w:tcPr>
            <w:tcW w:w="1250" w:type="pct"/>
          </w:tcPr>
          <w:p w:rsidR="00E6378A" w:rsidRPr="00E32609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Baseline for detecting environmental-history effects</w:t>
            </w:r>
          </w:p>
        </w:tc>
      </w:tr>
      <w:tr w:rsidR="00E6378A" w:rsidRPr="004C581C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no hysteresis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Drying/wetting branch separation</w:t>
            </w:r>
          </w:p>
        </w:tc>
        <w:tc>
          <w:tcPr>
            <w:tcW w:w="1250" w:type="pct"/>
          </w:tcPr>
          <w:p w:rsidR="00E6378A" w:rsidRPr="00E32609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Under-represents path-dependent saturation</w:t>
            </w:r>
          </w:p>
        </w:tc>
        <w:tc>
          <w:tcPr>
            <w:tcW w:w="1250" w:type="pct"/>
          </w:tcPr>
          <w:p w:rsidR="00E6378A" w:rsidRPr="00E32609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Tests whether suction variation alone is enough</w:t>
            </w:r>
          </w:p>
        </w:tc>
      </w:tr>
      <w:tr w:rsidR="00E6378A" w:rsidRPr="004C581C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hysteresis only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Damage variables</w:t>
            </w:r>
          </w:p>
        </w:tc>
        <w:tc>
          <w:tcPr>
            <w:tcW w:w="1250" w:type="pct"/>
          </w:tcPr>
          <w:p w:rsidR="00E6378A" w:rsidRPr="00E32609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Captures hydraulic path without irreversible stiffness degradation</w:t>
            </w:r>
          </w:p>
        </w:tc>
        <w:tc>
          <w:tcPr>
            <w:tcW w:w="1250" w:type="pct"/>
          </w:tcPr>
          <w:p w:rsidR="00E6378A" w:rsidRPr="00E32609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Separates path dependence from degradation</w:t>
            </w:r>
          </w:p>
        </w:tc>
      </w:tr>
      <w:tr w:rsidR="00E6378A" w:rsidRPr="00344DB5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full hysteretic damage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None</w:t>
            </w:r>
          </w:p>
        </w:tc>
        <w:tc>
          <w:tcPr>
            <w:tcW w:w="1250" w:type="pct"/>
          </w:tcPr>
          <w:p w:rsidR="00E6378A" w:rsidRPr="00E32609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Captures coupled hydraulic and seismic degradation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Reference model for final conclusions</w:t>
            </w:r>
          </w:p>
        </w:tc>
      </w:tr>
    </w:tbl>
    <w:p w:rsidR="008C351E" w:rsidRPr="00E32609" w:rsidRDefault="00CF1714" w:rsidP="005632B0">
      <w:pPr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S7 summarizes the corresponding evidence or audit item moved from the main manuscript.</w:t>
      </w:r>
    </w:p>
    <w:p w:rsidR="00E6378A" w:rsidRPr="00E32609" w:rsidRDefault="003364A9" w:rsidP="005632B0">
      <w:pPr>
        <w:keepNext/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S7. Component-level verification against independent closed-form evaluations.</w:t>
      </w: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E6378A" w:rsidRPr="00344DB5" w:rsidTr="00344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Verification check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Maximum absolute error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Mean absolute error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Status</w:t>
            </w:r>
          </w:p>
        </w:tc>
      </w:tr>
      <w:tr w:rsidR="00E6378A" w:rsidRPr="00344DB5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van Genuchten retention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0.000e+00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0.000e+00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pass</w:t>
            </w:r>
          </w:p>
        </w:tc>
      </w:tr>
      <w:tr w:rsidR="00E6378A" w:rsidRPr="00344DB5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suction hardening closed form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2.842e-14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6.750e-15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pass</w:t>
            </w:r>
          </w:p>
        </w:tc>
      </w:tr>
    </w:tbl>
    <w:p w:rsidR="008C351E" w:rsidRPr="00E32609" w:rsidRDefault="00CF1714" w:rsidP="005632B0">
      <w:pPr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S8 summarizes the corresponding evidence or audit item moved from the main manuscript.</w:t>
      </w:r>
    </w:p>
    <w:p w:rsidR="00E6378A" w:rsidRPr="00E32609" w:rsidRDefault="003364A9" w:rsidP="005632B0">
      <w:pPr>
        <w:keepNext/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S8. External validation registry and protocol roles for independent unsaturated cyclic or dynamic studies.</w:t>
      </w: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E6378A" w:rsidRPr="00344DB5" w:rsidTr="00344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Source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External observation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Model expectation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Comparison</w:t>
            </w:r>
          </w:p>
        </w:tc>
      </w:tr>
      <w:tr w:rsidR="00E6378A" w:rsidRPr="00344DB5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Nishimura (2015)</w:t>
            </w:r>
          </w:p>
        </w:tc>
        <w:tc>
          <w:tcPr>
            <w:tcW w:w="1250" w:type="pct"/>
          </w:tcPr>
          <w:p w:rsidR="00E6378A" w:rsidRPr="00E32609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Drying-wetting suction changes produced strong SWCC hysteresis under isotropic compression; apparent saturated soil after suction changes showed liquefaction-like cyclic response.</w:t>
            </w:r>
          </w:p>
        </w:tc>
        <w:tc>
          <w:tcPr>
            <w:tcW w:w="1250" w:type="pct"/>
          </w:tcPr>
          <w:p w:rsidR="00E6378A" w:rsidRPr="00E32609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The model must retain hydraulic path memory and allow cyclic degradation after wetting-drying history.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consistent</w:t>
            </w:r>
          </w:p>
        </w:tc>
      </w:tr>
      <w:tr w:rsidR="00E6378A" w:rsidRPr="00344DB5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Howard (2021)</w:t>
            </w:r>
          </w:p>
        </w:tc>
        <w:tc>
          <w:tcPr>
            <w:tcW w:w="1250" w:type="pct"/>
          </w:tcPr>
          <w:p w:rsidR="00E6378A" w:rsidRPr="00E32609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Unsaturated cyclic triaxial tests on silty sand showed that wetting-path specimens had higher cyclic resistance than drying-path specimens, and higher initial matric suction increased cyclic resistance.</w:t>
            </w:r>
          </w:p>
        </w:tc>
        <w:tc>
          <w:tcPr>
            <w:tcW w:w="1250" w:type="pct"/>
          </w:tcPr>
          <w:p w:rsidR="00E6378A" w:rsidRPr="00E32609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The model must distinguish wetting and drying branches and include suction-dependent resistance.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consistent</w:t>
            </w:r>
          </w:p>
        </w:tc>
      </w:tr>
      <w:tr w:rsidR="00E6378A" w:rsidRPr="004C581C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Suprunenko (2015)</w:t>
            </w:r>
          </w:p>
        </w:tc>
        <w:tc>
          <w:tcPr>
            <w:tcW w:w="1250" w:type="pct"/>
          </w:tcPr>
          <w:p w:rsidR="00E6378A" w:rsidRPr="00E32609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Suction-controlled cyclic triaxial tests on sand reported dynamic shear modulus dependence on degree of saturation, with higher modulus at mid-range saturation.</w:t>
            </w:r>
          </w:p>
        </w:tc>
        <w:tc>
          <w:tcPr>
            <w:tcW w:w="1250" w:type="pct"/>
          </w:tcPr>
          <w:p w:rsidR="00E6378A" w:rsidRPr="00E32609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The model must allow saturation-dependent stiffness through Bishop chi and effective stress.</w:t>
            </w:r>
          </w:p>
        </w:tc>
        <w:tc>
          <w:tcPr>
            <w:tcW w:w="1250" w:type="pct"/>
          </w:tcPr>
          <w:p w:rsidR="00E6378A" w:rsidRPr="00E32609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consistent with mechanism; not calibrated to the sand data</w:t>
            </w:r>
          </w:p>
        </w:tc>
      </w:tr>
      <w:tr w:rsidR="00E6378A" w:rsidRPr="00344DB5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Dai and Zhou (2025)</w:t>
            </w:r>
          </w:p>
        </w:tc>
        <w:tc>
          <w:tcPr>
            <w:tcW w:w="1250" w:type="pct"/>
          </w:tcPr>
          <w:p w:rsidR="00E6378A" w:rsidRPr="00E32609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 xml:space="preserve">Suction-controlled cyclic tests on unsaturated loess showed permanent </w:t>
            </w:r>
            <w:r w:rsidRPr="00E32609">
              <w:rPr>
                <w:rFonts w:cs="Times New Roman"/>
                <w:noProof/>
                <w:sz w:val="20"/>
                <w:lang w:val="en-US"/>
              </w:rPr>
              <w:lastRenderedPageBreak/>
              <w:t>vertical strain and resilient modulus vary systematically with suction, compaction water content, density and CSR.</w:t>
            </w:r>
          </w:p>
        </w:tc>
        <w:tc>
          <w:tcPr>
            <w:tcW w:w="1250" w:type="pct"/>
          </w:tcPr>
          <w:p w:rsidR="00E6378A" w:rsidRPr="00E32609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lastRenderedPageBreak/>
              <w:t xml:space="preserve">The model must couple suction, cyclic demand and plastic-strain </w:t>
            </w:r>
            <w:r w:rsidRPr="00E32609">
              <w:rPr>
                <w:rFonts w:cs="Times New Roman"/>
                <w:noProof/>
                <w:sz w:val="20"/>
                <w:lang w:val="en-US"/>
              </w:rPr>
              <w:lastRenderedPageBreak/>
              <w:t>accumulation rather than treating suction as a constant parameter.</w:t>
            </w:r>
          </w:p>
        </w:tc>
        <w:tc>
          <w:tcPr>
            <w:tcW w:w="1250" w:type="pct"/>
          </w:tcPr>
          <w:p w:rsidR="00E6378A" w:rsidRPr="00344DB5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lastRenderedPageBreak/>
              <w:t>consistent</w:t>
            </w:r>
          </w:p>
        </w:tc>
      </w:tr>
    </w:tbl>
    <w:p w:rsidR="008C351E" w:rsidRPr="00E32609" w:rsidRDefault="00CF1714" w:rsidP="005632B0">
      <w:pPr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S9 summarizes the corresponding evidence or audit item moved from the main manuscript.</w:t>
      </w:r>
    </w:p>
    <w:p w:rsidR="00E6378A" w:rsidRPr="00E32609" w:rsidRDefault="003364A9" w:rsidP="005632B0">
      <w:pPr>
        <w:keepNext/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S9. Time-step convergence for the most demanding full-model case.</w:t>
      </w: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1849"/>
        <w:gridCol w:w="1849"/>
        <w:gridCol w:w="1848"/>
        <w:gridCol w:w="1848"/>
        <w:gridCol w:w="1848"/>
      </w:tblGrid>
      <w:tr w:rsidR="00E6378A" w:rsidRPr="00344DB5" w:rsidTr="00344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="00E6378A" w:rsidRPr="00344DB5" w:rsidRDefault="00D6580A" w:rsidP="00344DB5">
            <w:pPr>
              <w:spacing w:after="120" w:line="276" w:lineRule="auto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Time steps</w:t>
            </w:r>
          </w:p>
        </w:tc>
        <w:tc>
          <w:tcPr>
            <w:tcW w:w="1000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Normalized dt</w:t>
            </w:r>
          </w:p>
        </w:tc>
        <w:tc>
          <w:tcPr>
            <w:tcW w:w="1000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Final plastic-strain index</w:t>
            </w:r>
          </w:p>
        </w:tc>
        <w:tc>
          <w:tcPr>
            <w:tcW w:w="1000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Stiffness loss (%)</w:t>
            </w:r>
          </w:p>
        </w:tc>
        <w:tc>
          <w:tcPr>
            <w:tcW w:w="1000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Plastic error vs finest (%)</w:t>
            </w:r>
          </w:p>
        </w:tc>
      </w:tr>
      <w:tr w:rsidR="00E6378A" w:rsidRPr="00344DB5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="00E6378A" w:rsidRPr="00344DB5" w:rsidRDefault="00EB5E03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360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2.786e-03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0.004478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18.39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1.23</w:t>
            </w:r>
          </w:p>
        </w:tc>
      </w:tr>
      <w:tr w:rsidR="00E6378A" w:rsidRPr="00344DB5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="00E6378A" w:rsidRPr="00344DB5" w:rsidRDefault="00EB5E03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720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1.391e-03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0.004521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18.39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0.30</w:t>
            </w:r>
          </w:p>
        </w:tc>
      </w:tr>
      <w:tr w:rsidR="00E6378A" w:rsidRPr="00344DB5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="00E6378A" w:rsidRPr="00344DB5" w:rsidRDefault="00EB5E03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1440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6.949e-04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0.004531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18.39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0.06</w:t>
            </w:r>
          </w:p>
        </w:tc>
      </w:tr>
      <w:tr w:rsidR="00E6378A" w:rsidRPr="00344DB5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:rsidR="00E6378A" w:rsidRPr="00344DB5" w:rsidRDefault="00EB5E03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2880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3.473e-04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0.004534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18.39</w:t>
            </w:r>
          </w:p>
        </w:tc>
        <w:tc>
          <w:tcPr>
            <w:tcW w:w="1000" w:type="pct"/>
          </w:tcPr>
          <w:p w:rsidR="00E6378A" w:rsidRPr="00344DB5" w:rsidRDefault="00EB5E03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0.00</w:t>
            </w:r>
          </w:p>
        </w:tc>
      </w:tr>
    </w:tbl>
    <w:p w:rsidR="008C351E" w:rsidRPr="00E32609" w:rsidRDefault="00CF1714" w:rsidP="005632B0">
      <w:pPr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S10 summarizes the corresponding evidence or audit item moved from the main manuscript.</w:t>
      </w:r>
    </w:p>
    <w:p w:rsidR="0089740A" w:rsidRPr="00E32609" w:rsidRDefault="003364A9" w:rsidP="005632B0">
      <w:pPr>
        <w:spacing w:after="120"/>
        <w:jc w:val="both"/>
        <w:rPr>
          <w:sz w:val="20"/>
          <w:lang w:val="en-US"/>
        </w:rPr>
      </w:pPr>
      <w:r w:rsidRPr="00E32609">
        <w:rPr>
          <w:rFonts w:cs="Times New Roman"/>
          <w:lang w:val="en-US"/>
        </w:rPr>
        <w:t>Supplementary Table S10. Compact sensitivity and uncertainty checks used to bound numerical interpretation.</w:t>
      </w: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3080"/>
        <w:gridCol w:w="3080"/>
        <w:gridCol w:w="3082"/>
      </w:tblGrid>
      <w:tr w:rsidR="0089740A" w:rsidRPr="00344DB5" w:rsidTr="00344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89740A" w:rsidRPr="00344DB5" w:rsidRDefault="0089740A" w:rsidP="00344DB5">
            <w:pPr>
              <w:spacing w:after="120" w:line="276" w:lineRule="auto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Check</w:t>
            </w:r>
          </w:p>
        </w:tc>
        <w:tc>
          <w:tcPr>
            <w:tcW w:w="1666" w:type="pct"/>
          </w:tcPr>
          <w:p w:rsidR="0089740A" w:rsidRPr="00344DB5" w:rsidRDefault="008974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Evidence retained</w:t>
            </w:r>
          </w:p>
        </w:tc>
        <w:tc>
          <w:tcPr>
            <w:tcW w:w="1667" w:type="pct"/>
          </w:tcPr>
          <w:p w:rsidR="0089740A" w:rsidRPr="00344DB5" w:rsidRDefault="008974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Interpretation boundary</w:t>
            </w:r>
          </w:p>
        </w:tc>
      </w:tr>
      <w:tr w:rsidR="0089740A" w:rsidRPr="004C581C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89740A" w:rsidRPr="00344DB5" w:rsidRDefault="008974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Time-step convergence</w:t>
            </w:r>
          </w:p>
        </w:tc>
        <w:tc>
          <w:tcPr>
            <w:tcW w:w="1666" w:type="pct"/>
          </w:tcPr>
          <w:p w:rsidR="0089740A" w:rsidRPr="00E32609" w:rsidRDefault="008974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 xml:space="preserve">High-step comparison and convergence log retained; detailed values are in Supplementary Note </w:t>
            </w:r>
            <w:r w:rsidRPr="00E32609">
              <w:rPr>
                <w:rFonts w:cs="Times New Roman"/>
                <w:noProof/>
                <w:sz w:val="20"/>
                <w:lang w:val="en-US"/>
              </w:rPr>
              <w:lastRenderedPageBreak/>
              <w:t>S2.</w:t>
            </w:r>
          </w:p>
        </w:tc>
        <w:tc>
          <w:tcPr>
            <w:tcW w:w="1667" w:type="pct"/>
          </w:tcPr>
          <w:p w:rsidR="0089740A" w:rsidRPr="00E32609" w:rsidRDefault="008974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lastRenderedPageBreak/>
              <w:t>Supports numerical stability of envelope trends, not exact time-history validation.</w:t>
            </w:r>
          </w:p>
        </w:tc>
      </w:tr>
      <w:tr w:rsidR="0089740A" w:rsidRPr="004C581C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89740A" w:rsidRPr="00344DB5" w:rsidRDefault="008974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Local sensitivity</w:t>
            </w:r>
          </w:p>
        </w:tc>
        <w:tc>
          <w:tcPr>
            <w:tcW w:w="1666" w:type="pct"/>
          </w:tcPr>
          <w:p w:rsidR="0089740A" w:rsidRPr="00E32609" w:rsidRDefault="008974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Local surrogates retain R2 = 0.986-0.989 with cyclic amplitude as dominant driver.</w:t>
            </w:r>
          </w:p>
        </w:tc>
        <w:tc>
          <w:tcPr>
            <w:tcW w:w="1667" w:type="pct"/>
          </w:tcPr>
          <w:p w:rsidR="0089740A" w:rsidRPr="00E32609" w:rsidRDefault="008974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Ranks drivers over the declared perturbation range only.</w:t>
            </w:r>
          </w:p>
        </w:tc>
      </w:tr>
      <w:tr w:rsidR="0089740A" w:rsidRPr="004C581C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89740A" w:rsidRPr="00344DB5" w:rsidRDefault="008974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Uncertainty and claim boundary</w:t>
            </w:r>
          </w:p>
        </w:tc>
        <w:tc>
          <w:tcPr>
            <w:tcW w:w="1666" w:type="pct"/>
          </w:tcPr>
          <w:p w:rsidR="0089740A" w:rsidRPr="00E32609" w:rsidRDefault="008974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 xml:space="preserve">Monte Carlo summaries, negative claim tests and </w:t>
            </w:r>
            <w:r w:rsidR="003364A9" w:rsidRPr="00E32609">
              <w:rPr>
                <w:rFonts w:cs="Times New Roman"/>
                <w:noProof/>
                <w:sz w:val="20"/>
                <w:lang w:val="en-US"/>
              </w:rPr>
              <w:t>Table 14</w:t>
            </w:r>
            <w:r w:rsidRPr="00E32609">
              <w:rPr>
                <w:rFonts w:cs="Times New Roman"/>
                <w:noProof/>
                <w:sz w:val="20"/>
                <w:lang w:val="en-US"/>
              </w:rPr>
              <w:t xml:space="preserve"> invariant checks remain in the package.</w:t>
            </w:r>
          </w:p>
        </w:tc>
        <w:tc>
          <w:tcPr>
            <w:tcW w:w="1667" w:type="pct"/>
          </w:tcPr>
          <w:p w:rsidR="0089740A" w:rsidRPr="00E32609" w:rsidRDefault="008974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Bounds interpretation as a plausibility-envelope benchmark, not a calibrated design model.</w:t>
            </w:r>
          </w:p>
        </w:tc>
      </w:tr>
    </w:tbl>
    <w:p w:rsidR="008C351E" w:rsidRPr="00E32609" w:rsidRDefault="00CF1714" w:rsidP="005632B0">
      <w:pPr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S11 summarizes the corresponding evidence or audit item moved from the main manuscript.</w:t>
      </w:r>
    </w:p>
    <w:p w:rsidR="00C11B1F" w:rsidRPr="00E32609" w:rsidRDefault="003364A9" w:rsidP="005632B0">
      <w:pPr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S11. Compact mathematical-invariants and dimensional-consistency audit.</w:t>
      </w: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3080"/>
        <w:gridCol w:w="3080"/>
        <w:gridCol w:w="3082"/>
      </w:tblGrid>
      <w:tr w:rsidR="00C11B1F" w:rsidRPr="00344DB5" w:rsidTr="00344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C11B1F" w:rsidRPr="00344DB5" w:rsidRDefault="00C11B1F" w:rsidP="00344DB5">
            <w:pPr>
              <w:spacing w:after="120" w:line="276" w:lineRule="auto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Check</w:t>
            </w:r>
          </w:p>
        </w:tc>
        <w:tc>
          <w:tcPr>
            <w:tcW w:w="1666" w:type="pct"/>
          </w:tcPr>
          <w:p w:rsidR="00C11B1F" w:rsidRPr="00344DB5" w:rsidRDefault="00C11B1F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Result</w:t>
            </w:r>
          </w:p>
        </w:tc>
        <w:tc>
          <w:tcPr>
            <w:tcW w:w="1667" w:type="pct"/>
          </w:tcPr>
          <w:p w:rsidR="00C11B1F" w:rsidRPr="00344DB5" w:rsidRDefault="00C11B1F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Interpretation</w:t>
            </w:r>
          </w:p>
        </w:tc>
      </w:tr>
      <w:tr w:rsidR="00C11B1F" w:rsidRPr="004C581C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C11B1F" w:rsidRPr="00344DB5" w:rsidRDefault="00C11B1F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Shear-stress unit consistency</w:t>
            </w:r>
          </w:p>
        </w:tc>
        <w:tc>
          <w:tcPr>
            <w:tcW w:w="1666" w:type="pct"/>
          </w:tcPr>
          <w:p w:rsidR="00C11B1F" w:rsidRPr="00344DB5" w:rsidRDefault="00C11B1F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max residual = 5.76e-12 kPa after G(MPa)*1000*gamma conversion</w:t>
            </w:r>
          </w:p>
        </w:tc>
        <w:tc>
          <w:tcPr>
            <w:tcW w:w="1667" w:type="pct"/>
          </w:tcPr>
          <w:p w:rsidR="00C11B1F" w:rsidRPr="00E32609" w:rsidRDefault="00C11B1F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Closes the dimensional ambiguity in plotted shear stress.</w:t>
            </w:r>
          </w:p>
        </w:tc>
      </w:tr>
      <w:tr w:rsidR="00C11B1F" w:rsidRPr="004C581C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C11B1F" w:rsidRPr="00344DB5" w:rsidRDefault="00C11B1F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State-variable bounds</w:t>
            </w:r>
          </w:p>
        </w:tc>
        <w:tc>
          <w:tcPr>
            <w:tcW w:w="1666" w:type="pct"/>
          </w:tcPr>
          <w:p w:rsidR="00C11B1F" w:rsidRPr="00E32609" w:rsidRDefault="00C11B1F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saturation, Bishop chi, damage and positivity checks passed</w:t>
            </w:r>
          </w:p>
        </w:tc>
        <w:tc>
          <w:tcPr>
            <w:tcW w:w="1667" w:type="pct"/>
          </w:tcPr>
          <w:p w:rsidR="00C11B1F" w:rsidRPr="00E32609" w:rsidRDefault="00C11B1F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Shows bounded benchmark states within declared model limits.</w:t>
            </w:r>
          </w:p>
        </w:tc>
      </w:tr>
      <w:tr w:rsidR="00C11B1F" w:rsidRPr="004C581C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C11B1F" w:rsidRPr="00E32609" w:rsidRDefault="00C11B1F" w:rsidP="00344DB5">
            <w:pPr>
              <w:spacing w:after="120" w:line="276" w:lineRule="auto"/>
              <w:rPr>
                <w:b w:val="0"/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b w:val="0"/>
                <w:noProof/>
                <w:sz w:val="20"/>
                <w:lang w:val="en-US"/>
              </w:rPr>
              <w:t>Effective-stress identity and irreversibility</w:t>
            </w:r>
          </w:p>
        </w:tc>
        <w:tc>
          <w:tcPr>
            <w:tcW w:w="1666" w:type="pct"/>
          </w:tcPr>
          <w:p w:rsidR="00C11B1F" w:rsidRPr="00E32609" w:rsidRDefault="00C11B1F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p_eff identity residual &lt;= 5.68e-14 kPa; plastic-strain increments non-negative</w:t>
            </w:r>
          </w:p>
        </w:tc>
        <w:tc>
          <w:tcPr>
            <w:tcW w:w="1667" w:type="pct"/>
          </w:tcPr>
          <w:p w:rsidR="00C11B1F" w:rsidRPr="00E32609" w:rsidRDefault="00C11B1F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Verifies the scalar implementation and monotonic plastic-strain accumulation.</w:t>
            </w:r>
          </w:p>
        </w:tc>
      </w:tr>
      <w:tr w:rsidR="00C11B1F" w:rsidRPr="004C581C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C11B1F" w:rsidRPr="00344DB5" w:rsidRDefault="00C11B1F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HMAI bounds</w:t>
            </w:r>
          </w:p>
        </w:tc>
        <w:tc>
          <w:tcPr>
            <w:tcW w:w="1666" w:type="pct"/>
          </w:tcPr>
          <w:p w:rsidR="00C11B1F" w:rsidRPr="00E32609" w:rsidRDefault="00C11B1F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HMAI remains within [0, 1] across scripted cases</w:t>
            </w:r>
          </w:p>
        </w:tc>
        <w:tc>
          <w:tcPr>
            <w:tcW w:w="1667" w:type="pct"/>
          </w:tcPr>
          <w:p w:rsidR="00C11B1F" w:rsidRPr="00E32609" w:rsidRDefault="00C11B1F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Keeps the novelty metric dimensionless and bounded, not a design coefficient.</w:t>
            </w:r>
          </w:p>
        </w:tc>
      </w:tr>
    </w:tbl>
    <w:p w:rsidR="008C351E" w:rsidRPr="00E32609" w:rsidRDefault="00CF1714" w:rsidP="005632B0">
      <w:pPr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S12 summarizes the corresponding evidence or audit item moved from the main manuscript.</w:t>
      </w:r>
    </w:p>
    <w:p w:rsidR="00E6378A" w:rsidRPr="00E32609" w:rsidRDefault="003364A9" w:rsidP="005632B0">
      <w:pPr>
        <w:keepNext/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S12. External literature anchors used to interpret the benchmark without inventing experimental calibration data.</w:t>
      </w: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3082"/>
        <w:gridCol w:w="3081"/>
        <w:gridCol w:w="3079"/>
      </w:tblGrid>
      <w:tr w:rsidR="00E6378A" w:rsidRPr="00344DB5" w:rsidTr="00344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E6378A" w:rsidRPr="00344DB5" w:rsidRDefault="00D6580A" w:rsidP="00344DB5">
            <w:pPr>
              <w:spacing w:after="120" w:line="276" w:lineRule="auto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Literature anchor</w:t>
            </w:r>
          </w:p>
        </w:tc>
        <w:tc>
          <w:tcPr>
            <w:tcW w:w="1667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Observed or modelled mechanism</w:t>
            </w:r>
          </w:p>
        </w:tc>
        <w:tc>
          <w:tcPr>
            <w:tcW w:w="1666" w:type="pct"/>
          </w:tcPr>
          <w:p w:rsidR="00E6378A" w:rsidRPr="00344DB5" w:rsidRDefault="00D6580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Representation in this paper</w:t>
            </w:r>
          </w:p>
        </w:tc>
      </w:tr>
      <w:tr w:rsidR="00E6378A" w:rsidRPr="004C581C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E6378A" w:rsidRPr="00E32609" w:rsidRDefault="00D6580A" w:rsidP="00344DB5">
            <w:pPr>
              <w:spacing w:after="120" w:line="276" w:lineRule="auto"/>
              <w:rPr>
                <w:b w:val="0"/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b w:val="0"/>
                <w:noProof/>
                <w:sz w:val="20"/>
                <w:lang w:val="en-US"/>
              </w:rPr>
              <w:t>Barcelona Basic Model and BBM implementations</w:t>
            </w:r>
          </w:p>
        </w:tc>
        <w:tc>
          <w:tcPr>
            <w:tcW w:w="1667" w:type="pct"/>
          </w:tcPr>
          <w:p w:rsidR="00E6378A" w:rsidRPr="00E32609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Suction-dependent yield stress, collapse on wetting and elastoplastic hydro-mechanical coupling</w:t>
            </w:r>
          </w:p>
        </w:tc>
        <w:tc>
          <w:tcPr>
            <w:tcW w:w="1666" w:type="pct"/>
          </w:tcPr>
          <w:p w:rsidR="00E6378A" w:rsidRPr="00E32609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Suction hardening, preconsolidation update and wetting-collapse tendency</w:t>
            </w:r>
          </w:p>
        </w:tc>
      </w:tr>
      <w:tr w:rsidR="00E6378A" w:rsidRPr="004C581C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E6378A" w:rsidRPr="00E32609" w:rsidRDefault="00D6580A" w:rsidP="00344DB5">
            <w:pPr>
              <w:spacing w:after="120" w:line="276" w:lineRule="auto"/>
              <w:rPr>
                <w:b w:val="0"/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b w:val="0"/>
                <w:noProof/>
                <w:sz w:val="20"/>
                <w:lang w:val="en-US"/>
              </w:rPr>
              <w:t>Extended BBM under cyclic loading</w:t>
            </w:r>
          </w:p>
        </w:tc>
        <w:tc>
          <w:tcPr>
            <w:tcW w:w="1667" w:type="pct"/>
          </w:tcPr>
          <w:p w:rsidR="00E6378A" w:rsidRPr="00E32609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Need for internal variables to represent cyclic effects under unsaturated conditions</w:t>
            </w:r>
          </w:p>
        </w:tc>
        <w:tc>
          <w:tcPr>
            <w:tcW w:w="1666" w:type="pct"/>
          </w:tcPr>
          <w:p w:rsidR="00E6378A" w:rsidRPr="00E32609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Seismic cyclic damage and plastic-strain accumulation index</w:t>
            </w:r>
          </w:p>
        </w:tc>
      </w:tr>
      <w:tr w:rsidR="00E6378A" w:rsidRPr="004C581C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E6378A" w:rsidRPr="00E32609" w:rsidRDefault="00D6580A" w:rsidP="00344DB5">
            <w:pPr>
              <w:spacing w:after="120" w:line="276" w:lineRule="auto"/>
              <w:rPr>
                <w:b w:val="0"/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b w:val="0"/>
                <w:noProof/>
                <w:sz w:val="20"/>
                <w:lang w:val="en-US"/>
              </w:rPr>
              <w:t>Suction-controlled cyclic triaxial/simple-shear testing</w:t>
            </w:r>
          </w:p>
        </w:tc>
        <w:tc>
          <w:tcPr>
            <w:tcW w:w="1667" w:type="pct"/>
          </w:tcPr>
          <w:p w:rsidR="00E6378A" w:rsidRPr="00E32609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Dynamic stiffness and cyclic resistance vary with suction and degree of saturation</w:t>
            </w:r>
          </w:p>
        </w:tc>
        <w:tc>
          <w:tcPr>
            <w:tcW w:w="1666" w:type="pct"/>
          </w:tcPr>
          <w:p w:rsidR="00E6378A" w:rsidRPr="00E32609" w:rsidRDefault="00D6580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Hysteretic retention, Bishop chi and stiffness evolution under cyclic demand</w:t>
            </w:r>
          </w:p>
        </w:tc>
      </w:tr>
      <w:tr w:rsidR="00E6378A" w:rsidRPr="004C581C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E6378A" w:rsidRPr="00344DB5" w:rsidRDefault="00D6580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van Genuchten-Mualem hydraulic models</w:t>
            </w:r>
          </w:p>
        </w:tc>
        <w:tc>
          <w:tcPr>
            <w:tcW w:w="1667" w:type="pct"/>
          </w:tcPr>
          <w:p w:rsidR="00E6378A" w:rsidRPr="00E32609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Closed-form retention/conductivity functions govern saturation changes</w:t>
            </w:r>
          </w:p>
        </w:tc>
        <w:tc>
          <w:tcPr>
            <w:tcW w:w="1666" w:type="pct"/>
          </w:tcPr>
          <w:p w:rsidR="00E6378A" w:rsidRPr="00E32609" w:rsidRDefault="00D6580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Component verification of the retention law and path-dependent saturation</w:t>
            </w:r>
          </w:p>
        </w:tc>
      </w:tr>
    </w:tbl>
    <w:p w:rsidR="008C351E" w:rsidRPr="00E32609" w:rsidRDefault="00CF1714" w:rsidP="005632B0">
      <w:pPr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S13 summarizes the corresponding evidence or audit item moved from the main manuscript.</w:t>
      </w:r>
    </w:p>
    <w:p w:rsidR="00F07F2A" w:rsidRPr="00E32609" w:rsidRDefault="003364A9" w:rsidP="005632B0">
      <w:pPr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S13. Claim-evidence passport for reviewer interpretation.</w:t>
      </w: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3080"/>
        <w:gridCol w:w="3080"/>
        <w:gridCol w:w="3082"/>
      </w:tblGrid>
      <w:tr w:rsidR="00F07F2A" w:rsidRPr="00344DB5" w:rsidTr="00344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F2A" w:rsidRPr="00E32609" w:rsidRDefault="00F07F2A" w:rsidP="00344DB5">
            <w:pPr>
              <w:spacing w:after="120" w:line="276" w:lineRule="auto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Claim allowed in this paper</w:t>
            </w:r>
          </w:p>
        </w:tc>
        <w:tc>
          <w:tcPr>
            <w:tcW w:w="1666" w:type="pct"/>
          </w:tcPr>
          <w:p w:rsidR="00F07F2A" w:rsidRPr="00344DB5" w:rsidRDefault="00F07F2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Evidence supporting the claim</w:t>
            </w:r>
          </w:p>
        </w:tc>
        <w:tc>
          <w:tcPr>
            <w:tcW w:w="1667" w:type="pct"/>
          </w:tcPr>
          <w:p w:rsidR="00F07F2A" w:rsidRPr="00344DB5" w:rsidRDefault="00F07F2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Prohibited extrapolation</w:t>
            </w:r>
          </w:p>
        </w:tc>
      </w:tr>
      <w:tr w:rsidR="00F07F2A" w:rsidRPr="004C581C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F2A" w:rsidRPr="00344DB5" w:rsidRDefault="00F07F2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Reproducible material-point benchmark</w:t>
            </w:r>
          </w:p>
        </w:tc>
        <w:tc>
          <w:tcPr>
            <w:tcW w:w="1666" w:type="pct"/>
          </w:tcPr>
          <w:p w:rsidR="00F07F2A" w:rsidRPr="00E32609" w:rsidRDefault="00862310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run_all.py, regenerated CSV histories, summary tables, figures and software-verification files</w:t>
            </w:r>
          </w:p>
        </w:tc>
        <w:tc>
          <w:tcPr>
            <w:tcW w:w="1667" w:type="pct"/>
          </w:tcPr>
          <w:p w:rsidR="00F07F2A" w:rsidRPr="00E32609" w:rsidRDefault="00F07F2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Do not claim calibrated prediction for a named soil.</w:t>
            </w:r>
          </w:p>
        </w:tc>
      </w:tr>
      <w:tr w:rsidR="00F07F2A" w:rsidRPr="004C581C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F2A" w:rsidRPr="00344DB5" w:rsidRDefault="00F07F2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Internal component verification</w:t>
            </w:r>
          </w:p>
        </w:tc>
        <w:tc>
          <w:tcPr>
            <w:tcW w:w="1666" w:type="pct"/>
          </w:tcPr>
          <w:p w:rsidR="00F07F2A" w:rsidRPr="00E32609" w:rsidRDefault="00F07F2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Retention and suction-hardening closed-form checks; preconsolidation-pressure consistency audit</w:t>
            </w:r>
          </w:p>
        </w:tc>
        <w:tc>
          <w:tcPr>
            <w:tcW w:w="1667" w:type="pct"/>
          </w:tcPr>
          <w:p w:rsidR="00F07F2A" w:rsidRPr="00E32609" w:rsidRDefault="00F07F2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Do not treat verification as experimental validation.</w:t>
            </w:r>
          </w:p>
        </w:tc>
      </w:tr>
      <w:tr w:rsidR="00F07F2A" w:rsidRPr="004C581C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F2A" w:rsidRPr="00344DB5" w:rsidRDefault="00F07F2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 xml:space="preserve">External </w:t>
            </w:r>
            <w:r w:rsidR="008805EA" w:rsidRPr="00344DB5">
              <w:rPr>
                <w:rFonts w:cs="Times New Roman"/>
                <w:b w:val="0"/>
                <w:noProof/>
                <w:sz w:val="20"/>
              </w:rPr>
              <w:t>plausibility envelope</w:t>
            </w:r>
          </w:p>
        </w:tc>
        <w:tc>
          <w:tcPr>
            <w:tcW w:w="1666" w:type="pct"/>
          </w:tcPr>
          <w:p w:rsidR="00F07F2A" w:rsidRPr="00E32609" w:rsidRDefault="00F07F2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Published cyclic and hydraulic trend sources; partial suction-level direction check</w:t>
            </w:r>
          </w:p>
        </w:tc>
        <w:tc>
          <w:tcPr>
            <w:tcW w:w="1667" w:type="pct"/>
          </w:tcPr>
          <w:p w:rsidR="00F07F2A" w:rsidRPr="00E32609" w:rsidRDefault="00F07F2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Do not claim blind validation or parameter identification.</w:t>
            </w:r>
          </w:p>
        </w:tc>
      </w:tr>
      <w:tr w:rsidR="00F07F2A" w:rsidRPr="004C581C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F2A" w:rsidRPr="00344DB5" w:rsidRDefault="00F07F2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Geotechnical relevance</w:t>
            </w:r>
          </w:p>
        </w:tc>
        <w:tc>
          <w:tcPr>
            <w:tcW w:w="1666" w:type="pct"/>
          </w:tcPr>
          <w:p w:rsidR="00F07F2A" w:rsidRPr="00E32609" w:rsidRDefault="00F07F2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Near-surface unsaturated deposits, slopes, embankments, corridors and shallow foundations identified as target contexts</w:t>
            </w:r>
          </w:p>
        </w:tc>
        <w:tc>
          <w:tcPr>
            <w:tcW w:w="1667" w:type="pct"/>
          </w:tcPr>
          <w:p w:rsidR="00F07F2A" w:rsidRPr="00E32609" w:rsidRDefault="00F07F2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Do not claim site-response, design approval or seismic safety certification.</w:t>
            </w:r>
          </w:p>
        </w:tc>
      </w:tr>
      <w:tr w:rsidR="00F07F2A" w:rsidRPr="004C581C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:rsidR="00F07F2A" w:rsidRPr="00344DB5" w:rsidRDefault="00F07F2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Practical next use</w:t>
            </w:r>
          </w:p>
        </w:tc>
        <w:tc>
          <w:tcPr>
            <w:tcW w:w="1666" w:type="pct"/>
          </w:tcPr>
          <w:p w:rsidR="00F07F2A" w:rsidRPr="00E32609" w:rsidRDefault="00F07F2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Calibrate retention, hardening, collapse and cyclic-damage constants before boundary-value use</w:t>
            </w:r>
          </w:p>
        </w:tc>
        <w:tc>
          <w:tcPr>
            <w:tcW w:w="1667" w:type="pct"/>
          </w:tcPr>
          <w:p w:rsidR="00F07F2A" w:rsidRPr="00E32609" w:rsidRDefault="00F07F2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Do not use declared benchmark parameters as project-specific design parameters.</w:t>
            </w:r>
          </w:p>
        </w:tc>
      </w:tr>
    </w:tbl>
    <w:p w:rsidR="008C351E" w:rsidRPr="00E32609" w:rsidRDefault="00CF1714" w:rsidP="005632B0">
      <w:pPr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S14 summarizes the corresponding evidence or audit item moved from the main manuscript.</w:t>
      </w:r>
    </w:p>
    <w:p w:rsidR="00026CB9" w:rsidRPr="00E32609" w:rsidRDefault="003364A9" w:rsidP="005632B0">
      <w:pPr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S14. Recent direct-cyclic evidence gate and state-of-art comparison used to bound novelty and evidence claims.</w:t>
      </w: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026CB9" w:rsidRPr="00344DB5" w:rsidTr="00344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026CB9" w:rsidRPr="00344DB5" w:rsidRDefault="008805EA" w:rsidP="00344DB5">
            <w:pPr>
              <w:spacing w:after="120" w:line="276" w:lineRule="auto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lastRenderedPageBreak/>
              <w:t>Comparator</w:t>
            </w:r>
          </w:p>
        </w:tc>
        <w:tc>
          <w:tcPr>
            <w:tcW w:w="1250" w:type="pct"/>
          </w:tcPr>
          <w:p w:rsidR="00026CB9" w:rsidRPr="00344DB5" w:rsidRDefault="008805E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Direct cyclic evidence</w:t>
            </w:r>
          </w:p>
        </w:tc>
        <w:tc>
          <w:tcPr>
            <w:tcW w:w="1250" w:type="pct"/>
          </w:tcPr>
          <w:p w:rsidR="00026CB9" w:rsidRPr="00344DB5" w:rsidRDefault="008805E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Reproducibility status</w:t>
            </w:r>
          </w:p>
        </w:tc>
        <w:tc>
          <w:tcPr>
            <w:tcW w:w="1250" w:type="pct"/>
          </w:tcPr>
          <w:p w:rsidR="00026CB9" w:rsidRPr="00344DB5" w:rsidRDefault="008805E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Implication for this paper</w:t>
            </w:r>
          </w:p>
        </w:tc>
      </w:tr>
      <w:tr w:rsidR="00026CB9" w:rsidRPr="004C581C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026CB9" w:rsidRPr="00344DB5" w:rsidRDefault="008805E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Current package</w:t>
            </w:r>
          </w:p>
        </w:tc>
        <w:tc>
          <w:tcPr>
            <w:tcW w:w="1250" w:type="pct"/>
          </w:tcPr>
          <w:p w:rsidR="00026CB9" w:rsidRPr="00E32609" w:rsidRDefault="008805E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No blind external cyclic time-history fit</w:t>
            </w:r>
          </w:p>
        </w:tc>
        <w:tc>
          <w:tcPr>
            <w:tcW w:w="1250" w:type="pct"/>
          </w:tcPr>
          <w:p w:rsidR="00026CB9" w:rsidRPr="00E32609" w:rsidRDefault="008805E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Full local scripts, CSVs, figures and logs bundled</w:t>
            </w:r>
          </w:p>
        </w:tc>
        <w:tc>
          <w:tcPr>
            <w:tcW w:w="1250" w:type="pct"/>
          </w:tcPr>
          <w:p w:rsidR="00026CB9" w:rsidRPr="00E32609" w:rsidRDefault="008805E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Supports Plausibility-Envelope and reproducibility claims only</w:t>
            </w:r>
          </w:p>
        </w:tc>
      </w:tr>
      <w:tr w:rsidR="00026CB9" w:rsidRPr="004C581C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026CB9" w:rsidRPr="00344DB5" w:rsidRDefault="008805E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Kinikles, Rong and McCartney (2024)</w:t>
            </w:r>
          </w:p>
        </w:tc>
        <w:tc>
          <w:tcPr>
            <w:tcW w:w="1250" w:type="pct"/>
          </w:tcPr>
          <w:p w:rsidR="00026CB9" w:rsidRPr="00E32609" w:rsidRDefault="008805E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Undrained cyclic simple shear, 200 cycles, saturation range 0.00-0.56</w:t>
            </w:r>
          </w:p>
        </w:tc>
        <w:tc>
          <w:tcPr>
            <w:tcW w:w="1250" w:type="pct"/>
          </w:tcPr>
          <w:p w:rsidR="00026CB9" w:rsidRPr="00E32609" w:rsidRDefault="008805E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Open article and downloaded figures; raw time histories are data-on-request</w:t>
            </w:r>
          </w:p>
        </w:tc>
        <w:tc>
          <w:tcPr>
            <w:tcW w:w="1250" w:type="pct"/>
          </w:tcPr>
          <w:p w:rsidR="00026CB9" w:rsidRPr="00E32609" w:rsidRDefault="008805E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Defines the next evidence target; not passed here as calibrated prediction</w:t>
            </w:r>
          </w:p>
        </w:tc>
      </w:tr>
      <w:tr w:rsidR="00026CB9" w:rsidRPr="004C581C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026CB9" w:rsidRPr="00344DB5" w:rsidRDefault="008805E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Chen et al. (2024)</w:t>
            </w:r>
          </w:p>
        </w:tc>
        <w:tc>
          <w:tcPr>
            <w:tcW w:w="1250" w:type="pct"/>
          </w:tcPr>
          <w:p w:rsidR="00026CB9" w:rsidRPr="00E32609" w:rsidRDefault="008805E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Repeated-load triaxial and cyclic simple-shear comparisons</w:t>
            </w:r>
          </w:p>
        </w:tc>
        <w:tc>
          <w:tcPr>
            <w:tcW w:w="1250" w:type="pct"/>
          </w:tcPr>
          <w:p w:rsidR="00026CB9" w:rsidRPr="00E32609" w:rsidRDefault="008805E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Open article/PDF and parsed public supplementary DOCX; raw cyclic time histories are data-on-request</w:t>
            </w:r>
          </w:p>
        </w:tc>
        <w:tc>
          <w:tcPr>
            <w:tcW w:w="1250" w:type="pct"/>
          </w:tcPr>
          <w:p w:rsidR="00026CB9" w:rsidRPr="00E32609" w:rsidRDefault="008805E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Recent novelty comparator with audited calibration supplement; this paper must not claim to be the first cyclic hardening law</w:t>
            </w:r>
          </w:p>
        </w:tc>
      </w:tr>
    </w:tbl>
    <w:p w:rsidR="008C351E" w:rsidRPr="00E32609" w:rsidRDefault="00CF1714" w:rsidP="005632B0">
      <w:pPr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S15 summarizes the corresponding evidence or audit item moved from the main manuscript.</w:t>
      </w:r>
    </w:p>
    <w:p w:rsidR="00026CB9" w:rsidRPr="00E32609" w:rsidRDefault="003364A9" w:rsidP="005632B0">
      <w:pPr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S15. Direct Rong/McCartney cyclic experimental program audit added to the reproducibility package.</w:t>
      </w: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026CB9" w:rsidRPr="004C581C" w:rsidTr="00344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026CB9" w:rsidRPr="00344DB5" w:rsidRDefault="008805EA" w:rsidP="00344DB5">
            <w:pPr>
              <w:spacing w:after="120" w:line="276" w:lineRule="auto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Source</w:t>
            </w:r>
          </w:p>
        </w:tc>
        <w:tc>
          <w:tcPr>
            <w:tcW w:w="1250" w:type="pct"/>
          </w:tcPr>
          <w:p w:rsidR="00026CB9" w:rsidRPr="00344DB5" w:rsidRDefault="008805E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Exact cyclic evidence added</w:t>
            </w:r>
          </w:p>
        </w:tc>
        <w:tc>
          <w:tcPr>
            <w:tcW w:w="1250" w:type="pct"/>
          </w:tcPr>
          <w:p w:rsidR="00026CB9" w:rsidRPr="00344DB5" w:rsidRDefault="008805E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What it proves</w:t>
            </w:r>
          </w:p>
        </w:tc>
        <w:tc>
          <w:tcPr>
            <w:tcW w:w="1250" w:type="pct"/>
          </w:tcPr>
          <w:p w:rsidR="00026CB9" w:rsidRPr="00E32609" w:rsidRDefault="008805E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What it does not prove</w:t>
            </w:r>
          </w:p>
        </w:tc>
      </w:tr>
      <w:tr w:rsidR="00026CB9" w:rsidRPr="004C581C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026CB9" w:rsidRPr="00344DB5" w:rsidRDefault="008805E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Rong UCSD dissertation</w:t>
            </w:r>
          </w:p>
        </w:tc>
        <w:tc>
          <w:tcPr>
            <w:tcW w:w="1250" w:type="pct"/>
          </w:tcPr>
          <w:p w:rsidR="00026CB9" w:rsidRPr="00E32609" w:rsidRDefault="008805E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12 undrained cyclic simple-shear initial-condition rows; 200 cycles at 1% cyclic shear strain</w:t>
            </w:r>
          </w:p>
        </w:tc>
        <w:tc>
          <w:tcPr>
            <w:tcW w:w="1250" w:type="pct"/>
          </w:tcPr>
          <w:p w:rsidR="00026CB9" w:rsidRPr="00E32609" w:rsidRDefault="008805E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Direct undrained cyclic state-space coverage from saturation 0.00-0.94 and suction 0.04-100 kPa</w:t>
            </w:r>
          </w:p>
        </w:tc>
        <w:tc>
          <w:tcPr>
            <w:tcW w:w="1250" w:type="pct"/>
          </w:tcPr>
          <w:p w:rsidR="00026CB9" w:rsidRPr="00E32609" w:rsidRDefault="008805E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No public raw response time histories were extracted from the PDF</w:t>
            </w:r>
          </w:p>
        </w:tc>
      </w:tr>
      <w:tr w:rsidR="00026CB9" w:rsidRPr="004C581C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026CB9" w:rsidRPr="00344DB5" w:rsidRDefault="008805E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Rong and McCartney (2019) E3S</w:t>
            </w:r>
          </w:p>
        </w:tc>
        <w:tc>
          <w:tcPr>
            <w:tcW w:w="1250" w:type="pct"/>
          </w:tcPr>
          <w:p w:rsidR="00026CB9" w:rsidRPr="00E32609" w:rsidRDefault="008805E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16 drained constant-suction cyclic simple-shear rows; 200 cycles at 0.3-5% strain</w:t>
            </w:r>
          </w:p>
        </w:tc>
        <w:tc>
          <w:tcPr>
            <w:tcW w:w="1250" w:type="pct"/>
          </w:tcPr>
          <w:p w:rsidR="00026CB9" w:rsidRPr="00E32609" w:rsidRDefault="008805E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Direct drained cyclic suction and amplitude coverage</w:t>
            </w:r>
          </w:p>
        </w:tc>
        <w:tc>
          <w:tcPr>
            <w:tcW w:w="1250" w:type="pct"/>
          </w:tcPr>
          <w:p w:rsidR="00026CB9" w:rsidRPr="00E32609" w:rsidRDefault="008805E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Not a calibrated fit of the present benchmark to measured volumetric-strain histories</w:t>
            </w:r>
          </w:p>
        </w:tc>
      </w:tr>
      <w:tr w:rsidR="00026CB9" w:rsidRPr="004C581C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026CB9" w:rsidRPr="00344DB5" w:rsidRDefault="008805E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PEER 2022/05 McCartney report</w:t>
            </w:r>
          </w:p>
        </w:tc>
        <w:tc>
          <w:tcPr>
            <w:tcW w:w="1250" w:type="pct"/>
          </w:tcPr>
          <w:p w:rsidR="00026CB9" w:rsidRPr="00E32609" w:rsidRDefault="008805E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Open model/data comparison figures and trend statements</w:t>
            </w:r>
          </w:p>
        </w:tc>
        <w:tc>
          <w:tcPr>
            <w:tcW w:w="1250" w:type="pct"/>
          </w:tcPr>
          <w:p w:rsidR="00026CB9" w:rsidRPr="00E32609" w:rsidRDefault="008805E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 xml:space="preserve">Defines the strongest next digitization target for </w:t>
            </w:r>
            <w:r w:rsidR="001440EE" w:rsidRPr="00E32609">
              <w:rPr>
                <w:rFonts w:cs="Times New Roman"/>
                <w:noProof/>
                <w:sz w:val="20"/>
                <w:lang w:val="en-US"/>
              </w:rPr>
              <w:t>stronger external-evidence support</w:t>
            </w:r>
          </w:p>
        </w:tc>
        <w:tc>
          <w:tcPr>
            <w:tcW w:w="1250" w:type="pct"/>
          </w:tcPr>
          <w:p w:rsidR="00026CB9" w:rsidRPr="00E32609" w:rsidRDefault="008805E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Figure evidence must be digitized with uncertainty before being called a quantitative envelope check</w:t>
            </w:r>
          </w:p>
        </w:tc>
      </w:tr>
    </w:tbl>
    <w:p w:rsidR="008C351E" w:rsidRPr="00E32609" w:rsidRDefault="00CF1714" w:rsidP="005632B0">
      <w:pPr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S16 summarizes the corresponding evidence or audit item moved from the main manuscript.</w:t>
      </w:r>
    </w:p>
    <w:p w:rsidR="00026CB9" w:rsidRPr="00E32609" w:rsidRDefault="003364A9" w:rsidP="005632B0">
      <w:pPr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Table S16. Digitized Kinikles et al. (2024) Figure 12(a) volumetric-strain envelope.</w:t>
      </w: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3082"/>
        <w:gridCol w:w="3081"/>
        <w:gridCol w:w="3079"/>
      </w:tblGrid>
      <w:tr w:rsidR="00026CB9" w:rsidRPr="00344DB5" w:rsidTr="00344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026CB9" w:rsidRPr="00344DB5" w:rsidRDefault="008805EA" w:rsidP="00344DB5">
            <w:pPr>
              <w:spacing w:after="120" w:line="276" w:lineRule="auto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Item</w:t>
            </w:r>
          </w:p>
        </w:tc>
        <w:tc>
          <w:tcPr>
            <w:tcW w:w="1667" w:type="pct"/>
          </w:tcPr>
          <w:p w:rsidR="00026CB9" w:rsidRPr="00344DB5" w:rsidRDefault="008805EA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Digitized evidence</w:t>
            </w:r>
          </w:p>
        </w:tc>
        <w:tc>
          <w:tcPr>
            <w:tcW w:w="1666" w:type="pct"/>
          </w:tcPr>
          <w:p w:rsidR="00026CB9" w:rsidRPr="00344DB5" w:rsidRDefault="001440EE" w:rsidP="00344DB5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</w:rPr>
            </w:pPr>
            <w:r w:rsidRPr="00344DB5">
              <w:rPr>
                <w:rFonts w:cs="Times New Roman"/>
                <w:noProof/>
                <w:sz w:val="20"/>
              </w:rPr>
              <w:t>Interpretation boundary</w:t>
            </w:r>
          </w:p>
        </w:tc>
      </w:tr>
      <w:tr w:rsidR="00026CB9" w:rsidRPr="004C581C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026CB9" w:rsidRPr="00344DB5" w:rsidRDefault="008805E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Point cloud</w:t>
            </w:r>
          </w:p>
        </w:tc>
        <w:tc>
          <w:tcPr>
            <w:tcW w:w="1667" w:type="pct"/>
          </w:tcPr>
          <w:p w:rsidR="00026CB9" w:rsidRPr="00E32609" w:rsidRDefault="008805E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22 manually digitized open-figure points across 6 initial-saturation groups</w:t>
            </w:r>
          </w:p>
        </w:tc>
        <w:tc>
          <w:tcPr>
            <w:tcW w:w="1666" w:type="pct"/>
          </w:tcPr>
          <w:p w:rsidR="00026CB9" w:rsidRPr="00E32609" w:rsidRDefault="008805E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Direct cyclic figure evidence added; cycle assignment is not reliable from the grayscale marker reproduction</w:t>
            </w:r>
          </w:p>
        </w:tc>
      </w:tr>
      <w:tr w:rsidR="00026CB9" w:rsidRPr="004C581C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026CB9" w:rsidRPr="00344DB5" w:rsidRDefault="008805E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Observed envelope</w:t>
            </w:r>
          </w:p>
        </w:tc>
        <w:tc>
          <w:tcPr>
            <w:tcW w:w="1667" w:type="pct"/>
          </w:tcPr>
          <w:p w:rsidR="00026CB9" w:rsidRPr="00E32609" w:rsidRDefault="008805E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Maximum digitized volumetric strain is 1.87% at the S0 = 0.40 group; median peak also occurs at S0 = 0.40</w:t>
            </w:r>
          </w:p>
        </w:tc>
        <w:tc>
          <w:tcPr>
            <w:tcW w:w="1666" w:type="pct"/>
          </w:tcPr>
          <w:p w:rsidR="00026CB9" w:rsidRPr="00E32609" w:rsidRDefault="008805E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Supports the external nonmonotonic saturation-dependence gate</w:t>
            </w:r>
          </w:p>
        </w:tc>
      </w:tr>
      <w:tr w:rsidR="00026CB9" w:rsidRPr="004C581C" w:rsidTr="0034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026CB9" w:rsidRPr="00344DB5" w:rsidRDefault="008805E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Uncertainty</w:t>
            </w:r>
          </w:p>
        </w:tc>
        <w:tc>
          <w:tcPr>
            <w:tcW w:w="1667" w:type="pct"/>
          </w:tcPr>
          <w:p w:rsidR="00026CB9" w:rsidRPr="00E32609" w:rsidRDefault="008805E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Pixel digitization uncertainty is recorded as +/-0.008 S0 and +/-0.076% volumetric strain</w:t>
            </w:r>
          </w:p>
        </w:tc>
        <w:tc>
          <w:tcPr>
            <w:tcW w:w="1666" w:type="pct"/>
          </w:tcPr>
          <w:p w:rsidR="00026CB9" w:rsidRPr="00E32609" w:rsidRDefault="008805EA" w:rsidP="00344DB5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Usable for a transparent figure-based comparison, not for design calibration</w:t>
            </w:r>
          </w:p>
        </w:tc>
      </w:tr>
      <w:tr w:rsidR="00026CB9" w:rsidRPr="004C581C" w:rsidTr="00344DB5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026CB9" w:rsidRPr="00344DB5" w:rsidRDefault="008805EA" w:rsidP="00344DB5">
            <w:pPr>
              <w:spacing w:after="120" w:line="276" w:lineRule="auto"/>
              <w:rPr>
                <w:b w:val="0"/>
                <w:noProof/>
                <w:sz w:val="20"/>
              </w:rPr>
            </w:pPr>
            <w:r w:rsidRPr="00344DB5">
              <w:rPr>
                <w:rFonts w:cs="Times New Roman"/>
                <w:b w:val="0"/>
                <w:noProof/>
                <w:sz w:val="20"/>
              </w:rPr>
              <w:t>Claim boundary</w:t>
            </w:r>
          </w:p>
        </w:tc>
        <w:tc>
          <w:tcPr>
            <w:tcW w:w="1667" w:type="pct"/>
          </w:tcPr>
          <w:p w:rsidR="00026CB9" w:rsidRPr="00E32609" w:rsidRDefault="008805E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Raw time histories remain unavailable in the downloaded sources</w:t>
            </w:r>
          </w:p>
        </w:tc>
        <w:tc>
          <w:tcPr>
            <w:tcW w:w="1666" w:type="pct"/>
          </w:tcPr>
          <w:p w:rsidR="00026CB9" w:rsidRPr="00E32609" w:rsidRDefault="008805EA" w:rsidP="00344DB5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20"/>
                <w:lang w:val="en-US"/>
              </w:rPr>
            </w:pPr>
            <w:r w:rsidRPr="00E32609">
              <w:rPr>
                <w:rFonts w:cs="Times New Roman"/>
                <w:noProof/>
                <w:sz w:val="20"/>
                <w:lang w:val="en-US"/>
              </w:rPr>
              <w:t>The manuscript must not claim blind calibrated prediction of Kinikles et al. response histories</w:t>
            </w:r>
          </w:p>
        </w:tc>
      </w:tr>
    </w:tbl>
    <w:p w:rsidR="008C351E" w:rsidRPr="00E32609" w:rsidRDefault="00CF1714" w:rsidP="005632B0">
      <w:pPr>
        <w:spacing w:after="120"/>
        <w:jc w:val="both"/>
        <w:rPr>
          <w:lang w:val="en-US"/>
        </w:rPr>
      </w:pPr>
      <w:r w:rsidRPr="00E32609">
        <w:rPr>
          <w:rFonts w:cs="Times New Roman"/>
          <w:lang w:val="en-US"/>
        </w:rPr>
        <w:t>Supplementary Figure S1 reports the corresponding graphical validation evidence for the external-evidence workflow.</w:t>
      </w:r>
    </w:p>
    <w:p w:rsidR="008C351E" w:rsidRDefault="00CF1714" w:rsidP="005632B0">
      <w:pPr>
        <w:spacing w:after="120"/>
        <w:jc w:val="both"/>
      </w:pPr>
      <w:r>
        <w:rPr>
          <w:noProof/>
          <w:lang w:val="es-PA" w:eastAsia="es-PA"/>
        </w:rPr>
        <w:drawing>
          <wp:inline distT="0" distB="0" distL="0" distR="0">
            <wp:extent cx="5715000" cy="41275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327" w:rsidRPr="00E32609" w:rsidRDefault="003364A9" w:rsidP="005632B0">
      <w:pPr>
        <w:spacing w:after="120"/>
        <w:jc w:val="both"/>
        <w:rPr>
          <w:sz w:val="20"/>
          <w:lang w:val="en-US"/>
        </w:rPr>
      </w:pPr>
      <w:r w:rsidRPr="00E32609">
        <w:rPr>
          <w:rFonts w:cs="Times New Roman"/>
          <w:lang w:val="en-US"/>
        </w:rPr>
        <w:t>Supplementary Figure S1. Bounded external-evidence scorecard. Row scores are evidence-layer gates and the overall score is the mean of the reported evidence-layer scores; the figure is not a calibrated design-validation grade.</w:t>
      </w:r>
    </w:p>
    <w:sectPr w:rsidR="00C57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05D8" w:rsidRDefault="00EE05D8">
      <w:pPr>
        <w:spacing w:after="0" w:line="240" w:lineRule="auto"/>
      </w:pPr>
      <w:r>
        <w:separator/>
      </w:r>
    </w:p>
  </w:endnote>
  <w:endnote w:type="continuationSeparator" w:id="0">
    <w:p w:rsidR="00EE05D8" w:rsidRDefault="00EE0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05D8" w:rsidRDefault="00EE05D8">
      <w:r>
        <w:separator/>
      </w:r>
    </w:p>
  </w:footnote>
  <w:footnote w:type="continuationSeparator" w:id="0">
    <w:p w:rsidR="00EE05D8" w:rsidRDefault="00EE05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1A62608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A99411"/>
    <w:multiLevelType w:val="multilevel"/>
    <w:tmpl w:val="579A4A7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6CB9"/>
    <w:rsid w:val="00034616"/>
    <w:rsid w:val="0006063C"/>
    <w:rsid w:val="000A6934"/>
    <w:rsid w:val="000A7F31"/>
    <w:rsid w:val="001440EE"/>
    <w:rsid w:val="0015074B"/>
    <w:rsid w:val="00213136"/>
    <w:rsid w:val="00256B0D"/>
    <w:rsid w:val="00265EFA"/>
    <w:rsid w:val="0029639D"/>
    <w:rsid w:val="002D6253"/>
    <w:rsid w:val="00300030"/>
    <w:rsid w:val="00326F90"/>
    <w:rsid w:val="003364A9"/>
    <w:rsid w:val="00344DB5"/>
    <w:rsid w:val="00444563"/>
    <w:rsid w:val="004C581C"/>
    <w:rsid w:val="005204C1"/>
    <w:rsid w:val="00537CF3"/>
    <w:rsid w:val="005632B0"/>
    <w:rsid w:val="0058537C"/>
    <w:rsid w:val="00626DAC"/>
    <w:rsid w:val="006A162E"/>
    <w:rsid w:val="007060D4"/>
    <w:rsid w:val="00761122"/>
    <w:rsid w:val="00772DA5"/>
    <w:rsid w:val="00782449"/>
    <w:rsid w:val="00862310"/>
    <w:rsid w:val="008805EA"/>
    <w:rsid w:val="0089740A"/>
    <w:rsid w:val="008C351E"/>
    <w:rsid w:val="008C54BC"/>
    <w:rsid w:val="008D79F6"/>
    <w:rsid w:val="009A5DE5"/>
    <w:rsid w:val="009D77C4"/>
    <w:rsid w:val="00A0641C"/>
    <w:rsid w:val="00A3194F"/>
    <w:rsid w:val="00AA1D8D"/>
    <w:rsid w:val="00AF7575"/>
    <w:rsid w:val="00B02351"/>
    <w:rsid w:val="00B47730"/>
    <w:rsid w:val="00BF6989"/>
    <w:rsid w:val="00C11B1F"/>
    <w:rsid w:val="00C577BD"/>
    <w:rsid w:val="00C95F51"/>
    <w:rsid w:val="00CB0664"/>
    <w:rsid w:val="00CF1714"/>
    <w:rsid w:val="00D27612"/>
    <w:rsid w:val="00D46327"/>
    <w:rsid w:val="00D6580A"/>
    <w:rsid w:val="00D93E37"/>
    <w:rsid w:val="00DD4504"/>
    <w:rsid w:val="00E13F45"/>
    <w:rsid w:val="00E32609"/>
    <w:rsid w:val="00E6378A"/>
    <w:rsid w:val="00E93526"/>
    <w:rsid w:val="00EB5E03"/>
    <w:rsid w:val="00EE05D8"/>
    <w:rsid w:val="00F07F2A"/>
    <w:rsid w:val="00FA2199"/>
    <w:rsid w:val="00FC693F"/>
    <w:rsid w:val="00FF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C9359F8"/>
  <w15:docId w15:val="{CA0C4196-B9A5-4242-B3AA-31CDCA012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table" w:styleId="PlainTable2">
    <w:name w:val="Plain Table 2"/>
    <w:basedOn w:val="TableNormal"/>
    <w:uiPriority w:val="99"/>
    <w:rsid w:val="00CF171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github.com/gabrielmontufar/hydraulic-memory-cgj-benchmark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s://doi.org/10.1016/j.enggeo.2022.106972" TargetMode="External"/><Relationship Id="rId7" Type="http://schemas.openxmlformats.org/officeDocument/2006/relationships/hyperlink" Target="mailto:gabriel.montufar@up.ac.pa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github.com/gabrielmontufar/hydraulic-memory-cgj-benchmark" TargetMode="External"/><Relationship Id="rId33" Type="http://schemas.openxmlformats.org/officeDocument/2006/relationships/hyperlink" Target="https://doi.org/10.1051/e3sconf/20199208004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doi.org/10.1016/j.compgeo.2013.02.00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s://github.com/gabrielmontufar/hydraulic-memory-cgj-benchmark" TargetMode="External"/><Relationship Id="rId32" Type="http://schemas.openxmlformats.org/officeDocument/2006/relationships/hyperlink" Target="https://escholarship.org/uc/item/9wx3t712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doi.org/10.1139/cgj-2024-0804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doi.org/10.1680/geot.14.P.01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doi.org/10.1016/j.compgeo.2024.106500" TargetMode="External"/><Relationship Id="rId30" Type="http://schemas.openxmlformats.org/officeDocument/2006/relationships/hyperlink" Target="https://doi.org/10.1016/j.compgeo.2024.106113" TargetMode="External"/><Relationship Id="rId35" Type="http://schemas.openxmlformats.org/officeDocument/2006/relationships/hyperlink" Target="https://doi.org/10.1680/jgeot.15.P.001" TargetMode="External"/><Relationship Id="rId8" Type="http://schemas.openxmlformats.org/officeDocument/2006/relationships/hyperlink" Target="https://orcid.org/0000-0003-3392-3728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39</Pages>
  <Words>11180</Words>
  <Characters>61496</Characters>
  <Application>Microsoft Office Word</Application>
  <DocSecurity>0</DocSecurity>
  <Lines>512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Hydraulic-memory amplification as a regime variable in cyclically loaded unsaturated soils: a reproducible geotechnical phase-map benchmark</dc:title>
  <dc:subject>Hydraulic-memory amplification benchmark for cyclically loaded unsaturated soils</dc:subject>
  <dc:creator>Gabriel J. Montufar Chiriboga</dc:creator>
  <cp:keywords>unsaturated soils; cyclic loading; hydraulic memory; HMAI; HMN; geotechnical screening; phase map</cp:keywords>
  <dc:description/>
  <cp:lastModifiedBy>yo yo</cp:lastModifiedBy>
  <cp:revision>43</cp:revision>
  <dcterms:created xsi:type="dcterms:W3CDTF">2026-05-23T10:52:00Z</dcterms:created>
  <dcterms:modified xsi:type="dcterms:W3CDTF">2026-05-25T03:00:00Z</dcterms:modified>
  <cp:category/>
  <dc:language>en</dc:language>
</cp:coreProperties>
</file>