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4-Accent5"/>
        <w:tblW w:w="5000" w:type="pct"/>
        <w:tblLook w:val="04A0" w:firstRow="1" w:lastRow="0" w:firstColumn="1" w:lastColumn="0" w:noHBand="0" w:noVBand="1"/>
      </w:tblPr>
      <w:tblGrid>
        <w:gridCol w:w="9016"/>
      </w:tblGrid>
      <w:tr w:rsidR="003365B8" w:rsidRPr="00D365C5" w14:paraId="60B58BFC" w14:textId="77777777" w:rsidTr="003365B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1DC33AC9" w14:textId="77777777" w:rsidR="003365B8" w:rsidRPr="003365B8" w:rsidRDefault="003365B8" w:rsidP="00490B9B">
            <w:pPr>
              <w:jc w:val="left"/>
              <w:rPr>
                <w:b w:val="0"/>
                <w:bCs w:val="0"/>
                <w:color w:val="FFFFFF" w:themeColor="background1"/>
                <w:sz w:val="28"/>
                <w:szCs w:val="28"/>
              </w:rPr>
            </w:pPr>
            <w:r w:rsidRPr="003365B8">
              <w:rPr>
                <w:b w:val="0"/>
                <w:bCs w:val="0"/>
                <w:color w:val="FFFFFF" w:themeColor="background1"/>
                <w:sz w:val="28"/>
                <w:szCs w:val="28"/>
              </w:rPr>
              <w:t>Subcontractor Management Plan</w:t>
            </w:r>
          </w:p>
          <w:p w14:paraId="307702DC" w14:textId="77777777" w:rsidR="003365B8" w:rsidRPr="00FF5104" w:rsidRDefault="003365B8" w:rsidP="00490B9B">
            <w:pPr>
              <w:jc w:val="left"/>
              <w:rPr>
                <w:rFonts w:eastAsia="Times"/>
                <w:i/>
                <w:color w:val="00B050"/>
                <w:lang w:eastAsia="en-AU"/>
              </w:rPr>
            </w:pPr>
          </w:p>
        </w:tc>
      </w:tr>
      <w:tr w:rsidR="003365B8" w:rsidRPr="00D365C5" w14:paraId="1C6B95DA" w14:textId="77777777" w:rsidTr="003365B8">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2B6865F3" w14:textId="77777777" w:rsidR="003365B8" w:rsidRDefault="003365B8" w:rsidP="00490B9B">
            <w:pPr>
              <w:jc w:val="left"/>
              <w:rPr>
                <w:b w:val="0"/>
                <w:bCs w:val="0"/>
              </w:rPr>
            </w:pPr>
            <w:bookmarkStart w:id="0" w:name="_Hlk72918389"/>
            <w:r w:rsidRPr="003365B8">
              <w:t>Purpose</w:t>
            </w:r>
          </w:p>
          <w:p w14:paraId="07ECA466" w14:textId="6C559CAC" w:rsidR="003365B8" w:rsidRPr="003365B8" w:rsidRDefault="003365B8" w:rsidP="00490B9B">
            <w:pPr>
              <w:jc w:val="left"/>
              <w:rPr>
                <w:rFonts w:eastAsia="Times"/>
                <w:b w:val="0"/>
                <w:bCs w:val="0"/>
                <w:i/>
                <w:color w:val="00B050"/>
                <w:lang w:eastAsia="en-AU"/>
              </w:rPr>
            </w:pPr>
            <w:r w:rsidRPr="003365B8">
              <w:rPr>
                <w:b w:val="0"/>
                <w:bCs w:val="0"/>
              </w:rPr>
              <w:t>Explain the purpose of the subcontractor management plan</w:t>
            </w:r>
          </w:p>
        </w:tc>
      </w:tr>
      <w:tr w:rsidR="003365B8" w:rsidRPr="00D365C5" w14:paraId="57738CA7" w14:textId="77777777" w:rsidTr="003365B8">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This plan sets out how subcontractors for the Well St Brighton WC upgrade will be selected, inducted, coordinated, monitored and reviewed to deliver works safely, on time and to specification. It defines responsibilities, competency requirements, communication and reporting controls, and contract administration requirements in line with the Minor Works Contract.</w:t>
            </w:r>
          </w:p>
        </w:tc>
      </w:tr>
      <w:tr w:rsidR="003365B8" w:rsidRPr="00D365C5" w14:paraId="7536C3F1" w14:textId="77777777" w:rsidTr="003365B8">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5DEA7438" w14:textId="77777777" w:rsidR="003365B8" w:rsidRDefault="003365B8" w:rsidP="00490B9B">
            <w:pPr>
              <w:jc w:val="left"/>
              <w:rPr>
                <w:b w:val="0"/>
                <w:bCs w:val="0"/>
              </w:rPr>
            </w:pPr>
            <w:r w:rsidRPr="003365B8">
              <w:t>Contractor organisational chart</w:t>
            </w:r>
          </w:p>
          <w:p w14:paraId="42453CB5" w14:textId="38D1A66D" w:rsidR="003365B8" w:rsidRPr="003365B8" w:rsidRDefault="003365B8" w:rsidP="00490B9B">
            <w:pPr>
              <w:jc w:val="left"/>
              <w:rPr>
                <w:rFonts w:eastAsia="Times"/>
                <w:b w:val="0"/>
                <w:bCs w:val="0"/>
                <w:i/>
                <w:color w:val="00B050"/>
                <w:lang w:eastAsia="en-AU"/>
              </w:rPr>
            </w:pPr>
            <w:r w:rsidRPr="003365B8">
              <w:rPr>
                <w:b w:val="0"/>
                <w:bCs w:val="0"/>
              </w:rPr>
              <w:t>Insert an organisational chart for all subcontractor labour requirements</w:t>
            </w:r>
          </w:p>
        </w:tc>
      </w:tr>
      <w:tr w:rsidR="003365B8" w:rsidRPr="00D365C5" w14:paraId="46B2C2C8" w14:textId="77777777" w:rsidTr="003F1E8C">
        <w:trPr>
          <w:trHeight w:val="850"/>
        </w:trPr>
        <w:tc>
          <w:tcPr>
            <w:cnfStyle w:val="001000000000" w:firstRow="0" w:lastRow="0" w:firstColumn="1" w:lastColumn="0" w:oddVBand="0" w:evenVBand="0" w:oddHBand="0" w:evenHBand="0" w:firstRowFirstColumn="0" w:firstRowLastColumn="0" w:lastRowFirstColumn="0" w:lastRowLastColumn="0"/>
            <w:tcW w:w="5000" w:type="pct"/>
          </w:tcPr>
          <w:p>
            <w:r>
              <w:t>Head Contractor (Principal Contractor)</w:t>
              <w:br/>
              <w:t xml:space="preserve">  -&gt; Project Manager</w:t>
              <w:br/>
              <w:t xml:space="preserve">  -&gt; Site Supervisor</w:t>
              <w:br/>
              <w:t xml:space="preserve">      -&gt; Demolition and Excavation</w:t>
              <w:br/>
              <w:t xml:space="preserve">      -&gt; Concrete and Reinforcement</w:t>
              <w:br/>
              <w:t xml:space="preserve">      -&gt; Carpentry / Framing / Roofing</w:t>
              <w:br/>
              <w:t xml:space="preserve">      -&gt; Plumbing</w:t>
              <w:br/>
              <w:t xml:space="preserve">      -&gt; Electrical</w:t>
              <w:br/>
              <w:t xml:space="preserve">      -&gt; Waterproofing and Tiling</w:t>
              <w:br/>
              <w:t xml:space="preserve">      -&gt; Painting / Fixtures / Final Fit-off</w:t>
              <w:br/>
              <w:t xml:space="preserve">      -&gt; Final Clean and Defects</w:t>
            </w:r>
          </w:p>
        </w:tc>
      </w:tr>
      <w:bookmarkEnd w:id="0"/>
    </w:tbl>
    <w:p w14:paraId="6B4E32FB" w14:textId="61B6882F" w:rsidR="003365B8" w:rsidRDefault="003365B8" w:rsidP="00490B9B">
      <w:pPr>
        <w:spacing w:before="0" w:after="160" w:line="259" w:lineRule="auto"/>
        <w:jc w:val="left"/>
      </w:pPr>
    </w:p>
    <w:tbl>
      <w:tblPr>
        <w:tblStyle w:val="GridTable4-Accent5"/>
        <w:tblW w:w="5000" w:type="pct"/>
        <w:tblLook w:val="04A0" w:firstRow="1" w:lastRow="0" w:firstColumn="1" w:lastColumn="0" w:noHBand="0" w:noVBand="1"/>
      </w:tblPr>
      <w:tblGrid>
        <w:gridCol w:w="3004"/>
        <w:gridCol w:w="3228"/>
        <w:gridCol w:w="2784"/>
      </w:tblGrid>
      <w:tr w:rsidR="003365B8" w:rsidRPr="00D365C5" w14:paraId="31505B07" w14:textId="77777777" w:rsidTr="00352D09">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gridSpan w:val="3"/>
          </w:tcPr>
          <w:p w14:paraId="458F9B94" w14:textId="6971F7AA" w:rsidR="003365B8" w:rsidRPr="00FF5104" w:rsidRDefault="003365B8" w:rsidP="00490B9B">
            <w:pPr>
              <w:jc w:val="left"/>
              <w:rPr>
                <w:rFonts w:eastAsia="Times"/>
                <w:i/>
                <w:color w:val="00B050"/>
                <w:lang w:eastAsia="en-AU"/>
              </w:rPr>
            </w:pPr>
            <w:r w:rsidRPr="003365B8">
              <w:rPr>
                <w:b w:val="0"/>
                <w:bCs w:val="0"/>
                <w:color w:val="FFFFFF" w:themeColor="background1"/>
                <w:sz w:val="28"/>
                <w:szCs w:val="28"/>
              </w:rPr>
              <w:t xml:space="preserve">Roles, rights, </w:t>
            </w:r>
            <w:r w:rsidR="00852E78" w:rsidRPr="003365B8">
              <w:rPr>
                <w:b w:val="0"/>
                <w:bCs w:val="0"/>
                <w:color w:val="FFFFFF" w:themeColor="background1"/>
                <w:sz w:val="28"/>
                <w:szCs w:val="28"/>
              </w:rPr>
              <w:t>responsibilities,</w:t>
            </w:r>
            <w:r w:rsidRPr="003365B8">
              <w:rPr>
                <w:b w:val="0"/>
                <w:bCs w:val="0"/>
                <w:color w:val="FFFFFF" w:themeColor="background1"/>
                <w:sz w:val="28"/>
                <w:szCs w:val="28"/>
              </w:rPr>
              <w:t xml:space="preserve"> and competencies List the subcontractor labour requirements, their relevant roles and responsibilities and competency requirements</w:t>
            </w:r>
          </w:p>
        </w:tc>
      </w:tr>
      <w:tr w:rsidR="003365B8" w:rsidRPr="00D365C5" w14:paraId="78BF8096" w14:textId="77777777" w:rsidTr="00862AB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26C5A525" w14:textId="12CA87DB" w:rsidR="003365B8" w:rsidRPr="003365B8" w:rsidRDefault="003365B8" w:rsidP="00490B9B">
            <w:pPr>
              <w:jc w:val="left"/>
            </w:pPr>
            <w:r w:rsidRPr="003365B8">
              <w:t>Subcontractor</w:t>
            </w:r>
          </w:p>
        </w:tc>
        <w:tc>
          <w:tcPr>
            <w:tcW w:w="1790" w:type="pct"/>
            <w:vAlign w:val="center"/>
          </w:tcPr>
          <w:p w14:paraId="06F22759" w14:textId="67A1CF30" w:rsidR="003365B8" w:rsidRPr="003365B8" w:rsidRDefault="003365B8" w:rsidP="00490B9B">
            <w:pPr>
              <w:jc w:val="left"/>
              <w:cnfStyle w:val="000000100000" w:firstRow="0" w:lastRow="0" w:firstColumn="0" w:lastColumn="0" w:oddVBand="0" w:evenVBand="0" w:oddHBand="1" w:evenHBand="0" w:firstRowFirstColumn="0" w:firstRowLastColumn="0" w:lastRowFirstColumn="0" w:lastRowLastColumn="0"/>
              <w:rPr>
                <w:rFonts w:eastAsia="Times"/>
                <w:i/>
                <w:lang w:eastAsia="en-AU"/>
              </w:rPr>
            </w:pPr>
            <w:r w:rsidRPr="003365B8">
              <w:rPr>
                <w:b/>
                <w:bCs/>
              </w:rPr>
              <w:t xml:space="preserve">Roles, </w:t>
            </w:r>
            <w:r w:rsidR="00852E78" w:rsidRPr="003365B8">
              <w:rPr>
                <w:b/>
                <w:bCs/>
              </w:rPr>
              <w:t>rights,</w:t>
            </w:r>
            <w:r w:rsidRPr="003365B8">
              <w:rPr>
                <w:b/>
                <w:bCs/>
              </w:rPr>
              <w:t xml:space="preserve"> and responsibilities</w:t>
            </w:r>
          </w:p>
        </w:tc>
        <w:tc>
          <w:tcPr>
            <w:tcW w:w="1544" w:type="pct"/>
            <w:vAlign w:val="center"/>
          </w:tcPr>
          <w:p w14:paraId="6CB8631F" w14:textId="60318D47" w:rsidR="003365B8" w:rsidRPr="003365B8" w:rsidRDefault="003365B8" w:rsidP="00490B9B">
            <w:pPr>
              <w:jc w:val="left"/>
              <w:cnfStyle w:val="000000100000" w:firstRow="0" w:lastRow="0" w:firstColumn="0" w:lastColumn="0" w:oddVBand="0" w:evenVBand="0" w:oddHBand="1" w:evenHBand="0" w:firstRowFirstColumn="0" w:firstRowLastColumn="0" w:lastRowFirstColumn="0" w:lastRowLastColumn="0"/>
              <w:rPr>
                <w:rFonts w:eastAsia="Times"/>
                <w:b/>
                <w:bCs/>
                <w:i/>
                <w:lang w:eastAsia="en-AU"/>
              </w:rPr>
            </w:pPr>
            <w:r w:rsidRPr="003365B8">
              <w:rPr>
                <w:rFonts w:eastAsia="Times"/>
                <w:b/>
                <w:bCs/>
                <w:i/>
                <w:lang w:eastAsia="en-AU"/>
              </w:rPr>
              <w:t>Competency requirements</w:t>
            </w:r>
          </w:p>
        </w:tc>
      </w:tr>
      <w:tr w:rsidR="003365B8" w:rsidRPr="00D365C5" w14:paraId="52C55A76" w14:textId="77777777" w:rsidTr="00862AB3">
        <w:trPr>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Demolition and excavation contractor</w:t>
            </w:r>
          </w:p>
        </w:tc>
        <w:tc>
          <w:tcPr>
            <w:tcW w:w="1790" w:type="pct"/>
            <w:shd w:val="clear" w:color="auto" w:fill="auto"/>
          </w:tcPr>
          <w:p>
            <w:r>
              <w:t>Complete site establishment, demolition and excavation to drawings and permit conditions; isolate services; manage spoil disposal; comply with SWMS and traffic controls; report hazards and incidents immediately.</w:t>
            </w:r>
          </w:p>
        </w:tc>
        <w:tc>
          <w:tcPr>
            <w:tcW w:w="1544" w:type="pct"/>
            <w:shd w:val="clear" w:color="auto" w:fill="auto"/>
          </w:tcPr>
          <w:p>
            <w:r>
              <w:t>Construction Induction Card (White Card); relevant plant/operator tickets (excavator/skid steer); demolition licence where required; proven experience in public-site works; WHS induction and PPE compliance.</w:t>
            </w:r>
          </w:p>
        </w:tc>
      </w:tr>
      <w:tr w:rsidR="003D2B44" w:rsidRPr="00D365C5" w14:paraId="02417E15" w14:textId="77777777" w:rsidTr="005B443E">
        <w:trPr>
          <w:cnfStyle w:val="000000100000" w:firstRow="0" w:lastRow="0" w:firstColumn="0" w:lastColumn="0" w:oddVBand="0" w:evenVBand="0" w:oddHBand="1" w:evenHBand="0" w:firstRowFirstColumn="0" w:firstRowLastColumn="0" w:lastRowFirstColumn="0" w:lastRowLastColumn="0"/>
          <w:trHeight w:val="2062"/>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Concreter / reinforcement subcontractor</w:t>
            </w:r>
          </w:p>
        </w:tc>
        <w:tc>
          <w:tcPr>
            <w:tcW w:w="1790" w:type="pct"/>
            <w:shd w:val="clear" w:color="auto" w:fill="auto"/>
          </w:tcPr>
          <w:p>
            <w:r>
              <w:t>Set out footing/slab works, place reinforcement and concrete to engineering details, coordinate inspections/hold points before pour, protect finished slabs, and rectify defects.</w:t>
            </w:r>
          </w:p>
        </w:tc>
        <w:tc>
          <w:tcPr>
            <w:tcW w:w="1544" w:type="pct"/>
            <w:shd w:val="clear" w:color="auto" w:fill="auto"/>
          </w:tcPr>
          <w:p>
            <w:r>
              <w:t>White Card; qualified concreting crew; ability to read structural drawings; evidence of compliant formwork and reinforcement practices; understanding of curing, tolerances and QA records.</w:t>
            </w:r>
          </w:p>
        </w:tc>
      </w:tr>
      <w:tr w:rsidR="003D2B44" w:rsidRPr="00D365C5" w14:paraId="6627F39F" w14:textId="77777777" w:rsidTr="00862AB3">
        <w:trPr>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Carpenter / framing / roofing subcontractor</w:t>
            </w:r>
          </w:p>
        </w:tc>
        <w:tc>
          <w:tcPr>
            <w:tcW w:w="1790" w:type="pct"/>
            <w:shd w:val="clear" w:color="auto" w:fill="auto"/>
          </w:tcPr>
          <w:p>
            <w:r>
              <w:t>Construct framing and roof structure to architectural/structural plans, install bracing/tie-downs, coordinate penetrations and service interfaces, and maintain weatherproofing during construction.</w:t>
            </w:r>
          </w:p>
        </w:tc>
        <w:tc>
          <w:tcPr>
            <w:tcW w:w="1544" w:type="pct"/>
            <w:shd w:val="clear" w:color="auto" w:fill="auto"/>
          </w:tcPr>
          <w:p>
            <w:r>
              <w:t>Trade-qualified carpenter; Working at Heights competency; White Card; familiarity with NCC and Australian Standards; demonstrated competency in framing and roofing installation.</w:t>
            </w:r>
          </w:p>
        </w:tc>
      </w:tr>
      <w:tr w:rsidR="003D2B44" w:rsidRPr="00D365C5" w14:paraId="43EB8407" w14:textId="77777777" w:rsidTr="00862AB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Plumbing subcontractor</w:t>
            </w:r>
          </w:p>
        </w:tc>
        <w:tc>
          <w:tcPr>
            <w:tcW w:w="1790" w:type="pct"/>
            <w:shd w:val="clear" w:color="auto" w:fill="auto"/>
          </w:tcPr>
          <w:p>
            <w:r>
              <w:t>Install sanitary drainage, water services, fixtures and final connections; coordinate rough-in and fit-off with other trades; complete testing and commissioning records.</w:t>
            </w:r>
          </w:p>
        </w:tc>
        <w:tc>
          <w:tcPr>
            <w:tcW w:w="1544" w:type="pct"/>
            <w:shd w:val="clear" w:color="auto" w:fill="auto"/>
          </w:tcPr>
          <w:p>
            <w:r>
              <w:t>Licensed plumber (VIC); White Card; backflow/water service competencies where applicable; compliant pressure testing and as-built documentation capability.</w:t>
            </w:r>
          </w:p>
        </w:tc>
      </w:tr>
      <w:tr w:rsidR="003D2B44" w:rsidRPr="00D365C5" w14:paraId="3CEE3B0B" w14:textId="77777777" w:rsidTr="00862AB3">
        <w:trPr>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Electrical subcontractor</w:t>
            </w:r>
          </w:p>
        </w:tc>
        <w:tc>
          <w:tcPr>
            <w:tcW w:w="1790" w:type="pct"/>
            <w:shd w:val="clear" w:color="auto" w:fill="auto"/>
          </w:tcPr>
          <w:p>
            <w:r>
              <w:t>Install temporary power, rough-in wiring, lighting/exhaust systems and final fit-off; test and commission installations; provide compliance certificates.</w:t>
            </w:r>
          </w:p>
        </w:tc>
        <w:tc>
          <w:tcPr>
            <w:tcW w:w="1544" w:type="pct"/>
            <w:shd w:val="clear" w:color="auto" w:fill="auto"/>
          </w:tcPr>
          <w:p>
            <w:r>
              <w:t>Licensed electrician (VIC); White Card; testing and tagging competency; ability to certify work to AS/NZS standards and project specifications.</w:t>
            </w:r>
          </w:p>
        </w:tc>
      </w:tr>
      <w:tr w:rsidR="003D2B44" w:rsidRPr="00D365C5" w14:paraId="16CB2601" w14:textId="77777777" w:rsidTr="00862AB3">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Waterproofing and tiling subcontractor</w:t>
            </w:r>
          </w:p>
        </w:tc>
        <w:tc>
          <w:tcPr>
            <w:tcW w:w="1790" w:type="pct"/>
            <w:shd w:val="clear" w:color="auto" w:fill="auto"/>
          </w:tcPr>
          <w:p>
            <w:r>
              <w:t>Apply wet-area waterproofing to manufacturer specification and standards, complete tiling with correct falls and finish quality, and protect completed surfaces.</w:t>
            </w:r>
          </w:p>
        </w:tc>
        <w:tc>
          <w:tcPr>
            <w:tcW w:w="1544" w:type="pct"/>
            <w:shd w:val="clear" w:color="auto" w:fill="auto"/>
          </w:tcPr>
          <w:p>
            <w:r>
              <w:t>White Card; certified waterproofing applicator; tiler trade competency; evidence of compliant membrane installation and wet-area workmanship standards.</w:t>
            </w:r>
          </w:p>
        </w:tc>
      </w:tr>
      <w:tr w:rsidR="003D2B44" w:rsidRPr="00D365C5" w14:paraId="0814D8D0" w14:textId="77777777" w:rsidTr="00862AB3">
        <w:trPr>
          <w:trHeight w:val="85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vAlign w:val="center"/>
          </w:tcPr>
          <w:p>
            <w:r>
              <w:t>Painting, fixtures and accessibility equipment installers</w:t>
            </w:r>
          </w:p>
        </w:tc>
        <w:tc>
          <w:tcPr>
            <w:tcW w:w="1790" w:type="pct"/>
            <w:shd w:val="clear" w:color="auto" w:fill="auto"/>
          </w:tcPr>
          <w:p>
            <w:r>
              <w:t>Complete painting/coatings, install sanitaryware, accessories, hoist/track and accessibility fixtures to schedule and set-out, and support final defects close-out.</w:t>
            </w:r>
          </w:p>
        </w:tc>
        <w:tc>
          <w:tcPr>
            <w:tcW w:w="1544" w:type="pct"/>
            <w:shd w:val="clear" w:color="auto" w:fill="auto"/>
          </w:tcPr>
          <w:p>
            <w:r>
              <w:t>White Card; relevant installer/manufacturer accreditation where required; safe manual-handling competency; ability to work to finishes schedules and accessibility requirements.</w:t>
            </w:r>
          </w:p>
        </w:tc>
      </w:tr>
      <w:permEnd w:id="1390640865"/>
      <w:permEnd w:id="2117212751"/>
      <w:permEnd w:id="193403224"/>
    </w:tbl>
    <w:p w14:paraId="17DD5BE0" w14:textId="71968CD0" w:rsidR="003365B8" w:rsidRDefault="003365B8" w:rsidP="00490B9B">
      <w:pPr>
        <w:jc w:val="left"/>
      </w:pPr>
    </w:p>
    <w:p w14:paraId="3301C90E" w14:textId="77777777" w:rsidR="00582B6A" w:rsidRDefault="00582B6A" w:rsidP="00490B9B">
      <w:pPr>
        <w:jc w:val="left"/>
      </w:pPr>
    </w:p>
    <w:p w14:paraId="7C6A2FDC" w14:textId="77777777" w:rsidR="00582B6A" w:rsidRDefault="00582B6A" w:rsidP="00490B9B">
      <w:pPr>
        <w:jc w:val="left"/>
      </w:pPr>
    </w:p>
    <w:p w14:paraId="74026CA5" w14:textId="77777777" w:rsidR="00582B6A" w:rsidRDefault="00582B6A" w:rsidP="00490B9B">
      <w:pPr>
        <w:jc w:val="left"/>
      </w:pPr>
    </w:p>
    <w:p w14:paraId="04F75BEA" w14:textId="77777777" w:rsidR="00582B6A" w:rsidRDefault="00582B6A" w:rsidP="00490B9B">
      <w:pPr>
        <w:jc w:val="left"/>
      </w:pPr>
    </w:p>
    <w:p w14:paraId="7B533516" w14:textId="77777777" w:rsidR="00582B6A" w:rsidRDefault="00582B6A" w:rsidP="00490B9B">
      <w:pPr>
        <w:jc w:val="left"/>
      </w:pPr>
    </w:p>
    <w:p w14:paraId="29616177" w14:textId="77777777" w:rsidR="00582B6A" w:rsidRDefault="00582B6A" w:rsidP="00490B9B">
      <w:pPr>
        <w:jc w:val="left"/>
      </w:pPr>
    </w:p>
    <w:p w14:paraId="437AE922" w14:textId="77777777" w:rsidR="00582B6A" w:rsidRDefault="00582B6A" w:rsidP="00490B9B">
      <w:pPr>
        <w:jc w:val="left"/>
      </w:pPr>
    </w:p>
    <w:p w14:paraId="2D5849F6" w14:textId="77777777" w:rsidR="00582B6A" w:rsidRDefault="00582B6A" w:rsidP="00490B9B">
      <w:pPr>
        <w:jc w:val="left"/>
      </w:pPr>
    </w:p>
    <w:p w14:paraId="1C53B120" w14:textId="77777777" w:rsidR="00582B6A" w:rsidRDefault="00582B6A" w:rsidP="00490B9B">
      <w:pPr>
        <w:jc w:val="left"/>
      </w:pPr>
    </w:p>
    <w:p w14:paraId="24577D31" w14:textId="77777777" w:rsidR="00582B6A" w:rsidRDefault="00582B6A" w:rsidP="00490B9B">
      <w:pPr>
        <w:jc w:val="left"/>
      </w:pPr>
    </w:p>
    <w:p w14:paraId="4F182CA9" w14:textId="77777777" w:rsidR="00582B6A" w:rsidRDefault="00582B6A" w:rsidP="00490B9B">
      <w:pPr>
        <w:jc w:val="left"/>
      </w:pPr>
    </w:p>
    <w:p w14:paraId="6B20FD0F" w14:textId="77777777" w:rsidR="00582B6A" w:rsidRDefault="00582B6A" w:rsidP="00490B9B">
      <w:pPr>
        <w:jc w:val="left"/>
      </w:pPr>
    </w:p>
    <w:p w14:paraId="6B1E7E6B" w14:textId="77777777" w:rsidR="00582B6A" w:rsidRDefault="00582B6A" w:rsidP="00490B9B">
      <w:pPr>
        <w:jc w:val="left"/>
      </w:pPr>
    </w:p>
    <w:p w14:paraId="5EB319A8" w14:textId="77777777" w:rsidR="00582B6A" w:rsidRDefault="00582B6A" w:rsidP="00490B9B">
      <w:pPr>
        <w:jc w:val="left"/>
      </w:pPr>
    </w:p>
    <w:p w14:paraId="580A2AC7" w14:textId="77777777" w:rsidR="00582B6A" w:rsidRDefault="00582B6A" w:rsidP="00490B9B">
      <w:pPr>
        <w:jc w:val="left"/>
      </w:pPr>
    </w:p>
    <w:p w14:paraId="47733060" w14:textId="77777777" w:rsidR="00582B6A" w:rsidRDefault="00582B6A" w:rsidP="00490B9B">
      <w:pPr>
        <w:jc w:val="left"/>
      </w:pPr>
    </w:p>
    <w:p w14:paraId="72C75ACC" w14:textId="77777777" w:rsidR="00582B6A" w:rsidRDefault="00582B6A" w:rsidP="00490B9B">
      <w:pPr>
        <w:jc w:val="left"/>
      </w:pPr>
    </w:p>
    <w:p w14:paraId="60D60229" w14:textId="77777777" w:rsidR="00582B6A" w:rsidRDefault="00582B6A" w:rsidP="00490B9B">
      <w:pPr>
        <w:jc w:val="left"/>
      </w:pPr>
    </w:p>
    <w:p w14:paraId="48CBEFE4" w14:textId="77777777" w:rsidR="00582B6A" w:rsidRDefault="00582B6A" w:rsidP="00490B9B">
      <w:pPr>
        <w:jc w:val="left"/>
      </w:pPr>
    </w:p>
    <w:p w14:paraId="7E0B70CC" w14:textId="77777777" w:rsidR="00582B6A" w:rsidRDefault="00582B6A" w:rsidP="00490B9B">
      <w:pPr>
        <w:jc w:val="left"/>
      </w:pPr>
    </w:p>
    <w:p w14:paraId="6C1853CD" w14:textId="77777777" w:rsidR="00582B6A" w:rsidRDefault="00582B6A" w:rsidP="00490B9B">
      <w:pPr>
        <w:jc w:val="left"/>
      </w:pPr>
    </w:p>
    <w:p w14:paraId="37CFEC25" w14:textId="77777777" w:rsidR="00582B6A" w:rsidRDefault="00582B6A" w:rsidP="00490B9B">
      <w:pPr>
        <w:jc w:val="left"/>
      </w:pPr>
    </w:p>
    <w:tbl>
      <w:tblPr>
        <w:tblStyle w:val="GridTable4-Accent5"/>
        <w:tblW w:w="5000" w:type="pct"/>
        <w:tblLook w:val="04A0" w:firstRow="1" w:lastRow="0" w:firstColumn="1" w:lastColumn="0" w:noHBand="0" w:noVBand="1"/>
      </w:tblPr>
      <w:tblGrid>
        <w:gridCol w:w="9016"/>
      </w:tblGrid>
      <w:tr w:rsidR="003365B8" w:rsidRPr="00D365C5" w14:paraId="1A847A8E" w14:textId="77777777" w:rsidTr="00352D09">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170C986E" w14:textId="5ABB83A8" w:rsidR="003365B8" w:rsidRPr="003365B8" w:rsidRDefault="003365B8" w:rsidP="00490B9B">
            <w:pPr>
              <w:jc w:val="left"/>
              <w:rPr>
                <w:b w:val="0"/>
                <w:bCs w:val="0"/>
                <w:color w:val="FFFFFF" w:themeColor="background1"/>
                <w:sz w:val="28"/>
                <w:szCs w:val="28"/>
              </w:rPr>
            </w:pPr>
            <w:r>
              <w:rPr>
                <w:b w:val="0"/>
                <w:bCs w:val="0"/>
                <w:color w:val="FFFFFF" w:themeColor="background1"/>
                <w:sz w:val="28"/>
                <w:szCs w:val="28"/>
              </w:rPr>
              <w:lastRenderedPageBreak/>
              <w:t>Procedure for managing subcontractors</w:t>
            </w:r>
          </w:p>
          <w:p w14:paraId="5940803D" w14:textId="77777777" w:rsidR="003365B8" w:rsidRPr="00FF5104" w:rsidRDefault="003365B8" w:rsidP="00490B9B">
            <w:pPr>
              <w:jc w:val="left"/>
              <w:rPr>
                <w:rFonts w:eastAsia="Times"/>
                <w:i/>
                <w:color w:val="00B050"/>
                <w:lang w:eastAsia="en-AU"/>
              </w:rPr>
            </w:pPr>
          </w:p>
        </w:tc>
      </w:tr>
      <w:tr w:rsidR="003365B8" w:rsidRPr="00D365C5" w14:paraId="1F7D4846" w14:textId="77777777" w:rsidTr="00352D09">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5000" w:type="pct"/>
          </w:tcPr>
          <w:p w14:paraId="10E947A6" w14:textId="77777777" w:rsidR="003365B8" w:rsidRDefault="003365B8" w:rsidP="00490B9B">
            <w:pPr>
              <w:jc w:val="left"/>
              <w:rPr>
                <w:b w:val="0"/>
                <w:bCs w:val="0"/>
              </w:rPr>
            </w:pPr>
            <w:r w:rsidRPr="003365B8">
              <w:t>Consider:</w:t>
            </w:r>
          </w:p>
          <w:p w14:paraId="5537DBB1" w14:textId="77777777" w:rsidR="003365B8" w:rsidRPr="004757AF" w:rsidRDefault="003365B8" w:rsidP="00490B9B">
            <w:pPr>
              <w:pStyle w:val="ListParagraph"/>
              <w:numPr>
                <w:ilvl w:val="0"/>
                <w:numId w:val="4"/>
              </w:numPr>
              <w:rPr>
                <w:rFonts w:ascii="Calibri" w:hAnsi="Calibri" w:cs="Calibri"/>
                <w:b w:val="0"/>
                <w:bCs w:val="0"/>
                <w:color w:val="00314C"/>
              </w:rPr>
            </w:pPr>
            <w:r w:rsidRPr="004757AF">
              <w:rPr>
                <w:rFonts w:ascii="Calibri" w:hAnsi="Calibri" w:cs="Calibri"/>
                <w:b w:val="0"/>
                <w:bCs w:val="0"/>
                <w:color w:val="00314C"/>
              </w:rPr>
              <w:t>Communicating with the prime contractor</w:t>
            </w:r>
          </w:p>
          <w:p w14:paraId="74E7BECA" w14:textId="77777777" w:rsidR="003365B8" w:rsidRPr="004757AF" w:rsidRDefault="003365B8" w:rsidP="00490B9B">
            <w:pPr>
              <w:pStyle w:val="ListParagraph"/>
              <w:numPr>
                <w:ilvl w:val="0"/>
                <w:numId w:val="4"/>
              </w:numPr>
              <w:rPr>
                <w:rFonts w:ascii="Calibri" w:hAnsi="Calibri" w:cs="Calibri"/>
                <w:b w:val="0"/>
                <w:bCs w:val="0"/>
                <w:color w:val="00314C"/>
              </w:rPr>
            </w:pPr>
            <w:r w:rsidRPr="004757AF">
              <w:rPr>
                <w:rFonts w:ascii="Calibri" w:hAnsi="Calibri" w:cs="Calibri"/>
                <w:b w:val="0"/>
                <w:bCs w:val="0"/>
                <w:color w:val="00314C"/>
              </w:rPr>
              <w:t>Progress reporting</w:t>
            </w:r>
          </w:p>
          <w:p w14:paraId="38AD0052" w14:textId="77777777" w:rsidR="003365B8" w:rsidRPr="004757AF" w:rsidRDefault="003365B8" w:rsidP="00490B9B">
            <w:pPr>
              <w:pStyle w:val="ListParagraph"/>
              <w:numPr>
                <w:ilvl w:val="0"/>
                <w:numId w:val="4"/>
              </w:numPr>
              <w:rPr>
                <w:rFonts w:ascii="Calibri" w:hAnsi="Calibri" w:cs="Calibri"/>
                <w:b w:val="0"/>
                <w:bCs w:val="0"/>
                <w:color w:val="00314C"/>
              </w:rPr>
            </w:pPr>
            <w:r w:rsidRPr="004757AF">
              <w:rPr>
                <w:rFonts w:ascii="Calibri" w:hAnsi="Calibri" w:cs="Calibri"/>
                <w:b w:val="0"/>
                <w:bCs w:val="0"/>
                <w:color w:val="00314C"/>
              </w:rPr>
              <w:t>Review practices and progress reviews</w:t>
            </w:r>
          </w:p>
          <w:p w14:paraId="4557A54B" w14:textId="77777777" w:rsidR="003365B8" w:rsidRPr="004757AF" w:rsidRDefault="003365B8" w:rsidP="00490B9B">
            <w:pPr>
              <w:pStyle w:val="ListParagraph"/>
              <w:numPr>
                <w:ilvl w:val="0"/>
                <w:numId w:val="4"/>
              </w:numPr>
              <w:rPr>
                <w:rFonts w:ascii="Calibri" w:hAnsi="Calibri" w:cs="Calibri"/>
                <w:b w:val="0"/>
                <w:bCs w:val="0"/>
                <w:color w:val="00314C"/>
              </w:rPr>
            </w:pPr>
            <w:r w:rsidRPr="004757AF">
              <w:rPr>
                <w:rFonts w:ascii="Calibri" w:hAnsi="Calibri" w:cs="Calibri"/>
                <w:b w:val="0"/>
                <w:bCs w:val="0"/>
                <w:color w:val="00314C"/>
              </w:rPr>
              <w:t>Contract issue meetings</w:t>
            </w:r>
          </w:p>
          <w:p w14:paraId="2A3A73E8" w14:textId="52348ED0" w:rsidR="003365B8" w:rsidRPr="003365B8" w:rsidRDefault="003365B8" w:rsidP="00490B9B">
            <w:pPr>
              <w:pStyle w:val="ListParagraph"/>
              <w:numPr>
                <w:ilvl w:val="0"/>
                <w:numId w:val="4"/>
              </w:numPr>
              <w:rPr>
                <w:rFonts w:eastAsia="Times"/>
                <w:i/>
                <w:color w:val="00B050"/>
                <w:lang w:eastAsia="en-AU"/>
              </w:rPr>
            </w:pPr>
            <w:r w:rsidRPr="004757AF">
              <w:rPr>
                <w:rFonts w:ascii="Calibri" w:hAnsi="Calibri" w:cs="Calibri"/>
                <w:b w:val="0"/>
                <w:bCs w:val="0"/>
                <w:color w:val="00314C"/>
              </w:rPr>
              <w:t>Milestone reviews</w:t>
            </w:r>
          </w:p>
        </w:tc>
      </w:tr>
      <w:tr w:rsidR="003365B8" w:rsidRPr="00D365C5" w14:paraId="2EB5E9FC" w14:textId="77777777" w:rsidTr="00490B9B">
        <w:trPr>
          <w:trHeight w:val="10158"/>
        </w:trPr>
        <w:tc>
          <w:tcPr>
            <w:cnfStyle w:val="001000000000" w:firstRow="0" w:lastRow="0" w:firstColumn="1" w:lastColumn="0" w:oddVBand="0" w:evenVBand="0" w:oddHBand="0" w:evenHBand="0" w:firstRowFirstColumn="0" w:firstRowLastColumn="0" w:lastRowFirstColumn="0" w:lastRowLastColumn="0"/>
            <w:tcW w:w="5000" w:type="pct"/>
          </w:tcPr>
          <w:p>
            <w:r>
              <w:t>1. Pre-award and mobilisation: verify licences, insurances, SWMS, competencies, programme capacity and past performance before engagement. Subcontracting any part of the works requires prior written approval by the principal as per contract conditions.</w:t>
              <w:br/>
              <w:br/>
              <w:t>2. Communication controls: daily pre-start coordination led by the Site Supervisor; weekly subcontractor coordination meeting with 2-week look-ahead programme; formal RFIs, site instructions and variation requests issued in writing and logged.</w:t>
              <w:br/>
              <w:br/>
              <w:t>3. Progress reporting: each subcontractor provides weekly progress update including completed work, upcoming activities, labour on site, constraints, incidents and quality issues. The head contractor updates the master programme and issues actions with due dates.</w:t>
              <w:br/>
              <w:br/>
              <w:t>4. Milestones and hold points: inspections at pre-pour reinforcement, framing completion, services rough-in, waterproofing completion, fit-off and practical completion. No work is covered up without required sign-off. Defects list issued and closed with evidence.</w:t>
              <w:br/>
              <w:br/>
              <w:t>5. Contract issue meetings: unresolved scope, delay, quality or payment matters are escalated to formal contract meetings with minutes, assigned actions and response dates. Notices of delay and variation claims are managed in accordance with contract provisions.</w:t>
              <w:br/>
              <w:br/>
              <w:t>6. WHS management: principal contractor retains overarching WHS responsibility. All subcontractors must comply with OH&amp;S laws, attend site induction, use task-specific SWMS, maintain incident reporting, and stop unsafe work. Significant incidents are notified immediately and followed by written reports.</w:t>
              <w:br/>
              <w:br/>
              <w:t>7. Quality and close-out: completion documents include test results, certificates, warranties, as-built information and handover manuals. Final payment is subject to completion, defect rectification and contract compliance.</w:t>
            </w:r>
          </w:p>
        </w:tc>
      </w:tr>
    </w:tbl>
    <w:p w14:paraId="046D565B" w14:textId="4BA58A94" w:rsidR="00C96733" w:rsidRDefault="00C96733" w:rsidP="00490B9B">
      <w:pPr>
        <w:spacing w:before="0" w:after="160" w:line="259" w:lineRule="auto"/>
        <w:jc w:val="left"/>
      </w:pPr>
    </w:p>
    <w:sectPr w:rsidR="00C96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5570"/>
    <w:multiLevelType w:val="hybridMultilevel"/>
    <w:tmpl w:val="73589280"/>
    <w:lvl w:ilvl="0" w:tplc="6F408ACE">
      <w:start w:val="1"/>
      <w:numFmt w:val="bullet"/>
      <w:lvlText w:val=""/>
      <w:lvlJc w:val="left"/>
      <w:pPr>
        <w:ind w:left="720" w:hanging="360"/>
      </w:pPr>
      <w:rPr>
        <w:rFonts w:ascii="Symbol" w:hAnsi="Symbol" w:hint="default"/>
        <w:color w:val="00314C"/>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A93272"/>
    <w:multiLevelType w:val="hybridMultilevel"/>
    <w:tmpl w:val="08F4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E52904"/>
    <w:multiLevelType w:val="hybridMultilevel"/>
    <w:tmpl w:val="5D3E7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B45CA5"/>
    <w:multiLevelType w:val="hybridMultilevel"/>
    <w:tmpl w:val="CD96A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919739F"/>
    <w:multiLevelType w:val="hybridMultilevel"/>
    <w:tmpl w:val="D6482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2634484">
    <w:abstractNumId w:val="3"/>
  </w:num>
  <w:num w:numId="2" w16cid:durableId="489447606">
    <w:abstractNumId w:val="1"/>
  </w:num>
  <w:num w:numId="3" w16cid:durableId="1615988395">
    <w:abstractNumId w:val="4"/>
  </w:num>
  <w:num w:numId="4" w16cid:durableId="728959259">
    <w:abstractNumId w:val="0"/>
  </w:num>
  <w:num w:numId="5" w16cid:durableId="200412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05dgyqwdkFFpnEU/nos2pi7cUks55MgiCpF9C4wD239cSsi1EydOGvRSAnA3XXKfjbMWXExUoOi2FAx3c4ceGQ==" w:salt="v/zSU8qtVO0bTYKna0CEU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K1NDOwNDe3MDE0MzFW0lEKTi0uzszPAykwrAUADztgAywAAAA="/>
  </w:docVars>
  <w:rsids>
    <w:rsidRoot w:val="00D9030E"/>
    <w:rsid w:val="003365B8"/>
    <w:rsid w:val="003D2B44"/>
    <w:rsid w:val="003F1E8C"/>
    <w:rsid w:val="003F7284"/>
    <w:rsid w:val="00421910"/>
    <w:rsid w:val="004507A6"/>
    <w:rsid w:val="004757AF"/>
    <w:rsid w:val="00490B9B"/>
    <w:rsid w:val="0049414B"/>
    <w:rsid w:val="00582B6A"/>
    <w:rsid w:val="005B443E"/>
    <w:rsid w:val="005F79A4"/>
    <w:rsid w:val="006160FD"/>
    <w:rsid w:val="006C7045"/>
    <w:rsid w:val="00852E78"/>
    <w:rsid w:val="00862AB3"/>
    <w:rsid w:val="008D5116"/>
    <w:rsid w:val="00C20BAA"/>
    <w:rsid w:val="00C96733"/>
    <w:rsid w:val="00D903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8948"/>
  <w15:chartTrackingRefBased/>
  <w15:docId w15:val="{C2154AB3-62E4-486F-AABA-1ABEEA8D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D9030E"/>
    <w:pPr>
      <w:spacing w:before="120" w:after="120" w:line="240" w:lineRule="atLeast"/>
      <w:jc w:val="both"/>
    </w:pPr>
    <w:rPr>
      <w:color w:val="00314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py">
    <w:name w:val="table copy"/>
    <w:basedOn w:val="Normal"/>
    <w:link w:val="tablecopyChar"/>
    <w:qFormat/>
    <w:rsid w:val="00D9030E"/>
    <w:pPr>
      <w:spacing w:before="60" w:after="60"/>
    </w:pPr>
    <w:rPr>
      <w:rFonts w:eastAsia="Calibri" w:cs="Times New Roman"/>
    </w:rPr>
  </w:style>
  <w:style w:type="character" w:customStyle="1" w:styleId="tablecopyChar">
    <w:name w:val="table copy Char"/>
    <w:basedOn w:val="DefaultParagraphFont"/>
    <w:link w:val="tablecopy"/>
    <w:rsid w:val="00D9030E"/>
    <w:rPr>
      <w:rFonts w:eastAsia="Calibri" w:cs="Times New Roman"/>
      <w:color w:val="00314C"/>
    </w:rPr>
  </w:style>
  <w:style w:type="table" w:styleId="TableGrid">
    <w:name w:val="Table Grid"/>
    <w:aliases w:val="Compliant Table Grid,ARA Table,Default Table"/>
    <w:basedOn w:val="TableNormal"/>
    <w:uiPriority w:val="59"/>
    <w:rsid w:val="00D9030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ointhighlight">
    <w:name w:val="table point highlight"/>
    <w:basedOn w:val="Subtitle"/>
    <w:link w:val="tablepointhighlightChar"/>
    <w:qFormat/>
    <w:rsid w:val="00D9030E"/>
    <w:pPr>
      <w:numPr>
        <w:ilvl w:val="0"/>
      </w:numPr>
      <w:spacing w:before="60" w:after="60"/>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D9030E"/>
    <w:rPr>
      <w:rFonts w:eastAsia="Calibri" w:cs="Times New Roman"/>
      <w:b/>
      <w:sz w:val="20"/>
      <w:szCs w:val="18"/>
    </w:rPr>
  </w:style>
  <w:style w:type="paragraph" w:styleId="Subtitle">
    <w:name w:val="Subtitle"/>
    <w:basedOn w:val="Normal"/>
    <w:next w:val="Normal"/>
    <w:link w:val="SubtitleChar"/>
    <w:uiPriority w:val="11"/>
    <w:qFormat/>
    <w:rsid w:val="00D903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030E"/>
    <w:rPr>
      <w:rFonts w:eastAsiaTheme="minorEastAsia"/>
      <w:color w:val="5A5A5A" w:themeColor="text1" w:themeTint="A5"/>
      <w:spacing w:val="15"/>
    </w:rPr>
  </w:style>
  <w:style w:type="paragraph" w:styleId="ListParagraph">
    <w:name w:val="List Paragraph"/>
    <w:aliases w:val="Recommendation,List Paragraph1,List Paragraph11,L,Bullet Point,Bullet points,Content descriptions,Body Bullets 1,Bullet point,List Sub Par"/>
    <w:basedOn w:val="Normal"/>
    <w:link w:val="ListParagraphChar"/>
    <w:uiPriority w:val="34"/>
    <w:qFormat/>
    <w:rsid w:val="008D5116"/>
    <w:pPr>
      <w:spacing w:before="0" w:after="200" w:line="276" w:lineRule="auto"/>
      <w:ind w:left="720"/>
      <w:contextualSpacing/>
      <w:jc w:val="left"/>
    </w:pPr>
    <w:rPr>
      <w:rFonts w:ascii="Arial" w:hAnsi="Arial"/>
      <w:color w:val="auto"/>
    </w:rPr>
  </w:style>
  <w:style w:type="character" w:customStyle="1" w:styleId="ListParagraphChar">
    <w:name w:val="List Paragraph Char"/>
    <w:aliases w:val="Recommendation Char,List Paragraph1 Char,List Paragraph11 Char,L Char,Bullet Point Char,Bullet points Char,Content descriptions Char,Body Bullets 1 Char,Bullet point Char,List Sub Par Char"/>
    <w:basedOn w:val="DefaultParagraphFont"/>
    <w:link w:val="ListParagraph"/>
    <w:uiPriority w:val="34"/>
    <w:rsid w:val="008D5116"/>
    <w:rPr>
      <w:rFonts w:ascii="Arial" w:hAnsi="Arial"/>
    </w:rPr>
  </w:style>
  <w:style w:type="table" w:styleId="GridTable6Colorful-Accent5">
    <w:name w:val="Grid Table 6 Colorful Accent 5"/>
    <w:basedOn w:val="TableNormal"/>
    <w:uiPriority w:val="51"/>
    <w:rsid w:val="003365B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3365B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21" ma:contentTypeDescription="Create a new document." ma:contentTypeScope="" ma:versionID="98cbbaa19b7d498172ea4c4ec0268fad">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7addbfe19f7a00bd156709aa9775367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ef592a5-9a49-4301-898b-75e239aea7a9" xsi:nil="true"/>
    <lcf76f155ced4ddcb4097134ff3c332f xmlns="2ef592a5-9a49-4301-898b-75e239aea7a9">
      <Terms xmlns="http://schemas.microsoft.com/office/infopath/2007/PartnerControls"/>
    </lcf76f155ced4ddcb4097134ff3c332f>
    <TaxCatchAll xmlns="a49d968f-3470-46c7-b45e-0bee092c7a4e" xsi:nil="true"/>
  </documentManagement>
</p:properties>
</file>

<file path=customXml/itemProps1.xml><?xml version="1.0" encoding="utf-8"?>
<ds:datastoreItem xmlns:ds="http://schemas.openxmlformats.org/officeDocument/2006/customXml" ds:itemID="{34566AC3-F685-4256-A099-D474A4400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B5D719-C0C6-4B47-95C1-9A977EA2FD48}">
  <ds:schemaRefs>
    <ds:schemaRef ds:uri="http://schemas.microsoft.com/sharepoint/v3/contenttype/forms"/>
  </ds:schemaRefs>
</ds:datastoreItem>
</file>

<file path=customXml/itemProps3.xml><?xml version="1.0" encoding="utf-8"?>
<ds:datastoreItem xmlns:ds="http://schemas.openxmlformats.org/officeDocument/2006/customXml" ds:itemID="{1473EE71-4A0C-4B91-B8CD-92158ADD35DD}">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Pages>
  <Words>105</Words>
  <Characters>599</Characters>
  <Application>Microsoft Office Word</Application>
  <DocSecurity>8</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Morrissey</dc:creator>
  <cp:keywords/>
  <dc:description/>
  <cp:lastModifiedBy>Jerry Nguyen</cp:lastModifiedBy>
  <cp:revision>7</cp:revision>
  <dcterms:created xsi:type="dcterms:W3CDTF">2022-03-01T10:03:00Z</dcterms:created>
  <dcterms:modified xsi:type="dcterms:W3CDTF">2022-07-21T06:14:00Z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ediaServiceImageTags">
    <vt:lpwstr/>
  </property>
</Properties>
</file>