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4-Accent5"/>
        <w:tblW w:w="5000" w:type="pct"/>
        <w:tblLook w:val="04A0" w:firstRow="1" w:lastRow="0" w:firstColumn="1" w:lastColumn="0" w:noHBand="0" w:noVBand="1"/>
      </w:tblPr>
      <w:tblGrid>
        <w:gridCol w:w="9016"/>
      </w:tblGrid>
      <w:tr w:rsidR="003365B8" w:rsidRPr="00D365C5" w14:paraId="60B58BFC" w14:textId="77777777" w:rsidTr="003365B8">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tcPr>
          <w:p w14:paraId="1DC33AC9" w14:textId="4114E92B" w:rsidR="003365B8" w:rsidRPr="00672887" w:rsidRDefault="003F652D" w:rsidP="00672887">
            <w:r w:rsidRPr="00672887">
              <w:t xml:space="preserve">Selection and management of </w:t>
            </w:r>
            <w:r w:rsidR="00664520" w:rsidRPr="00672887">
              <w:t>subcontractor’s</w:t>
            </w:r>
            <w:r w:rsidRPr="00672887">
              <w:t xml:space="preserve"> policy and procedure</w:t>
            </w:r>
          </w:p>
          <w:p w14:paraId="307702DC" w14:textId="77777777" w:rsidR="003365B8" w:rsidRPr="00672887" w:rsidRDefault="003365B8" w:rsidP="00672887"/>
        </w:tc>
      </w:tr>
      <w:tr w:rsidR="003365B8" w:rsidRPr="00D365C5" w14:paraId="1C6B95DA" w14:textId="77777777" w:rsidTr="00AC4384">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07ECA466" w14:textId="1A37EB84" w:rsidR="003365B8" w:rsidRPr="00672887" w:rsidRDefault="003F652D" w:rsidP="00672887">
            <w:bookmarkStart w:id="0" w:name="_Hlk72918389"/>
            <w:r w:rsidRPr="003F652D">
              <w:t>Policy principles</w:t>
            </w:r>
          </w:p>
        </w:tc>
      </w:tr>
      <w:tr w:rsidR="003365B8" w:rsidRPr="00D365C5" w14:paraId="57738CA7" w14:textId="77777777" w:rsidTr="003365B8">
        <w:trPr>
          <w:trHeight w:val="850"/>
        </w:trPr>
        <w:tc>
          <w:tcPr>
            <w:cnfStyle w:val="001000000000" w:firstRow="0" w:lastRow="0" w:firstColumn="1" w:lastColumn="0" w:oddVBand="0" w:evenVBand="0" w:oddHBand="0" w:evenHBand="0" w:firstRowFirstColumn="0" w:firstRowLastColumn="0" w:lastRowFirstColumn="0" w:lastRowLastColumn="0"/>
            <w:tcW w:w="5000" w:type="pct"/>
          </w:tcPr>
          <w:p>
            <w:r>
              <w:t xml:space="preserve">This policy applies to the Well Street Brighton WC upgrade and governs how subcontractors are selected and engaged. BAA commits to lawful, fair and transparent procurement, compliance with contractual obligations, and strong WHS outcomes. </w:t>
              <w:br/>
              <w:br/>
              <w:t>Policy commitments:</w:t>
              <w:br/>
              <w:t>1. Compliance: all selections comply with relevant legislation, the project contract, and applicable Australian Standards.</w:t>
              <w:br/>
              <w:t>2. WHS first: subcontractors must demonstrate WHS competence, safe systems of work and ongoing compliance with OH&amp;S laws.</w:t>
              <w:br/>
              <w:t>3. Equal opportunity: all applicants are assessed consistently against the same published criteria.</w:t>
              <w:br/>
              <w:t>4. Competence-based engagement: selection considers licence status, capability, experience, resources, quality systems and programme fit.</w:t>
              <w:br/>
              <w:t>5. Programme alignment: engagement timing must support the project sequence and key milestones, including early booking of critical trades.</w:t>
              <w:br/>
              <w:t>6. Accountability: decisions are documented and auditable, and engaged subcontractors are monitored through to completion.</w:t>
            </w:r>
          </w:p>
        </w:tc>
      </w:tr>
      <w:tr w:rsidR="003365B8" w:rsidRPr="00D365C5" w14:paraId="7536C3F1" w14:textId="77777777" w:rsidTr="00AC4384">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2453CB5" w14:textId="0FD696A4" w:rsidR="003365B8" w:rsidRPr="00672887" w:rsidRDefault="003F652D" w:rsidP="00672887">
            <w:bookmarkStart w:id="1" w:name="_Hlk109063341"/>
            <w:r w:rsidRPr="003F652D">
              <w:t>Procedure</w:t>
            </w:r>
          </w:p>
        </w:tc>
      </w:tr>
      <w:bookmarkEnd w:id="1"/>
      <w:tr w:rsidR="003365B8" w:rsidRPr="00D365C5" w14:paraId="46B2C2C8" w14:textId="77777777" w:rsidTr="003365B8">
        <w:trPr>
          <w:trHeight w:val="850"/>
        </w:trPr>
        <w:tc>
          <w:tcPr>
            <w:cnfStyle w:val="001000000000" w:firstRow="0" w:lastRow="0" w:firstColumn="1" w:lastColumn="0" w:oddVBand="0" w:evenVBand="0" w:oddHBand="0" w:evenHBand="0" w:firstRowFirstColumn="0" w:firstRowLastColumn="0" w:lastRowFirstColumn="0" w:lastRowLastColumn="0"/>
            <w:tcW w:w="5000" w:type="pct"/>
          </w:tcPr>
          <w:p>
            <w:r>
              <w:t>Selection and engagement procedure for the Well Street project:</w:t>
              <w:br/>
              <w:br/>
              <w:t>1. Define subcontractor package requirements by construction stage and month using the approved programme. Core trade packages are demolition, excavation, concreting/reinforcement, carpentry/framing/roofing, plumbing, electrical, waterproofing, tiling, painting/fit-off and final clean.</w:t>
              <w:br/>
              <w:br/>
              <w:t>2. Confirm timing and critical path packages. Early procurement is required for demolition, excavation, concreting and framing to protect programme start dates. Long-lead and specialist accessibility installation packages are shortlisted before fit-off.</w:t>
              <w:br/>
              <w:br/>
              <w:t>3. Issue RFQ/ITT documentation including scope, drawings/specifications, WHS requirements, quality requirements, programme dates, contract conditions and submission format.</w:t>
              <w:br/>
              <w:br/>
              <w:t>4. Receive and evaluate submissions using weighted criteria: compliance and licences, WHS record/SWMS quality, relevant experience, resources and supervision, commercial value, quality track record, and ability to meet milestones.</w:t>
              <w:br/>
              <w:br/>
              <w:t>5. Perform qualification checks on shortlisted bidders: licence and insurance currency, references, recent performance, capacity, financial viability where required, and ability to mobilise in line with monthly labour demand.</w:t>
              <w:br/>
              <w:br/>
              <w:t>6. Apply equal opportunity controls: same briefing information to all tenderers, same close time, same evaluation matrix, conflict-of-interest declarations by evaluators, and documented reasons for selection/non-selection.</w:t>
              <w:br/>
              <w:br/>
              <w:t>7. Select preferred subcontractor and obtain internal approval. Issue letter of intent/award, then finalise subcontract agreement, scope inclusions/exclusions, start dates, hold points and reporting expectations.</w:t>
              <w:br/>
              <w:br/>
              <w:t>8. Notify unsuccessful tenderers in writing with courteous outcome advice and keep records in the tender register.</w:t>
              <w:br/>
              <w:br/>
              <w:t>9. Pre-start and mobilisation: complete contract execution, confirm programme interfaces, collect SWMS/permits, and complete induction before site access.</w:t>
            </w:r>
          </w:p>
        </w:tc>
      </w:tr>
      <w:bookmarkEnd w:id="0"/>
      <w:tr w:rsidR="00664520" w:rsidRPr="003365B8" w14:paraId="7F9857D1" w14:textId="77777777" w:rsidTr="00AC4384">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9E4F504" w14:textId="754C7464" w:rsidR="00664520" w:rsidRPr="00672887" w:rsidRDefault="00AC4384" w:rsidP="00672887">
            <w:r w:rsidRPr="0006300C">
              <w:t>Training</w:t>
            </w:r>
          </w:p>
        </w:tc>
      </w:tr>
      <w:tr w:rsidR="00664520" w:rsidRPr="003365B8" w14:paraId="19AAAA61" w14:textId="77777777" w:rsidTr="00FC4A44">
        <w:trPr>
          <w:trHeight w:val="850"/>
        </w:trPr>
        <w:tc>
          <w:tcPr>
            <w:cnfStyle w:val="001000000000" w:firstRow="0" w:lastRow="0" w:firstColumn="1" w:lastColumn="0" w:oddVBand="0" w:evenVBand="0" w:oddHBand="0" w:evenHBand="0" w:firstRowFirstColumn="0" w:firstRowLastColumn="0" w:lastRowFirstColumn="0" w:lastRowLastColumn="0"/>
            <w:tcW w:w="5000" w:type="pct"/>
          </w:tcPr>
          <w:p>
            <w:r>
              <w:t>Commencement and site induction requirements before work starts:</w:t>
              <w:br/>
              <w:t>1. Mandatory site induction covering WHS duties, hazards, emergency procedures, incident reporting, environmental controls and site rules.</w:t>
              <w:br/>
              <w:t>2. Review of project communication lines: Site Supervisor as primary point of contact, daily pre-start participation and weekly coordination meetings.</w:t>
              <w:br/>
              <w:t>3. Review of reporting obligations: daily attendance, weekly progress updates, look-ahead constraints, quality hold-point notifications and defect close-out evidence.</w:t>
              <w:br/>
              <w:t>4. Verification of competency evidence and plant/equipment compliance before mobilisation.</w:t>
              <w:br/>
              <w:t>5. Confirmation of working hours, access zones, interface controls and permit-to-work requirements.</w:t>
            </w:r>
          </w:p>
        </w:tc>
      </w:tr>
      <w:tr w:rsidR="00AC4384" w:rsidRPr="003365B8" w14:paraId="31A52B7D" w14:textId="77777777" w:rsidTr="00AC4384">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59086204" w14:textId="05FB388E" w:rsidR="00AC4384" w:rsidRPr="00672887" w:rsidRDefault="0089630C" w:rsidP="00672887">
            <w:r w:rsidRPr="0006300C">
              <w:t xml:space="preserve">Contractor - </w:t>
            </w:r>
            <w:r w:rsidR="00AC4384" w:rsidRPr="00672887">
              <w:t>Monitor and Review</w:t>
            </w:r>
          </w:p>
        </w:tc>
      </w:tr>
      <w:tr w:rsidR="00AC4384" w:rsidRPr="003365B8" w14:paraId="585393FD" w14:textId="77777777" w:rsidTr="00FC4A44">
        <w:trPr>
          <w:trHeight w:val="850"/>
        </w:trPr>
        <w:tc>
          <w:tcPr>
            <w:cnfStyle w:val="001000000000" w:firstRow="0" w:lastRow="0" w:firstColumn="1" w:lastColumn="0" w:oddVBand="0" w:evenVBand="0" w:oddHBand="0" w:evenHBand="0" w:firstRowFirstColumn="0" w:firstRowLastColumn="0" w:lastRowFirstColumn="0" w:lastRowLastColumn="0"/>
            <w:tcW w:w="5000" w:type="pct"/>
          </w:tcPr>
          <w:p>
            <w:r>
              <w:t>Contractor monitor and review process:</w:t>
              <w:br/>
              <w:t>1. Performance monitoring: safety, quality, programme adherence, responsiveness and documentation compliance are reviewed weekly.</w:t>
              <w:br/>
              <w:t>2. Milestone reviews: formal checks at pre-pour, framing completion, services rough-in, waterproofing, fit-off and practical completion.</w:t>
              <w:br/>
              <w:t>3. Corrective actions: non-conformances or delays trigger action notices with due dates and follow-up verification.</w:t>
              <w:br/>
              <w:t>4. Contract issue meetings: unresolved scope, quality, delay or payment issues are escalated with minutes and action tracking.</w:t>
              <w:br/>
              <w:t>5. Final performance profile: each subcontractor is rated on strengths/weaknesses for future prequalification decisions.</w:t>
            </w:r>
          </w:p>
        </w:tc>
      </w:tr>
      <w:tr w:rsidR="00AC4384" w:rsidRPr="003365B8" w14:paraId="4A0E6C87" w14:textId="77777777" w:rsidTr="00AC4384">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DC5D879" w14:textId="42E91DE8" w:rsidR="00AC4384" w:rsidRPr="00672887" w:rsidRDefault="00AC4384" w:rsidP="00672887">
            <w:r w:rsidRPr="0006300C">
              <w:t>Reference</w:t>
            </w:r>
          </w:p>
        </w:tc>
      </w:tr>
      <w:tr w:rsidR="00AC4384" w:rsidRPr="003F652D" w14:paraId="54267AEA" w14:textId="77777777" w:rsidTr="00AC4384">
        <w:trPr>
          <w:trHeight w:val="850"/>
        </w:trPr>
        <w:tc>
          <w:tcPr>
            <w:cnfStyle w:val="001000000000" w:firstRow="0" w:lastRow="0" w:firstColumn="1" w:lastColumn="0" w:oddVBand="0" w:evenVBand="0" w:oddHBand="0" w:evenHBand="0" w:firstRowFirstColumn="0" w:firstRowLastColumn="0" w:lastRowFirstColumn="0" w:lastRowLastColumn="0"/>
            <w:tcW w:w="5000" w:type="pct"/>
          </w:tcPr>
          <w:p>
            <w:r>
              <w:t>References used for this policy:</w:t>
              <w:br/>
              <w:t>- Well Street Drawings and Specifications (project scope and trade interfaces).</w:t>
              <w:br/>
              <w:t>- Minor Works Contract (subcontracting approval, WHS responsibilities, goods/equipment obligations).</w:t>
              <w:br/>
              <w:t>- Module 6 Project Task 2.1 Part B instructions and assessment criteria.</w:t>
              <w:br/>
              <w:t>- Part A project outputs: labour requirements chart and subcontractor management plan (trade list and programme alignment).</w:t>
            </w:r>
          </w:p>
        </w:tc>
      </w:tr>
      <w:tr w:rsidR="00AC4384" w:rsidRPr="003F652D" w14:paraId="06676228" w14:textId="77777777" w:rsidTr="00AC4384">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80F84D2" w14:textId="1893EEAB" w:rsidR="00AC4384" w:rsidRPr="00672887" w:rsidRDefault="00AC4384" w:rsidP="00672887">
            <w:r w:rsidRPr="0006300C">
              <w:t>Quality Assurance</w:t>
            </w:r>
          </w:p>
        </w:tc>
      </w:tr>
      <w:tr w:rsidR="00AC4384" w:rsidRPr="003F652D" w14:paraId="3DF1F7F8" w14:textId="77777777" w:rsidTr="00AC4384">
        <w:trPr>
          <w:trHeight w:val="850"/>
        </w:trPr>
        <w:tc>
          <w:tcPr>
            <w:cnfStyle w:val="001000000000" w:firstRow="0" w:lastRow="0" w:firstColumn="1" w:lastColumn="0" w:oddVBand="0" w:evenVBand="0" w:oddHBand="0" w:evenHBand="0" w:firstRowFirstColumn="0" w:firstRowLastColumn="0" w:lastRowFirstColumn="0" w:lastRowLastColumn="0"/>
            <w:tcW w:w="5000" w:type="pct"/>
          </w:tcPr>
          <w:p>
            <w:r>
              <w:t>Quality assurance controls:</w:t>
              <w:br/>
              <w:t>1. Tender and selection records retained (RFQs, bids, evaluation matrix, approvals, notification letters).</w:t>
              <w:br/>
              <w:t>2. Induction and compliance records retained (licences, insurances, SWMS, permits, toolbox records).</w:t>
              <w:br/>
              <w:t>3. Inspection and hold-point records maintained before work is covered up.</w:t>
              <w:br/>
              <w:t>4. Version-controlled subcontract scopes and variation register maintained.</w:t>
              <w:br/>
              <w:t>5. Documented lessons learned and subcontractor performance outcomes stored for future projects.</w:t>
            </w:r>
          </w:p>
        </w:tc>
      </w:tr>
    </w:tbl>
    <w:p w14:paraId="6B4E32FB" w14:textId="6CC47DCB" w:rsidR="003365B8" w:rsidRDefault="003365B8" w:rsidP="00672887"/>
    <w:sectPr w:rsidR="003365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18D1"/>
    <w:multiLevelType w:val="hybridMultilevel"/>
    <w:tmpl w:val="2ECE06B2"/>
    <w:lvl w:ilvl="0" w:tplc="D76CDE6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AF5570"/>
    <w:multiLevelType w:val="hybridMultilevel"/>
    <w:tmpl w:val="D786CAF4"/>
    <w:lvl w:ilvl="0" w:tplc="6F408ACE">
      <w:start w:val="1"/>
      <w:numFmt w:val="bullet"/>
      <w:lvlText w:val=""/>
      <w:lvlJc w:val="left"/>
      <w:pPr>
        <w:ind w:left="720" w:hanging="360"/>
      </w:pPr>
      <w:rPr>
        <w:rFonts w:ascii="Symbol" w:hAnsi="Symbol" w:hint="default"/>
        <w:color w:val="00314C"/>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E7F4FA0"/>
    <w:multiLevelType w:val="hybridMultilevel"/>
    <w:tmpl w:val="FF38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93272"/>
    <w:multiLevelType w:val="hybridMultilevel"/>
    <w:tmpl w:val="08F4F7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8143469"/>
    <w:multiLevelType w:val="hybridMultilevel"/>
    <w:tmpl w:val="5B149F8C"/>
    <w:lvl w:ilvl="0" w:tplc="57A859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81F6DD8"/>
    <w:multiLevelType w:val="hybridMultilevel"/>
    <w:tmpl w:val="A8020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556A2C"/>
    <w:multiLevelType w:val="hybridMultilevel"/>
    <w:tmpl w:val="C24C9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1D6EAC"/>
    <w:multiLevelType w:val="hybridMultilevel"/>
    <w:tmpl w:val="1D1AF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0B2E78"/>
    <w:multiLevelType w:val="multilevel"/>
    <w:tmpl w:val="804AF71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24244A9"/>
    <w:multiLevelType w:val="hybridMultilevel"/>
    <w:tmpl w:val="C49C4160"/>
    <w:lvl w:ilvl="0" w:tplc="04090001">
      <w:start w:val="1"/>
      <w:numFmt w:val="bullet"/>
      <w:lvlText w:val=""/>
      <w:lvlJc w:val="left"/>
      <w:pPr>
        <w:ind w:left="720" w:hanging="360"/>
      </w:pPr>
      <w:rPr>
        <w:rFonts w:ascii="Symbol" w:hAnsi="Symbol" w:hint="default"/>
      </w:rPr>
    </w:lvl>
    <w:lvl w:ilvl="1" w:tplc="332217A4">
      <w:start w:val="1"/>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EC167F"/>
    <w:multiLevelType w:val="hybridMultilevel"/>
    <w:tmpl w:val="9404D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B071E"/>
    <w:multiLevelType w:val="hybridMultilevel"/>
    <w:tmpl w:val="1CE4B8D4"/>
    <w:lvl w:ilvl="0" w:tplc="C3DA3B9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F0B44DD"/>
    <w:multiLevelType w:val="multilevel"/>
    <w:tmpl w:val="804AF7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B71C9B"/>
    <w:multiLevelType w:val="hybridMultilevel"/>
    <w:tmpl w:val="2834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EA5BEF"/>
    <w:multiLevelType w:val="hybridMultilevel"/>
    <w:tmpl w:val="72326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CF1639"/>
    <w:multiLevelType w:val="multilevel"/>
    <w:tmpl w:val="804AF7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75B1868"/>
    <w:multiLevelType w:val="hybridMultilevel"/>
    <w:tmpl w:val="DA6889E0"/>
    <w:lvl w:ilvl="0" w:tplc="04090001">
      <w:start w:val="1"/>
      <w:numFmt w:val="bullet"/>
      <w:lvlText w:val=""/>
      <w:lvlJc w:val="left"/>
      <w:pPr>
        <w:ind w:left="720" w:hanging="360"/>
      </w:pPr>
      <w:rPr>
        <w:rFonts w:ascii="Symbol" w:hAnsi="Symbol" w:hint="default"/>
      </w:rPr>
    </w:lvl>
    <w:lvl w:ilvl="1" w:tplc="D368F206">
      <w:numFmt w:val="bullet"/>
      <w:lvlText w:val="·"/>
      <w:lvlJc w:val="left"/>
      <w:pPr>
        <w:ind w:left="1440" w:hanging="360"/>
      </w:pPr>
      <w:rPr>
        <w:rFonts w:ascii="Calibri" w:eastAsiaTheme="minorHAnsi" w:hAnsi="Calibri" w:cs="Calibri"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6308E1"/>
    <w:multiLevelType w:val="hybridMultilevel"/>
    <w:tmpl w:val="888AB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DE76C5"/>
    <w:multiLevelType w:val="hybridMultilevel"/>
    <w:tmpl w:val="27AA10B8"/>
    <w:lvl w:ilvl="0" w:tplc="68EC88C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4E60602"/>
    <w:multiLevelType w:val="multilevel"/>
    <w:tmpl w:val="804AF7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DB45CA5"/>
    <w:multiLevelType w:val="hybridMultilevel"/>
    <w:tmpl w:val="CD96A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919739F"/>
    <w:multiLevelType w:val="hybridMultilevel"/>
    <w:tmpl w:val="D64823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92634484">
    <w:abstractNumId w:val="20"/>
  </w:num>
  <w:num w:numId="2" w16cid:durableId="489447606">
    <w:abstractNumId w:val="3"/>
  </w:num>
  <w:num w:numId="3" w16cid:durableId="1615988395">
    <w:abstractNumId w:val="21"/>
  </w:num>
  <w:num w:numId="4" w16cid:durableId="728959259">
    <w:abstractNumId w:val="1"/>
  </w:num>
  <w:num w:numId="5" w16cid:durableId="125201186">
    <w:abstractNumId w:val="16"/>
  </w:num>
  <w:num w:numId="6" w16cid:durableId="261379125">
    <w:abstractNumId w:val="9"/>
  </w:num>
  <w:num w:numId="7" w16cid:durableId="823163296">
    <w:abstractNumId w:val="15"/>
  </w:num>
  <w:num w:numId="8" w16cid:durableId="1883395505">
    <w:abstractNumId w:val="12"/>
  </w:num>
  <w:num w:numId="9" w16cid:durableId="515703066">
    <w:abstractNumId w:val="19"/>
  </w:num>
  <w:num w:numId="10" w16cid:durableId="1855267">
    <w:abstractNumId w:val="6"/>
  </w:num>
  <w:num w:numId="11" w16cid:durableId="1082414452">
    <w:abstractNumId w:val="2"/>
  </w:num>
  <w:num w:numId="12" w16cid:durableId="1353531951">
    <w:abstractNumId w:val="14"/>
  </w:num>
  <w:num w:numId="13" w16cid:durableId="2004623803">
    <w:abstractNumId w:val="8"/>
  </w:num>
  <w:num w:numId="14" w16cid:durableId="663123397">
    <w:abstractNumId w:val="17"/>
  </w:num>
  <w:num w:numId="15" w16cid:durableId="973870502">
    <w:abstractNumId w:val="7"/>
  </w:num>
  <w:num w:numId="16" w16cid:durableId="53740768">
    <w:abstractNumId w:val="13"/>
  </w:num>
  <w:num w:numId="17" w16cid:durableId="1133713229">
    <w:abstractNumId w:val="5"/>
  </w:num>
  <w:num w:numId="18" w16cid:durableId="287206228">
    <w:abstractNumId w:val="10"/>
  </w:num>
  <w:num w:numId="19" w16cid:durableId="1724022006">
    <w:abstractNumId w:val="4"/>
  </w:num>
  <w:num w:numId="20" w16cid:durableId="776871066">
    <w:abstractNumId w:val="0"/>
  </w:num>
  <w:num w:numId="21" w16cid:durableId="1097025254">
    <w:abstractNumId w:val="18"/>
  </w:num>
  <w:num w:numId="22" w16cid:durableId="3476778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formatting="1" w:enforcement="1" w:cryptProviderType="rsaAES" w:cryptAlgorithmClass="hash" w:cryptAlgorithmType="typeAny" w:cryptAlgorithmSid="14" w:cryptSpinCount="100000" w:hash="a7AiLSBHimihCydrcbSwOGm5WrZMF1PGjRdZzfUle/Hr5AMwnfXCG1+d5WX9/Uh21Wqu5CvZ6fmB2YqXcQJvIg==" w:salt="0M/FM99+BNUQx6K9Alyxmg=="/>
  <w:autoFormatOverrid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30E"/>
    <w:rsid w:val="00026909"/>
    <w:rsid w:val="0006300C"/>
    <w:rsid w:val="00151D89"/>
    <w:rsid w:val="001D19C1"/>
    <w:rsid w:val="002932DB"/>
    <w:rsid w:val="002E08CF"/>
    <w:rsid w:val="003365B8"/>
    <w:rsid w:val="003F652D"/>
    <w:rsid w:val="004757AF"/>
    <w:rsid w:val="00664520"/>
    <w:rsid w:val="00672887"/>
    <w:rsid w:val="0089630C"/>
    <w:rsid w:val="008D5116"/>
    <w:rsid w:val="00982B29"/>
    <w:rsid w:val="00AC4384"/>
    <w:rsid w:val="00B24958"/>
    <w:rsid w:val="00B85110"/>
    <w:rsid w:val="00C96733"/>
    <w:rsid w:val="00CA07FA"/>
    <w:rsid w:val="00CD0E28"/>
    <w:rsid w:val="00D9030E"/>
    <w:rsid w:val="00E562F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8948"/>
  <w15:chartTrackingRefBased/>
  <w15:docId w15:val="{C2154AB3-62E4-486F-AABA-1ABEEA8DB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AC4384"/>
    <w:pPr>
      <w:spacing w:before="120" w:after="120" w:line="240" w:lineRule="atLeast"/>
      <w:jc w:val="both"/>
    </w:pPr>
    <w:rPr>
      <w:color w:val="00314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py">
    <w:name w:val="table copy"/>
    <w:basedOn w:val="Normal"/>
    <w:link w:val="tablecopyChar"/>
    <w:qFormat/>
    <w:rsid w:val="00D9030E"/>
    <w:pPr>
      <w:spacing w:before="60" w:after="60"/>
    </w:pPr>
    <w:rPr>
      <w:rFonts w:eastAsia="Calibri" w:cs="Times New Roman"/>
    </w:rPr>
  </w:style>
  <w:style w:type="character" w:customStyle="1" w:styleId="tablecopyChar">
    <w:name w:val="table copy Char"/>
    <w:basedOn w:val="DefaultParagraphFont"/>
    <w:link w:val="tablecopy"/>
    <w:rsid w:val="00D9030E"/>
    <w:rPr>
      <w:rFonts w:eastAsia="Calibri" w:cs="Times New Roman"/>
      <w:color w:val="00314C"/>
    </w:rPr>
  </w:style>
  <w:style w:type="table" w:styleId="TableGrid">
    <w:name w:val="Table Grid"/>
    <w:aliases w:val="Compliant Table Grid,ARA Table,Default Table"/>
    <w:basedOn w:val="TableNormal"/>
    <w:uiPriority w:val="59"/>
    <w:rsid w:val="00D9030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ointhighlight">
    <w:name w:val="table point highlight"/>
    <w:basedOn w:val="Subtitle"/>
    <w:link w:val="tablepointhighlightChar"/>
    <w:qFormat/>
    <w:rsid w:val="00D9030E"/>
    <w:pPr>
      <w:numPr>
        <w:ilvl w:val="0"/>
      </w:numPr>
      <w:spacing w:before="60" w:after="60"/>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D9030E"/>
    <w:rPr>
      <w:rFonts w:eastAsia="Calibri" w:cs="Times New Roman"/>
      <w:b/>
      <w:sz w:val="20"/>
      <w:szCs w:val="18"/>
    </w:rPr>
  </w:style>
  <w:style w:type="paragraph" w:styleId="Subtitle">
    <w:name w:val="Subtitle"/>
    <w:basedOn w:val="Normal"/>
    <w:next w:val="Normal"/>
    <w:link w:val="SubtitleChar"/>
    <w:uiPriority w:val="11"/>
    <w:qFormat/>
    <w:rsid w:val="00D9030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9030E"/>
    <w:rPr>
      <w:rFonts w:eastAsiaTheme="minorEastAsia"/>
      <w:color w:val="5A5A5A" w:themeColor="text1" w:themeTint="A5"/>
      <w:spacing w:val="15"/>
    </w:rPr>
  </w:style>
  <w:style w:type="paragraph" w:styleId="ListParagraph">
    <w:name w:val="List Paragraph"/>
    <w:aliases w:val="Recommendation,List Paragraph1,List Paragraph11,L,Bullet Point,Bullet points,Content descriptions,Body Bullets 1,Bullet point,List Sub Par"/>
    <w:basedOn w:val="Normal"/>
    <w:link w:val="ListParagraphChar"/>
    <w:uiPriority w:val="34"/>
    <w:qFormat/>
    <w:rsid w:val="008D5116"/>
    <w:pPr>
      <w:spacing w:before="0" w:after="200" w:line="276" w:lineRule="auto"/>
      <w:ind w:left="720"/>
      <w:contextualSpacing/>
      <w:jc w:val="left"/>
    </w:pPr>
    <w:rPr>
      <w:rFonts w:ascii="Arial" w:hAnsi="Arial"/>
      <w:color w:val="auto"/>
    </w:rPr>
  </w:style>
  <w:style w:type="character" w:customStyle="1" w:styleId="ListParagraphChar">
    <w:name w:val="List Paragraph Char"/>
    <w:aliases w:val="Recommendation Char,List Paragraph1 Char,List Paragraph11 Char,L Char,Bullet Point Char,Bullet points Char,Content descriptions Char,Body Bullets 1 Char,Bullet point Char,List Sub Par Char"/>
    <w:basedOn w:val="DefaultParagraphFont"/>
    <w:link w:val="ListParagraph"/>
    <w:uiPriority w:val="34"/>
    <w:rsid w:val="008D5116"/>
    <w:rPr>
      <w:rFonts w:ascii="Arial" w:hAnsi="Arial"/>
    </w:rPr>
  </w:style>
  <w:style w:type="table" w:styleId="GridTable6Colorful-Accent5">
    <w:name w:val="Grid Table 6 Colorful Accent 5"/>
    <w:basedOn w:val="TableNormal"/>
    <w:uiPriority w:val="51"/>
    <w:rsid w:val="003365B8"/>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3365B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21" ma:contentTypeDescription="Create a new document." ma:contentTypeScope="" ma:versionID="98cbbaa19b7d498172ea4c4ec0268fad">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7addbfe19f7a00bd156709aa9775367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2ef592a5-9a49-4301-898b-75e239aea7a9" xsi:nil="true"/>
    <lcf76f155ced4ddcb4097134ff3c332f xmlns="2ef592a5-9a49-4301-898b-75e239aea7a9">
      <Terms xmlns="http://schemas.microsoft.com/office/infopath/2007/PartnerControls"/>
    </lcf76f155ced4ddcb4097134ff3c332f>
    <TaxCatchAll xmlns="a49d968f-3470-46c7-b45e-0bee092c7a4e" xsi:nil="true"/>
  </documentManagement>
</p:properties>
</file>

<file path=customXml/itemProps1.xml><?xml version="1.0" encoding="utf-8"?>
<ds:datastoreItem xmlns:ds="http://schemas.openxmlformats.org/officeDocument/2006/customXml" ds:itemID="{2F655428-3A21-485F-8795-17CC790E69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AB8716-6895-45BB-958D-E3BF861F00B3}">
  <ds:schemaRefs>
    <ds:schemaRef ds:uri="http://schemas.microsoft.com/sharepoint/v3/contenttype/forms"/>
  </ds:schemaRefs>
</ds:datastoreItem>
</file>

<file path=customXml/itemProps3.xml><?xml version="1.0" encoding="utf-8"?>
<ds:datastoreItem xmlns:ds="http://schemas.openxmlformats.org/officeDocument/2006/customXml" ds:itemID="{89AA7FAE-517A-4E2F-B7AF-C21E24B72E77}">
  <ds:schemaRefs>
    <ds:schemaRef ds:uri="http://purl.org/dc/elements/1.1/"/>
    <ds:schemaRef ds:uri="http://purl.org/dc/dcmitype/"/>
    <ds:schemaRef ds:uri="http://purl.org/dc/terms/"/>
    <ds:schemaRef ds:uri="http://www.w3.org/XML/1998/namespace"/>
    <ds:schemaRef ds:uri="2ef592a5-9a49-4301-898b-75e239aea7a9"/>
    <ds:schemaRef ds:uri="http://schemas.microsoft.com/office/2006/documentManagement/types"/>
    <ds:schemaRef ds:uri="http://schemas.microsoft.com/office/infopath/2007/PartnerControls"/>
    <ds:schemaRef ds:uri="http://schemas.openxmlformats.org/package/2006/metadata/core-properties"/>
    <ds:schemaRef ds:uri="a49d968f-3470-46c7-b45e-0bee092c7a4e"/>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Words>
  <Characters>157</Characters>
  <Application>Microsoft Office Word</Application>
  <DocSecurity>8</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Morrissey</dc:creator>
  <cp:keywords/>
  <dc:description/>
  <cp:lastModifiedBy>Jerry Nguyen</cp:lastModifiedBy>
  <cp:revision>7</cp:revision>
  <dcterms:created xsi:type="dcterms:W3CDTF">2022-07-18T10:45:00Z</dcterms:created>
  <dcterms:modified xsi:type="dcterms:W3CDTF">2022-07-21T06:11:00Z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ediaServiceImageTags">
    <vt:lpwstr/>
  </property>
</Properties>
</file>