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Feasibility Report - 10 Riddle Street Bentleigh VIC 3204</w:t>
      </w:r>
    </w:p>
    <w:p>
      <w:r>
        <w:t>Date: 06/03/2026.</w:t>
      </w:r>
    </w:p>
    <w:p>
      <w:pPr>
        <w:pStyle w:val="Heading2"/>
      </w:pPr>
      <w:r>
        <w:t>1. Project Overview</w:t>
      </w:r>
    </w:p>
    <w:p>
      <w:r>
        <w:t>This report assesses whether the client should purchase and repair the existing dwelling at 10 Riddle Street Bentleigh, or demolish and rebuild. The feasibility considers building condition, safety risks, rectification costs, legal/planning constraints, service limitations and development outcomes.</w:t>
      </w:r>
    </w:p>
    <w:p>
      <w:pPr>
        <w:pStyle w:val="Heading2"/>
      </w:pPr>
      <w:r>
        <w:t>2. Property Description</w:t>
      </w:r>
    </w:p>
    <w:p>
      <w:r>
        <w:t>The subject property is a house at 10 Riddle Street Bentleigh VIC 3204 on approximately 585 sqm, marketed as a 3 bedroom, 1 bathroom, 3 car property. The Statement of Information indicates an advertised range of $1,300,000 to $1,400,000 and a Bentleigh house median of $1,861,250 (year ending March 2022).</w:t>
      </w:r>
    </w:p>
    <w:p>
      <w:pPr>
        <w:pStyle w:val="Heading2"/>
      </w:pPr>
      <w:r>
        <w:t>3. Identified Building Issues</w:t>
      </w:r>
    </w:p>
    <w:p>
      <w:r>
        <w:t>Inspection evidence indicates extensive structural and condition defects, including: leaning/cracked front and rear retaining walls, deteriorated/cracked porch concrete overhead slab, unsafe loft stairs with corrosion, severely corroded carport roof sheeting, asbestos roof sheeting at loft, bathroom waterproofing and tile failures, cracked shower base, widespread water ingress and damp damage, rotten window/door frames, disconnected downpipes/stormwater defects, and general non-compliance risk across the dwelling.</w:t>
      </w:r>
    </w:p>
    <w:p>
      <w:pPr>
        <w:pStyle w:val="Heading2"/>
      </w:pPr>
      <w:r>
        <w:t>4. Cost of Rectification</w:t>
      </w:r>
    </w:p>
    <w:p>
      <w:r>
        <w:t>The detailed Costings Template estimates total rectification at $606,001 including GST ($550,910 ex GST plus $55,091 GST). This includes structural repairs, roofing and envelope repairs, wet area remediation, internal make-good, service corrections, documentation costs and a latent defects contingency.</w:t>
      </w:r>
    </w:p>
    <w:tbl>
      <w:tblPr>
        <w:tblW w:type="auto" w:w="0"/>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Estimated Cost (incl GST)</w:t>
            </w:r>
          </w:p>
        </w:tc>
        <w:tc>
          <w:tcPr>
            <w:tcW w:type="dxa" w:w="2160"/>
          </w:tcPr>
          <w:p>
            <w:r>
              <w:t>Timeframe</w:t>
            </w:r>
          </w:p>
        </w:tc>
        <w:tc>
          <w:tcPr>
            <w:tcW w:type="dxa" w:w="2160"/>
          </w:tcPr>
          <w:p>
            <w:r>
              <w:t>Risk Profile</w:t>
            </w:r>
          </w:p>
        </w:tc>
      </w:tr>
      <w:tr>
        <w:tc>
          <w:tcPr>
            <w:tcW w:type="dxa" w:w="2160"/>
          </w:tcPr>
          <w:p>
            <w:r>
              <w:t>Rectify existing dwelling</w:t>
            </w:r>
          </w:p>
        </w:tc>
        <w:tc>
          <w:tcPr>
            <w:tcW w:type="dxa" w:w="2160"/>
          </w:tcPr>
          <w:p>
            <w:r>
              <w:t>$606,001</w:t>
            </w:r>
          </w:p>
        </w:tc>
        <w:tc>
          <w:tcPr>
            <w:tcW w:type="dxa" w:w="2160"/>
          </w:tcPr>
          <w:p>
            <w:r>
              <w:t>Approx. 6-9 months</w:t>
            </w:r>
          </w:p>
        </w:tc>
        <w:tc>
          <w:tcPr>
            <w:tcW w:type="dxa" w:w="2160"/>
          </w:tcPr>
          <w:p>
            <w:r>
              <w:t>High latent defect risk in aging structure</w:t>
            </w:r>
          </w:p>
        </w:tc>
      </w:tr>
      <w:tr>
        <w:tc>
          <w:tcPr>
            <w:tcW w:type="dxa" w:w="2160"/>
          </w:tcPr>
          <w:p>
            <w:r>
              <w:t>Demolish and rebuild</w:t>
            </w:r>
          </w:p>
        </w:tc>
        <w:tc>
          <w:tcPr>
            <w:tcW w:type="dxa" w:w="2160"/>
          </w:tcPr>
          <w:p>
            <w:r>
              <w:t>~$1,070,000 (assumption-based feasibility allowance)</w:t>
            </w:r>
          </w:p>
        </w:tc>
        <w:tc>
          <w:tcPr>
            <w:tcW w:type="dxa" w:w="2160"/>
          </w:tcPr>
          <w:p>
            <w:r>
              <w:t>Approx. 14-18 months</w:t>
            </w:r>
          </w:p>
        </w:tc>
        <w:tc>
          <w:tcPr>
            <w:tcW w:type="dxa" w:w="2160"/>
          </w:tcPr>
          <w:p>
            <w:r>
              <w:t>Lower long-term maintenance risk; higher upfront capital</w:t>
            </w:r>
          </w:p>
        </w:tc>
      </w:tr>
    </w:tbl>
    <w:p>
      <w:pPr>
        <w:pStyle w:val="Heading2"/>
      </w:pPr>
      <w:r>
        <w:t>5. Repair vs Demolition Analysis</w:t>
      </w:r>
    </w:p>
    <w:p>
      <w:r>
        <w:t>Repairing is materially cheaper upfront but still significant and exposed to unknown latent defects, especially in concealed structural, moisture and service elements. Given the age/condition profile and asbestos handling requirements, there is a high probability of cost escalation beyond the current estimate. Demolition and rebuild requires substantially higher capital but provides a compliant new dwelling outcome with improved asset life, energy performance and lower maintenance risk.</w:t>
      </w:r>
    </w:p>
    <w:p>
      <w:pPr>
        <w:pStyle w:val="Heading2"/>
      </w:pPr>
      <w:r>
        <w:t>6. Immediate Safety Issues</w:t>
      </w:r>
    </w:p>
    <w:p>
      <w:r>
        <w:t>Immediate occupation is not recommended until critical risks are addressed. Immediate hazards include: retaining wall structural instability, porch slab failure risk, unsafe loft stair collapse risk, and corroded carport roof sheeting with through-holes. Access to hazardous roof/loft areas should be controlled until remediation.</w:t>
      </w:r>
    </w:p>
    <w:p>
      <w:pPr>
        <w:pStyle w:val="Heading2"/>
      </w:pPr>
      <w:r>
        <w:t>7. Environmental Impacts</w:t>
      </w:r>
    </w:p>
    <w:p>
      <w:r>
        <w:t>Environmental impacts include asbestos handling/removal, waste segregation and lawful disposal, dust/noise management during demolition or major repairs, and potential contaminated material handling from old construction elements. Works should comply with EPA and local council waste requirements, with licensed asbestos contractors and disposal records.</w:t>
      </w:r>
    </w:p>
    <w:p>
      <w:pPr>
        <w:pStyle w:val="Heading2"/>
      </w:pPr>
      <w:r>
        <w:t>8. Encumbrances and Legal Considerations</w:t>
      </w:r>
    </w:p>
    <w:p>
      <w:r>
        <w:t>The supplied documents do not provide a full title search; therefore easements, covenants, caveats and restrictions must be confirmed before commitment. Legal due diligence should include title/plan checks, planning certificate review, building permit history, and contractual special conditions for defect risk allocation. Any major structural work or demolition/rebuild requires the relevant approvals and compliance certifications.</w:t>
      </w:r>
    </w:p>
    <w:p>
      <w:pPr>
        <w:pStyle w:val="Heading2"/>
      </w:pPr>
      <w:r>
        <w:t>9. Development Limitations</w:t>
      </w:r>
    </w:p>
    <w:p>
      <w:r>
        <w:t>Potential constraints include local planning controls (zoning/overlays), setback and site coverage limits, neighbourhood character controls, and permit conditions for demolition/new build. A town planning review is required before finalising a rebuild concept, including confirmation of allowable built form and any overlay-based constraints.</w:t>
      </w:r>
    </w:p>
    <w:p>
      <w:pPr>
        <w:pStyle w:val="Heading2"/>
      </w:pPr>
      <w:r>
        <w:t>10. Service Limitations</w:t>
      </w:r>
    </w:p>
    <w:p>
      <w:r>
        <w:t>Service limitations likely include stormwater non-compliance (disconnected downpipe and informal diversion), unknown condition/capacity of existing sewer and water infrastructure, and possible electrical upgrade requirements due to age and moisture damage. Service authority checks and condition testing are required for reliable cost certainty.</w:t>
      </w:r>
    </w:p>
    <w:p>
      <w:pPr>
        <w:pStyle w:val="Heading2"/>
      </w:pPr>
      <w:r>
        <w:t>11. Recommendation</w:t>
      </w:r>
    </w:p>
    <w:p>
      <w:r>
        <w:t>On balance, the preferred option is demolition and rebuild, subject to title/planning/service due diligence and budget confirmation. Although rectification is cheaper on current estimates, the dwelling presents widespread condition failure and elevated latent risk that may erode value and livability after major spend. If the client chooses repair, purchase should only proceed with a significant price negotiation and a staged intrusive investigation before final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